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300" w:lineRule="auto"/>
        <w:jc w:val="center"/>
        <w:rPr>
          <w:rFonts w:ascii="宋体" w:hAnsi="宋体" w:cs="宋体"/>
          <w:snapToGrid w:val="0"/>
          <w:sz w:val="72"/>
          <w:szCs w:val="72"/>
          <w:highlight w:val="none"/>
        </w:rPr>
      </w:pPr>
    </w:p>
    <w:p>
      <w:pPr>
        <w:adjustRightInd w:val="0"/>
        <w:snapToGrid w:val="0"/>
        <w:spacing w:line="300" w:lineRule="auto"/>
        <w:jc w:val="center"/>
        <w:rPr>
          <w:rFonts w:ascii="宋体" w:hAnsi="宋体" w:cs="宋体"/>
          <w:snapToGrid w:val="0"/>
          <w:sz w:val="72"/>
          <w:szCs w:val="72"/>
          <w:highlight w:val="none"/>
        </w:rPr>
      </w:pPr>
      <w:r>
        <w:rPr>
          <w:rFonts w:ascii="宋体" w:hAnsi="宋体" w:cs="宋体"/>
          <w:snapToGrid w:val="0"/>
          <w:sz w:val="72"/>
          <w:szCs w:val="72"/>
          <w:highlight w:val="none"/>
        </w:rPr>
        <w:t>采购文件</w:t>
      </w:r>
    </w:p>
    <w:p>
      <w:pPr>
        <w:spacing w:line="360" w:lineRule="auto"/>
        <w:ind w:left="-2" w:leftChars="-1" w:firstLine="1"/>
        <w:jc w:val="center"/>
        <w:rPr>
          <w:rFonts w:ascii="宋体" w:hAnsi="宋体" w:cs="宋体"/>
          <w:sz w:val="22"/>
          <w:szCs w:val="18"/>
          <w:highlight w:val="none"/>
        </w:rPr>
      </w:pPr>
    </w:p>
    <w:p>
      <w:pPr>
        <w:spacing w:line="360" w:lineRule="auto"/>
        <w:jc w:val="center"/>
        <w:rPr>
          <w:rFonts w:ascii="宋体" w:hAnsi="宋体" w:cs="宋体"/>
          <w:b/>
          <w:bCs/>
          <w:sz w:val="28"/>
          <w:szCs w:val="28"/>
          <w:highlight w:val="none"/>
        </w:rPr>
      </w:pPr>
    </w:p>
    <w:p>
      <w:pPr>
        <w:rPr>
          <w:highlight w:val="none"/>
        </w:rPr>
      </w:pPr>
    </w:p>
    <w:p>
      <w:pPr>
        <w:pStyle w:val="18"/>
        <w:adjustRightInd w:val="0"/>
        <w:snapToGrid w:val="0"/>
        <w:spacing w:line="300" w:lineRule="auto"/>
        <w:ind w:left="733" w:leftChars="200" w:hanging="313" w:hangingChars="98"/>
        <w:rPr>
          <w:rFonts w:hint="default" w:hAnsi="宋体" w:cs="宋体"/>
          <w:snapToGrid w:val="0"/>
          <w:sz w:val="32"/>
          <w:highlight w:val="none"/>
          <w:u w:val="single"/>
          <w:lang w:val="en-US"/>
        </w:rPr>
      </w:pPr>
      <w:bookmarkStart w:id="0" w:name="OLE_LINK70"/>
      <w:r>
        <w:rPr>
          <w:rFonts w:hAnsi="宋体" w:cs="宋体"/>
          <w:snapToGrid w:val="0"/>
          <w:sz w:val="32"/>
          <w:highlight w:val="none"/>
        </w:rPr>
        <w:t>采购项目编号</w:t>
      </w:r>
      <w:bookmarkEnd w:id="0"/>
      <w:r>
        <w:rPr>
          <w:rFonts w:hAnsi="宋体" w:cs="宋体"/>
          <w:snapToGrid w:val="0"/>
          <w:sz w:val="32"/>
          <w:highlight w:val="none"/>
        </w:rPr>
        <w:t>：</w:t>
      </w:r>
      <w:r>
        <w:rPr>
          <w:rFonts w:hint="eastAsia" w:hAnsi="宋体" w:cs="宋体"/>
          <w:snapToGrid w:val="0"/>
          <w:sz w:val="32"/>
          <w:highlight w:val="none"/>
          <w:u w:val="single"/>
          <w:lang w:val="en-US" w:eastAsia="zh-CN"/>
        </w:rPr>
        <w:t>GDLD</w:t>
      </w:r>
      <w:r>
        <w:rPr>
          <w:rFonts w:hAnsi="宋体" w:cs="宋体"/>
          <w:snapToGrid w:val="0"/>
          <w:sz w:val="32"/>
          <w:highlight w:val="none"/>
          <w:u w:val="single"/>
        </w:rPr>
        <w:t>-202</w:t>
      </w:r>
      <w:r>
        <w:rPr>
          <w:rFonts w:hint="eastAsia" w:hAnsi="宋体" w:cs="宋体"/>
          <w:snapToGrid w:val="0"/>
          <w:sz w:val="32"/>
          <w:highlight w:val="none"/>
          <w:u w:val="single"/>
          <w:lang w:val="en-US" w:eastAsia="zh-CN"/>
        </w:rPr>
        <w:t>2</w:t>
      </w:r>
      <w:r>
        <w:rPr>
          <w:rFonts w:hAnsi="宋体" w:cs="宋体"/>
          <w:snapToGrid w:val="0"/>
          <w:sz w:val="32"/>
          <w:highlight w:val="none"/>
          <w:u w:val="single"/>
        </w:rPr>
        <w:t>-</w:t>
      </w:r>
      <w:r>
        <w:rPr>
          <w:rFonts w:hint="eastAsia" w:hAnsi="宋体" w:cs="宋体"/>
          <w:snapToGrid w:val="0"/>
          <w:sz w:val="32"/>
          <w:highlight w:val="none"/>
          <w:u w:val="single"/>
          <w:lang w:val="en-US" w:eastAsia="zh-CN"/>
        </w:rPr>
        <w:t>1201</w:t>
      </w:r>
    </w:p>
    <w:p>
      <w:pPr>
        <w:pStyle w:val="18"/>
        <w:adjustRightInd w:val="0"/>
        <w:snapToGrid w:val="0"/>
        <w:spacing w:line="300" w:lineRule="auto"/>
        <w:ind w:left="735" w:leftChars="350"/>
        <w:rPr>
          <w:rFonts w:hAnsi="宋体" w:cs="宋体"/>
          <w:snapToGrid w:val="0"/>
          <w:sz w:val="32"/>
          <w:highlight w:val="none"/>
        </w:rPr>
      </w:pPr>
    </w:p>
    <w:p>
      <w:pPr>
        <w:pStyle w:val="18"/>
        <w:adjustRightInd w:val="0"/>
        <w:snapToGrid w:val="0"/>
        <w:spacing w:line="300" w:lineRule="auto"/>
        <w:ind w:firstLine="732" w:firstLineChars="229"/>
        <w:rPr>
          <w:rFonts w:hAnsi="宋体" w:cs="宋体"/>
          <w:snapToGrid w:val="0"/>
          <w:sz w:val="32"/>
          <w:highlight w:val="none"/>
        </w:rPr>
      </w:pPr>
    </w:p>
    <w:p>
      <w:pPr>
        <w:pStyle w:val="18"/>
        <w:adjustRightInd w:val="0"/>
        <w:snapToGrid w:val="0"/>
        <w:spacing w:line="300" w:lineRule="auto"/>
        <w:ind w:left="2622" w:leftChars="199" w:hanging="2204" w:hangingChars="689"/>
        <w:rPr>
          <w:rFonts w:hAnsi="宋体" w:cs="宋体"/>
          <w:snapToGrid w:val="0"/>
          <w:sz w:val="32"/>
          <w:highlight w:val="none"/>
          <w:u w:val="single"/>
        </w:rPr>
      </w:pPr>
      <w:r>
        <w:rPr>
          <w:rFonts w:hAnsi="宋体" w:cs="宋体"/>
          <w:snapToGrid w:val="0"/>
          <w:sz w:val="32"/>
          <w:highlight w:val="none"/>
        </w:rPr>
        <w:t>采购项目名称：</w:t>
      </w:r>
      <w:bookmarkStart w:id="1" w:name="OLE_LINK65"/>
      <w:r>
        <w:rPr>
          <w:rFonts w:hint="eastAsia" w:hAnsi="宋体" w:cs="宋体"/>
          <w:snapToGrid w:val="0"/>
          <w:sz w:val="32"/>
          <w:highlight w:val="none"/>
          <w:u w:val="single"/>
          <w:lang w:eastAsia="zh-CN"/>
        </w:rPr>
        <w:t>景裕豪园和宇佳水岸新都花园两处公交站场充电站</w:t>
      </w:r>
      <w:r>
        <w:rPr>
          <w:rFonts w:hAnsi="宋体" w:cs="宋体"/>
          <w:snapToGrid w:val="0"/>
          <w:sz w:val="32"/>
          <w:highlight w:val="none"/>
          <w:u w:val="single"/>
        </w:rPr>
        <w:t>建设运营服务资格项目</w:t>
      </w:r>
    </w:p>
    <w:bookmarkEnd w:id="1"/>
    <w:p>
      <w:pPr>
        <w:pStyle w:val="18"/>
        <w:adjustRightInd w:val="0"/>
        <w:snapToGrid w:val="0"/>
        <w:spacing w:line="300" w:lineRule="auto"/>
        <w:ind w:left="1154" w:leftChars="350" w:hanging="419" w:hangingChars="131"/>
        <w:rPr>
          <w:rFonts w:hAnsi="宋体" w:cs="宋体"/>
          <w:snapToGrid w:val="0"/>
          <w:sz w:val="32"/>
          <w:highlight w:val="none"/>
          <w:u w:val="single"/>
        </w:rPr>
      </w:pPr>
    </w:p>
    <w:p>
      <w:pPr>
        <w:pStyle w:val="18"/>
        <w:adjustRightInd w:val="0"/>
        <w:snapToGrid w:val="0"/>
        <w:spacing w:line="300" w:lineRule="auto"/>
        <w:ind w:firstLine="732" w:firstLineChars="229"/>
        <w:rPr>
          <w:rFonts w:hAnsi="宋体" w:cs="宋体"/>
          <w:snapToGrid w:val="0"/>
          <w:sz w:val="32"/>
          <w:highlight w:val="none"/>
        </w:rPr>
      </w:pPr>
    </w:p>
    <w:p>
      <w:pPr>
        <w:pStyle w:val="18"/>
        <w:adjustRightInd w:val="0"/>
        <w:snapToGrid w:val="0"/>
        <w:spacing w:line="300" w:lineRule="auto"/>
        <w:ind w:left="2622" w:leftChars="199" w:hanging="2204" w:hangingChars="689"/>
        <w:rPr>
          <w:rFonts w:hAnsi="宋体" w:cs="宋体"/>
          <w:snapToGrid w:val="0"/>
          <w:sz w:val="32"/>
          <w:highlight w:val="none"/>
        </w:rPr>
      </w:pPr>
      <w:r>
        <w:rPr>
          <w:rFonts w:hAnsi="宋体" w:cs="宋体"/>
          <w:snapToGrid w:val="0"/>
          <w:sz w:val="32"/>
          <w:highlight w:val="none"/>
        </w:rPr>
        <w:t>采购方式：</w:t>
      </w:r>
      <w:r>
        <w:rPr>
          <w:rFonts w:hAnsi="宋体" w:cs="宋体"/>
          <w:snapToGrid w:val="0"/>
          <w:sz w:val="32"/>
          <w:highlight w:val="none"/>
          <w:u w:val="single"/>
        </w:rPr>
        <w:t>公开招标</w:t>
      </w:r>
    </w:p>
    <w:p>
      <w:pPr>
        <w:pStyle w:val="18"/>
        <w:adjustRightInd w:val="0"/>
        <w:snapToGrid w:val="0"/>
        <w:spacing w:line="300" w:lineRule="auto"/>
        <w:ind w:firstLine="732" w:firstLineChars="229"/>
        <w:rPr>
          <w:rFonts w:hAnsi="宋体" w:cs="宋体"/>
          <w:snapToGrid w:val="0"/>
          <w:sz w:val="32"/>
          <w:highlight w:val="none"/>
        </w:rPr>
      </w:pPr>
    </w:p>
    <w:p>
      <w:pPr>
        <w:pStyle w:val="18"/>
        <w:adjustRightInd w:val="0"/>
        <w:snapToGrid w:val="0"/>
        <w:spacing w:line="300" w:lineRule="auto"/>
        <w:ind w:firstLine="732" w:firstLineChars="229"/>
        <w:rPr>
          <w:rFonts w:hAnsi="宋体" w:cs="宋体"/>
          <w:snapToGrid w:val="0"/>
          <w:sz w:val="32"/>
          <w:highlight w:val="none"/>
        </w:rPr>
      </w:pPr>
      <w:r>
        <w:rPr>
          <w:rFonts w:hAnsi="宋体" w:cs="宋体"/>
          <w:snapToGrid w:val="0"/>
          <w:sz w:val="32"/>
          <w:highlight w:val="none"/>
        </w:rPr>
        <w:fldChar w:fldCharType="begin"/>
      </w:r>
      <w:r>
        <w:rPr>
          <w:rFonts w:hAnsi="宋体" w:cs="宋体"/>
          <w:snapToGrid w:val="0"/>
          <w:sz w:val="32"/>
          <w:highlight w:val="none"/>
        </w:rPr>
        <w:instrText xml:space="preserve"> DOCVARIABLE  项目名称  \* MERGEFORMAT </w:instrText>
      </w:r>
      <w:r>
        <w:rPr>
          <w:rFonts w:hAnsi="宋体" w:cs="宋体"/>
          <w:snapToGrid w:val="0"/>
          <w:sz w:val="32"/>
          <w:highlight w:val="none"/>
        </w:rPr>
        <w:fldChar w:fldCharType="separate"/>
      </w:r>
      <w:r>
        <w:rPr>
          <w:rFonts w:hAnsi="宋体" w:cs="宋体"/>
          <w:snapToGrid w:val="0"/>
          <w:sz w:val="32"/>
          <w:highlight w:val="none"/>
        </w:rPr>
        <w:fldChar w:fldCharType="end"/>
      </w:r>
    </w:p>
    <w:p>
      <w:pPr>
        <w:pStyle w:val="18"/>
        <w:adjustRightInd w:val="0"/>
        <w:snapToGrid w:val="0"/>
        <w:spacing w:line="300" w:lineRule="auto"/>
        <w:ind w:left="2622" w:leftChars="199" w:hanging="2204" w:hangingChars="689"/>
        <w:rPr>
          <w:rFonts w:hAnsi="宋体" w:cs="宋体"/>
          <w:snapToGrid w:val="0"/>
          <w:sz w:val="32"/>
          <w:highlight w:val="none"/>
        </w:rPr>
      </w:pPr>
      <w:r>
        <w:rPr>
          <w:rFonts w:hAnsi="宋体" w:cs="宋体"/>
          <w:snapToGrid w:val="0"/>
          <w:sz w:val="32"/>
          <w:highlight w:val="none"/>
        </w:rPr>
        <w:t>采购人（章）</w:t>
      </w:r>
      <w:r>
        <w:rPr>
          <w:rFonts w:hAnsi="宋体" w:cs="宋体"/>
          <w:snapToGrid w:val="0"/>
          <w:sz w:val="32"/>
          <w:highlight w:val="none"/>
          <w:u w:val="single"/>
        </w:rPr>
        <w:t>佛山市南海区公交站场管理有限公司</w:t>
      </w:r>
    </w:p>
    <w:p>
      <w:pPr>
        <w:pStyle w:val="18"/>
        <w:adjustRightInd w:val="0"/>
        <w:snapToGrid w:val="0"/>
        <w:spacing w:line="300" w:lineRule="auto"/>
        <w:ind w:firstLine="732" w:firstLineChars="229"/>
        <w:rPr>
          <w:rFonts w:hAnsi="宋体" w:cs="宋体"/>
          <w:snapToGrid w:val="0"/>
          <w:sz w:val="32"/>
          <w:highlight w:val="none"/>
        </w:rPr>
      </w:pPr>
    </w:p>
    <w:p>
      <w:pPr>
        <w:pStyle w:val="18"/>
        <w:adjustRightInd w:val="0"/>
        <w:snapToGrid w:val="0"/>
        <w:spacing w:line="300" w:lineRule="auto"/>
        <w:ind w:firstLine="732" w:firstLineChars="229"/>
        <w:rPr>
          <w:rFonts w:hAnsi="宋体" w:cs="宋体"/>
          <w:snapToGrid w:val="0"/>
          <w:sz w:val="32"/>
          <w:highlight w:val="none"/>
        </w:rPr>
      </w:pPr>
    </w:p>
    <w:p>
      <w:pPr>
        <w:pStyle w:val="18"/>
        <w:adjustRightInd w:val="0"/>
        <w:snapToGrid w:val="0"/>
        <w:spacing w:line="300" w:lineRule="auto"/>
        <w:ind w:left="2622" w:leftChars="199" w:hanging="2204" w:hangingChars="689"/>
        <w:rPr>
          <w:rFonts w:hint="eastAsia" w:hAnsi="宋体" w:eastAsia="宋体" w:cs="宋体"/>
          <w:snapToGrid w:val="0"/>
          <w:sz w:val="32"/>
          <w:highlight w:val="none"/>
          <w:lang w:eastAsia="zh-CN"/>
        </w:rPr>
      </w:pPr>
      <w:r>
        <w:rPr>
          <w:rFonts w:hAnsi="宋体" w:cs="宋体"/>
          <w:snapToGrid w:val="0"/>
          <w:sz w:val="32"/>
          <w:highlight w:val="none"/>
        </w:rPr>
        <w:t>采购代理机构（章）</w:t>
      </w:r>
      <w:r>
        <w:rPr>
          <w:rFonts w:hint="eastAsia" w:hAnsi="宋体" w:cs="宋体"/>
          <w:snapToGrid w:val="0"/>
          <w:sz w:val="32"/>
          <w:highlight w:val="none"/>
          <w:u w:val="single"/>
          <w:lang w:eastAsia="zh-CN"/>
        </w:rPr>
        <w:t>广东良德工程咨询有限公司</w:t>
      </w:r>
    </w:p>
    <w:p>
      <w:pPr>
        <w:pStyle w:val="18"/>
        <w:spacing w:line="360" w:lineRule="auto"/>
        <w:ind w:firstLine="644" w:firstLineChars="229"/>
        <w:rPr>
          <w:rFonts w:hAnsi="宋体" w:cs="宋体"/>
          <w:b/>
          <w:bCs/>
          <w:sz w:val="28"/>
          <w:szCs w:val="28"/>
          <w:highlight w:val="none"/>
        </w:rPr>
      </w:pPr>
    </w:p>
    <w:p>
      <w:pPr>
        <w:rPr>
          <w:rFonts w:ascii="宋体" w:hAnsi="宋体" w:cs="宋体"/>
          <w:highlight w:val="none"/>
        </w:rPr>
      </w:pPr>
    </w:p>
    <w:p>
      <w:pPr>
        <w:pStyle w:val="18"/>
        <w:adjustRightInd w:val="0"/>
        <w:snapToGrid w:val="0"/>
        <w:spacing w:line="300" w:lineRule="auto"/>
        <w:ind w:left="2622" w:leftChars="199" w:hanging="2204" w:hangingChars="689"/>
        <w:rPr>
          <w:rFonts w:hAnsi="宋体" w:cs="宋体"/>
          <w:snapToGrid w:val="0"/>
          <w:sz w:val="32"/>
          <w:highlight w:val="none"/>
        </w:rPr>
      </w:pPr>
      <w:r>
        <w:rPr>
          <w:rFonts w:hAnsi="宋体" w:cs="宋体"/>
          <w:snapToGrid w:val="0"/>
          <w:sz w:val="32"/>
          <w:highlight w:val="none"/>
        </w:rPr>
        <w:t>日        期：</w:t>
      </w:r>
      <w:r>
        <w:rPr>
          <w:rFonts w:hAnsi="宋体" w:cs="宋体"/>
          <w:snapToGrid w:val="0"/>
          <w:sz w:val="32"/>
          <w:highlight w:val="none"/>
          <w:u w:val="single"/>
        </w:rPr>
        <w:t>2022年</w:t>
      </w:r>
      <w:r>
        <w:rPr>
          <w:rFonts w:hint="eastAsia" w:hAnsi="宋体" w:cs="宋体"/>
          <w:snapToGrid w:val="0"/>
          <w:sz w:val="32"/>
          <w:highlight w:val="none"/>
          <w:u w:val="single"/>
          <w:lang w:val="en-US" w:eastAsia="zh-CN"/>
        </w:rPr>
        <w:t xml:space="preserve"> 11  </w:t>
      </w:r>
      <w:r>
        <w:rPr>
          <w:rFonts w:hAnsi="宋体" w:cs="宋体"/>
          <w:snapToGrid w:val="0"/>
          <w:sz w:val="32"/>
          <w:highlight w:val="none"/>
          <w:u w:val="single"/>
        </w:rPr>
        <w:t>月</w:t>
      </w:r>
      <w:r>
        <w:rPr>
          <w:rFonts w:hint="eastAsia" w:hAnsi="宋体" w:cs="宋体"/>
          <w:snapToGrid w:val="0"/>
          <w:sz w:val="32"/>
          <w:highlight w:val="none"/>
          <w:u w:val="single"/>
          <w:lang w:val="en-US" w:eastAsia="zh-CN"/>
        </w:rPr>
        <w:t xml:space="preserve"> 28  </w:t>
      </w:r>
      <w:r>
        <w:rPr>
          <w:rFonts w:hAnsi="宋体" w:cs="宋体"/>
          <w:snapToGrid w:val="0"/>
          <w:sz w:val="32"/>
          <w:highlight w:val="none"/>
          <w:u w:val="single"/>
        </w:rPr>
        <w:t>日</w:t>
      </w:r>
    </w:p>
    <w:p>
      <w:pPr>
        <w:spacing w:line="360" w:lineRule="auto"/>
        <w:jc w:val="center"/>
        <w:rPr>
          <w:rFonts w:ascii="宋体" w:hAnsi="宋体" w:cs="宋体"/>
          <w:b/>
          <w:sz w:val="36"/>
          <w:szCs w:val="36"/>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469" w:bottom="1440" w:left="1440" w:header="851" w:footer="992" w:gutter="0"/>
          <w:pgNumType w:start="1"/>
          <w:cols w:space="720" w:num="1"/>
          <w:titlePg/>
          <w:docGrid w:linePitch="462" w:charSpace="0"/>
        </w:sectPr>
      </w:pPr>
    </w:p>
    <w:p>
      <w:pPr>
        <w:spacing w:line="360" w:lineRule="auto"/>
        <w:jc w:val="center"/>
        <w:rPr>
          <w:rFonts w:ascii="宋体" w:hAnsi="宋体" w:cs="宋体"/>
          <w:b/>
          <w:sz w:val="36"/>
          <w:szCs w:val="36"/>
          <w:highlight w:val="none"/>
        </w:rPr>
      </w:pPr>
      <w:r>
        <w:rPr>
          <w:rFonts w:ascii="宋体" w:hAnsi="宋体" w:cs="宋体"/>
          <w:b/>
          <w:sz w:val="36"/>
          <w:szCs w:val="36"/>
          <w:highlight w:val="none"/>
        </w:rPr>
        <w:t>目  录</w:t>
      </w:r>
    </w:p>
    <w:p>
      <w:pPr>
        <w:spacing w:line="360" w:lineRule="auto"/>
        <w:jc w:val="center"/>
        <w:rPr>
          <w:rFonts w:ascii="宋体" w:hAnsi="宋体" w:cs="宋体"/>
          <w:b/>
          <w:sz w:val="27"/>
          <w:highlight w:val="none"/>
        </w:rPr>
      </w:pPr>
    </w:p>
    <w:p>
      <w:pPr>
        <w:spacing w:line="360" w:lineRule="auto"/>
        <w:jc w:val="center"/>
        <w:rPr>
          <w:rFonts w:ascii="宋体" w:hAnsi="宋体" w:cs="宋体"/>
          <w:b/>
          <w:sz w:val="27"/>
          <w:highlight w:val="none"/>
        </w:rPr>
      </w:pPr>
    </w:p>
    <w:p>
      <w:pPr>
        <w:pStyle w:val="24"/>
        <w:tabs>
          <w:tab w:val="right" w:leader="dot" w:pos="8997"/>
        </w:tabs>
        <w:rPr>
          <w:rFonts w:ascii="宋体" w:hAnsi="宋体" w:cs="宋体"/>
          <w:sz w:val="28"/>
          <w:szCs w:val="28"/>
          <w:highlight w:val="none"/>
        </w:rPr>
      </w:pPr>
      <w:r>
        <w:rPr>
          <w:rFonts w:ascii="宋体" w:hAnsi="宋体" w:cs="宋体"/>
          <w:sz w:val="48"/>
          <w:szCs w:val="48"/>
          <w:highlight w:val="none"/>
        </w:rPr>
        <w:fldChar w:fldCharType="begin"/>
      </w:r>
      <w:r>
        <w:rPr>
          <w:rFonts w:ascii="宋体" w:hAnsi="宋体" w:cs="宋体"/>
          <w:sz w:val="48"/>
          <w:szCs w:val="48"/>
          <w:highlight w:val="none"/>
        </w:rPr>
        <w:instrText xml:space="preserve">TOC \o "1-1" \h \u </w:instrText>
      </w:r>
      <w:bookmarkStart w:id="2" w:name="_Toc406136457"/>
      <w:bookmarkStart w:id="3" w:name="_Toc31419"/>
      <w:r>
        <w:rPr>
          <w:rFonts w:ascii="宋体" w:hAnsi="宋体" w:cs="宋体"/>
          <w:sz w:val="48"/>
          <w:szCs w:val="48"/>
          <w:highlight w:val="none"/>
        </w:rPr>
        <w:fldChar w:fldCharType="separate"/>
      </w:r>
      <w:r>
        <w:rPr>
          <w:rFonts w:ascii="宋体" w:hAnsi="宋体" w:cs="宋体"/>
          <w:sz w:val="28"/>
          <w:szCs w:val="48"/>
          <w:highlight w:val="none"/>
        </w:rPr>
        <w:fldChar w:fldCharType="begin"/>
      </w:r>
      <w:r>
        <w:rPr>
          <w:rFonts w:ascii="宋体" w:hAnsi="宋体" w:cs="宋体"/>
          <w:sz w:val="28"/>
          <w:szCs w:val="48"/>
          <w:highlight w:val="none"/>
        </w:rPr>
        <w:instrText xml:space="preserve"> HYPERLINK \l _Toc10634 </w:instrText>
      </w:r>
      <w:r>
        <w:rPr>
          <w:rFonts w:ascii="宋体" w:hAnsi="宋体" w:cs="宋体"/>
          <w:sz w:val="28"/>
          <w:szCs w:val="48"/>
          <w:highlight w:val="none"/>
        </w:rPr>
        <w:fldChar w:fldCharType="separate"/>
      </w:r>
      <w:r>
        <w:rPr>
          <w:rFonts w:ascii="宋体" w:hAnsi="宋体" w:cs="宋体"/>
          <w:sz w:val="28"/>
          <w:szCs w:val="28"/>
          <w:highlight w:val="none"/>
        </w:rPr>
        <w:t>第一部分 投标邀请函</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_Toc10634 </w:instrText>
      </w:r>
      <w:r>
        <w:rPr>
          <w:rFonts w:ascii="宋体" w:hAnsi="宋体" w:cs="宋体"/>
          <w:sz w:val="28"/>
          <w:szCs w:val="28"/>
          <w:highlight w:val="none"/>
        </w:rPr>
        <w:fldChar w:fldCharType="separate"/>
      </w:r>
      <w:r>
        <w:rPr>
          <w:rFonts w:ascii="宋体" w:hAnsi="宋体" w:cs="宋体"/>
          <w:sz w:val="28"/>
          <w:szCs w:val="28"/>
          <w:highlight w:val="none"/>
        </w:rPr>
        <w:t>2</w:t>
      </w:r>
      <w:r>
        <w:rPr>
          <w:rFonts w:ascii="宋体" w:hAnsi="宋体" w:cs="宋体"/>
          <w:sz w:val="28"/>
          <w:szCs w:val="28"/>
          <w:highlight w:val="none"/>
        </w:rPr>
        <w:fldChar w:fldCharType="end"/>
      </w:r>
      <w:r>
        <w:rPr>
          <w:rFonts w:ascii="宋体" w:hAnsi="宋体" w:cs="宋体"/>
          <w:sz w:val="28"/>
          <w:szCs w:val="48"/>
          <w:highlight w:val="none"/>
        </w:rPr>
        <w:fldChar w:fldCharType="end"/>
      </w:r>
    </w:p>
    <w:p>
      <w:pPr>
        <w:pStyle w:val="24"/>
        <w:tabs>
          <w:tab w:val="right" w:leader="dot" w:pos="8997"/>
        </w:tabs>
        <w:rPr>
          <w:rFonts w:ascii="宋体" w:hAnsi="宋体" w:cs="宋体"/>
          <w:sz w:val="28"/>
          <w:szCs w:val="28"/>
          <w:highlight w:val="none"/>
        </w:rPr>
      </w:pPr>
      <w:r>
        <w:rPr>
          <w:rFonts w:ascii="宋体" w:hAnsi="宋体" w:cs="宋体"/>
          <w:sz w:val="28"/>
          <w:szCs w:val="48"/>
          <w:highlight w:val="none"/>
        </w:rPr>
        <w:fldChar w:fldCharType="begin"/>
      </w:r>
      <w:r>
        <w:rPr>
          <w:rFonts w:ascii="宋体" w:hAnsi="宋体" w:cs="宋体"/>
          <w:sz w:val="28"/>
          <w:szCs w:val="48"/>
          <w:highlight w:val="none"/>
        </w:rPr>
        <w:instrText xml:space="preserve"> HYPERLINK \l _Toc23596 </w:instrText>
      </w:r>
      <w:r>
        <w:rPr>
          <w:rFonts w:ascii="宋体" w:hAnsi="宋体" w:cs="宋体"/>
          <w:sz w:val="28"/>
          <w:szCs w:val="48"/>
          <w:highlight w:val="none"/>
        </w:rPr>
        <w:fldChar w:fldCharType="separate"/>
      </w:r>
      <w:r>
        <w:rPr>
          <w:rFonts w:ascii="宋体" w:hAnsi="宋体" w:cs="宋体"/>
          <w:sz w:val="28"/>
          <w:szCs w:val="28"/>
          <w:highlight w:val="none"/>
        </w:rPr>
        <w:t>第二部分　采购项目内容</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_Toc23596 </w:instrText>
      </w:r>
      <w:r>
        <w:rPr>
          <w:rFonts w:ascii="宋体" w:hAnsi="宋体" w:cs="宋体"/>
          <w:sz w:val="28"/>
          <w:szCs w:val="28"/>
          <w:highlight w:val="none"/>
        </w:rPr>
        <w:fldChar w:fldCharType="separate"/>
      </w:r>
      <w:r>
        <w:rPr>
          <w:rFonts w:ascii="宋体" w:hAnsi="宋体" w:cs="宋体"/>
          <w:sz w:val="28"/>
          <w:szCs w:val="28"/>
          <w:highlight w:val="none"/>
        </w:rPr>
        <w:t>6</w:t>
      </w:r>
      <w:r>
        <w:rPr>
          <w:rFonts w:ascii="宋体" w:hAnsi="宋体" w:cs="宋体"/>
          <w:sz w:val="28"/>
          <w:szCs w:val="28"/>
          <w:highlight w:val="none"/>
        </w:rPr>
        <w:fldChar w:fldCharType="end"/>
      </w:r>
      <w:r>
        <w:rPr>
          <w:rFonts w:ascii="宋体" w:hAnsi="宋体" w:cs="宋体"/>
          <w:sz w:val="28"/>
          <w:szCs w:val="48"/>
          <w:highlight w:val="none"/>
        </w:rPr>
        <w:fldChar w:fldCharType="end"/>
      </w:r>
    </w:p>
    <w:p>
      <w:pPr>
        <w:pStyle w:val="24"/>
        <w:tabs>
          <w:tab w:val="right" w:leader="dot" w:pos="8997"/>
        </w:tabs>
        <w:rPr>
          <w:rFonts w:ascii="宋体" w:hAnsi="宋体" w:cs="宋体"/>
          <w:sz w:val="28"/>
          <w:szCs w:val="28"/>
          <w:highlight w:val="none"/>
        </w:rPr>
      </w:pPr>
      <w:r>
        <w:rPr>
          <w:rFonts w:ascii="宋体" w:hAnsi="宋体" w:cs="宋体"/>
          <w:sz w:val="28"/>
          <w:szCs w:val="48"/>
          <w:highlight w:val="none"/>
        </w:rPr>
        <w:fldChar w:fldCharType="begin"/>
      </w:r>
      <w:r>
        <w:rPr>
          <w:rFonts w:ascii="宋体" w:hAnsi="宋体" w:cs="宋体"/>
          <w:sz w:val="28"/>
          <w:szCs w:val="48"/>
          <w:highlight w:val="none"/>
        </w:rPr>
        <w:instrText xml:space="preserve"> HYPERLINK \l _Toc6192 </w:instrText>
      </w:r>
      <w:r>
        <w:rPr>
          <w:rFonts w:ascii="宋体" w:hAnsi="宋体" w:cs="宋体"/>
          <w:sz w:val="28"/>
          <w:szCs w:val="48"/>
          <w:highlight w:val="none"/>
        </w:rPr>
        <w:fldChar w:fldCharType="separate"/>
      </w:r>
      <w:r>
        <w:rPr>
          <w:rFonts w:ascii="宋体" w:hAnsi="宋体" w:cs="宋体"/>
          <w:sz w:val="28"/>
          <w:szCs w:val="28"/>
          <w:highlight w:val="none"/>
          <w:lang w:val="zh-CN"/>
        </w:rPr>
        <w:t>第三部分　</w:t>
      </w:r>
      <w:r>
        <w:rPr>
          <w:rFonts w:ascii="宋体" w:hAnsi="宋体" w:cs="宋体"/>
          <w:sz w:val="28"/>
          <w:szCs w:val="28"/>
          <w:highlight w:val="none"/>
        </w:rPr>
        <w:t>投标人须知</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_Toc6192 </w:instrText>
      </w:r>
      <w:r>
        <w:rPr>
          <w:rFonts w:ascii="宋体" w:hAnsi="宋体" w:cs="宋体"/>
          <w:sz w:val="28"/>
          <w:szCs w:val="28"/>
          <w:highlight w:val="none"/>
        </w:rPr>
        <w:fldChar w:fldCharType="separate"/>
      </w:r>
      <w:r>
        <w:rPr>
          <w:rFonts w:ascii="宋体" w:hAnsi="宋体" w:cs="宋体"/>
          <w:sz w:val="28"/>
          <w:szCs w:val="28"/>
          <w:highlight w:val="none"/>
        </w:rPr>
        <w:t>24</w:t>
      </w:r>
      <w:r>
        <w:rPr>
          <w:rFonts w:ascii="宋体" w:hAnsi="宋体" w:cs="宋体"/>
          <w:sz w:val="28"/>
          <w:szCs w:val="28"/>
          <w:highlight w:val="none"/>
        </w:rPr>
        <w:fldChar w:fldCharType="end"/>
      </w:r>
      <w:r>
        <w:rPr>
          <w:rFonts w:ascii="宋体" w:hAnsi="宋体" w:cs="宋体"/>
          <w:sz w:val="28"/>
          <w:szCs w:val="48"/>
          <w:highlight w:val="none"/>
        </w:rPr>
        <w:fldChar w:fldCharType="end"/>
      </w:r>
    </w:p>
    <w:p>
      <w:pPr>
        <w:pStyle w:val="24"/>
        <w:tabs>
          <w:tab w:val="right" w:leader="dot" w:pos="8997"/>
        </w:tabs>
        <w:rPr>
          <w:rFonts w:ascii="宋体" w:hAnsi="宋体" w:cs="宋体"/>
          <w:sz w:val="28"/>
          <w:szCs w:val="28"/>
          <w:highlight w:val="none"/>
        </w:rPr>
      </w:pPr>
      <w:r>
        <w:rPr>
          <w:rFonts w:ascii="宋体" w:hAnsi="宋体" w:cs="宋体"/>
          <w:sz w:val="28"/>
          <w:szCs w:val="48"/>
          <w:highlight w:val="none"/>
        </w:rPr>
        <w:fldChar w:fldCharType="begin"/>
      </w:r>
      <w:r>
        <w:rPr>
          <w:rFonts w:ascii="宋体" w:hAnsi="宋体" w:cs="宋体"/>
          <w:sz w:val="28"/>
          <w:szCs w:val="48"/>
          <w:highlight w:val="none"/>
        </w:rPr>
        <w:instrText xml:space="preserve"> HYPERLINK \l _Toc12888 </w:instrText>
      </w:r>
      <w:r>
        <w:rPr>
          <w:rFonts w:ascii="宋体" w:hAnsi="宋体" w:cs="宋体"/>
          <w:sz w:val="28"/>
          <w:szCs w:val="48"/>
          <w:highlight w:val="none"/>
        </w:rPr>
        <w:fldChar w:fldCharType="separate"/>
      </w:r>
      <w:r>
        <w:rPr>
          <w:rFonts w:ascii="宋体" w:hAnsi="宋体" w:cs="宋体"/>
          <w:sz w:val="28"/>
          <w:szCs w:val="28"/>
          <w:highlight w:val="none"/>
        </w:rPr>
        <w:t>第四部分　合同书格式</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_Toc12888 </w:instrText>
      </w:r>
      <w:r>
        <w:rPr>
          <w:rFonts w:ascii="宋体" w:hAnsi="宋体" w:cs="宋体"/>
          <w:sz w:val="28"/>
          <w:szCs w:val="28"/>
          <w:highlight w:val="none"/>
        </w:rPr>
        <w:fldChar w:fldCharType="separate"/>
      </w:r>
      <w:r>
        <w:rPr>
          <w:rFonts w:ascii="宋体" w:hAnsi="宋体" w:cs="宋体"/>
          <w:sz w:val="28"/>
          <w:szCs w:val="28"/>
          <w:highlight w:val="none"/>
        </w:rPr>
        <w:t>37</w:t>
      </w:r>
      <w:r>
        <w:rPr>
          <w:rFonts w:ascii="宋体" w:hAnsi="宋体" w:cs="宋体"/>
          <w:sz w:val="28"/>
          <w:szCs w:val="28"/>
          <w:highlight w:val="none"/>
        </w:rPr>
        <w:fldChar w:fldCharType="end"/>
      </w:r>
      <w:r>
        <w:rPr>
          <w:rFonts w:ascii="宋体" w:hAnsi="宋体" w:cs="宋体"/>
          <w:sz w:val="28"/>
          <w:szCs w:val="48"/>
          <w:highlight w:val="none"/>
        </w:rPr>
        <w:fldChar w:fldCharType="end"/>
      </w:r>
    </w:p>
    <w:p>
      <w:pPr>
        <w:pStyle w:val="24"/>
        <w:tabs>
          <w:tab w:val="right" w:leader="dot" w:pos="8997"/>
        </w:tabs>
        <w:rPr>
          <w:rFonts w:ascii="宋体" w:hAnsi="宋体" w:cs="宋体"/>
          <w:sz w:val="28"/>
          <w:szCs w:val="28"/>
          <w:highlight w:val="none"/>
        </w:rPr>
      </w:pPr>
      <w:r>
        <w:rPr>
          <w:rFonts w:ascii="宋体" w:hAnsi="宋体" w:cs="宋体"/>
          <w:sz w:val="28"/>
          <w:szCs w:val="48"/>
          <w:highlight w:val="none"/>
        </w:rPr>
        <w:fldChar w:fldCharType="begin"/>
      </w:r>
      <w:r>
        <w:rPr>
          <w:rFonts w:ascii="宋体" w:hAnsi="宋体" w:cs="宋体"/>
          <w:sz w:val="28"/>
          <w:szCs w:val="48"/>
          <w:highlight w:val="none"/>
        </w:rPr>
        <w:instrText xml:space="preserve"> HYPERLINK \l _Toc23415 </w:instrText>
      </w:r>
      <w:r>
        <w:rPr>
          <w:rFonts w:ascii="宋体" w:hAnsi="宋体" w:cs="宋体"/>
          <w:sz w:val="28"/>
          <w:szCs w:val="48"/>
          <w:highlight w:val="none"/>
        </w:rPr>
        <w:fldChar w:fldCharType="separate"/>
      </w:r>
      <w:r>
        <w:rPr>
          <w:rFonts w:ascii="宋体" w:hAnsi="宋体" w:cs="宋体"/>
          <w:sz w:val="28"/>
          <w:szCs w:val="28"/>
          <w:highlight w:val="none"/>
        </w:rPr>
        <w:t>第五部分　投标文件格式</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_Toc23415 </w:instrText>
      </w:r>
      <w:r>
        <w:rPr>
          <w:rFonts w:ascii="宋体" w:hAnsi="宋体" w:cs="宋体"/>
          <w:sz w:val="28"/>
          <w:szCs w:val="28"/>
          <w:highlight w:val="none"/>
        </w:rPr>
        <w:fldChar w:fldCharType="separate"/>
      </w:r>
      <w:r>
        <w:rPr>
          <w:rFonts w:ascii="宋体" w:hAnsi="宋体" w:cs="宋体"/>
          <w:sz w:val="28"/>
          <w:szCs w:val="28"/>
          <w:highlight w:val="none"/>
        </w:rPr>
        <w:t>44</w:t>
      </w:r>
      <w:r>
        <w:rPr>
          <w:rFonts w:ascii="宋体" w:hAnsi="宋体" w:cs="宋体"/>
          <w:sz w:val="28"/>
          <w:szCs w:val="28"/>
          <w:highlight w:val="none"/>
        </w:rPr>
        <w:fldChar w:fldCharType="end"/>
      </w:r>
      <w:r>
        <w:rPr>
          <w:rFonts w:ascii="宋体" w:hAnsi="宋体" w:cs="宋体"/>
          <w:sz w:val="28"/>
          <w:szCs w:val="48"/>
          <w:highlight w:val="none"/>
        </w:rPr>
        <w:fldChar w:fldCharType="end"/>
      </w:r>
    </w:p>
    <w:p>
      <w:pPr>
        <w:pStyle w:val="24"/>
        <w:tabs>
          <w:tab w:val="right" w:leader="dot" w:pos="8997"/>
        </w:tabs>
        <w:rPr>
          <w:rFonts w:ascii="宋体" w:hAnsi="宋体" w:cs="宋体"/>
          <w:sz w:val="28"/>
          <w:szCs w:val="28"/>
          <w:highlight w:val="none"/>
        </w:rPr>
      </w:pPr>
      <w:r>
        <w:rPr>
          <w:rFonts w:ascii="宋体" w:hAnsi="宋体" w:cs="宋体"/>
          <w:sz w:val="28"/>
          <w:szCs w:val="48"/>
          <w:highlight w:val="none"/>
        </w:rPr>
        <w:fldChar w:fldCharType="begin"/>
      </w:r>
      <w:r>
        <w:rPr>
          <w:rFonts w:ascii="宋体" w:hAnsi="宋体" w:cs="宋体"/>
          <w:sz w:val="28"/>
          <w:szCs w:val="48"/>
          <w:highlight w:val="none"/>
        </w:rPr>
        <w:instrText xml:space="preserve"> HYPERLINK \l _Toc4805 </w:instrText>
      </w:r>
      <w:r>
        <w:rPr>
          <w:rFonts w:ascii="宋体" w:hAnsi="宋体" w:cs="宋体"/>
          <w:sz w:val="28"/>
          <w:szCs w:val="48"/>
          <w:highlight w:val="none"/>
        </w:rPr>
        <w:fldChar w:fldCharType="separate"/>
      </w:r>
      <w:r>
        <w:rPr>
          <w:rFonts w:ascii="宋体" w:hAnsi="宋体" w:cs="宋体"/>
          <w:kern w:val="0"/>
          <w:sz w:val="28"/>
          <w:szCs w:val="28"/>
          <w:highlight w:val="none"/>
        </w:rPr>
        <w:t>附件一 评审细则</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_Toc4805 </w:instrText>
      </w:r>
      <w:r>
        <w:rPr>
          <w:rFonts w:ascii="宋体" w:hAnsi="宋体" w:cs="宋体"/>
          <w:sz w:val="28"/>
          <w:szCs w:val="28"/>
          <w:highlight w:val="none"/>
        </w:rPr>
        <w:fldChar w:fldCharType="separate"/>
      </w:r>
      <w:r>
        <w:rPr>
          <w:rFonts w:ascii="宋体" w:hAnsi="宋体" w:cs="宋体"/>
          <w:sz w:val="28"/>
          <w:szCs w:val="28"/>
          <w:highlight w:val="none"/>
        </w:rPr>
        <w:t>60</w:t>
      </w:r>
      <w:r>
        <w:rPr>
          <w:rFonts w:ascii="宋体" w:hAnsi="宋体" w:cs="宋体"/>
          <w:sz w:val="28"/>
          <w:szCs w:val="28"/>
          <w:highlight w:val="none"/>
        </w:rPr>
        <w:fldChar w:fldCharType="end"/>
      </w:r>
      <w:r>
        <w:rPr>
          <w:rFonts w:ascii="宋体" w:hAnsi="宋体" w:cs="宋体"/>
          <w:sz w:val="28"/>
          <w:szCs w:val="48"/>
          <w:highlight w:val="none"/>
        </w:rPr>
        <w:fldChar w:fldCharType="end"/>
      </w:r>
    </w:p>
    <w:p>
      <w:pPr>
        <w:pStyle w:val="24"/>
        <w:tabs>
          <w:tab w:val="right" w:leader="dot" w:pos="8997"/>
        </w:tabs>
        <w:rPr>
          <w:rFonts w:ascii="宋体" w:hAnsi="宋体" w:cs="宋体"/>
          <w:sz w:val="28"/>
          <w:szCs w:val="28"/>
          <w:highlight w:val="none"/>
        </w:rPr>
      </w:pPr>
      <w:r>
        <w:rPr>
          <w:rFonts w:ascii="宋体" w:hAnsi="宋体" w:cs="宋体"/>
          <w:sz w:val="28"/>
          <w:szCs w:val="48"/>
          <w:highlight w:val="none"/>
        </w:rPr>
        <w:fldChar w:fldCharType="begin"/>
      </w:r>
      <w:r>
        <w:rPr>
          <w:rFonts w:ascii="宋体" w:hAnsi="宋体" w:cs="宋体"/>
          <w:sz w:val="28"/>
          <w:szCs w:val="48"/>
          <w:highlight w:val="none"/>
        </w:rPr>
        <w:instrText xml:space="preserve"> HYPERLINK \l _Toc18575 </w:instrText>
      </w:r>
      <w:r>
        <w:rPr>
          <w:rFonts w:ascii="宋体" w:hAnsi="宋体" w:cs="宋体"/>
          <w:sz w:val="28"/>
          <w:szCs w:val="48"/>
          <w:highlight w:val="none"/>
        </w:rPr>
        <w:fldChar w:fldCharType="separate"/>
      </w:r>
      <w:r>
        <w:rPr>
          <w:rFonts w:ascii="宋体" w:hAnsi="宋体" w:cs="宋体"/>
          <w:kern w:val="0"/>
          <w:sz w:val="28"/>
          <w:szCs w:val="72"/>
          <w:highlight w:val="none"/>
        </w:rPr>
        <w:t>附件二  外包装封面参考格式</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_Toc18575 </w:instrText>
      </w:r>
      <w:r>
        <w:rPr>
          <w:rFonts w:ascii="宋体" w:hAnsi="宋体" w:cs="宋体"/>
          <w:sz w:val="28"/>
          <w:szCs w:val="28"/>
          <w:highlight w:val="none"/>
        </w:rPr>
        <w:fldChar w:fldCharType="separate"/>
      </w:r>
      <w:r>
        <w:rPr>
          <w:rFonts w:ascii="宋体" w:hAnsi="宋体" w:cs="宋体"/>
          <w:sz w:val="28"/>
          <w:szCs w:val="28"/>
          <w:highlight w:val="none"/>
        </w:rPr>
        <w:t>73</w:t>
      </w:r>
      <w:r>
        <w:rPr>
          <w:rFonts w:ascii="宋体" w:hAnsi="宋体" w:cs="宋体"/>
          <w:sz w:val="28"/>
          <w:szCs w:val="28"/>
          <w:highlight w:val="none"/>
        </w:rPr>
        <w:fldChar w:fldCharType="end"/>
      </w:r>
      <w:r>
        <w:rPr>
          <w:rFonts w:ascii="宋体" w:hAnsi="宋体" w:cs="宋体"/>
          <w:sz w:val="28"/>
          <w:szCs w:val="48"/>
          <w:highlight w:val="none"/>
        </w:rPr>
        <w:fldChar w:fldCharType="end"/>
      </w:r>
    </w:p>
    <w:p>
      <w:pPr>
        <w:rPr>
          <w:rFonts w:ascii="宋体" w:hAnsi="宋体" w:cs="宋体"/>
          <w:highlight w:val="none"/>
        </w:rPr>
      </w:pPr>
      <w:r>
        <w:rPr>
          <w:rFonts w:ascii="宋体" w:hAnsi="宋体" w:cs="宋体"/>
          <w:sz w:val="32"/>
          <w:szCs w:val="48"/>
          <w:highlight w:val="none"/>
        </w:rPr>
        <w:fldChar w:fldCharType="end"/>
      </w:r>
    </w:p>
    <w:p>
      <w:pPr>
        <w:pStyle w:val="57"/>
        <w:spacing w:line="480" w:lineRule="auto"/>
        <w:rPr>
          <w:rFonts w:ascii="宋体" w:hAnsi="宋体" w:cs="宋体"/>
          <w:sz w:val="28"/>
          <w:szCs w:val="28"/>
          <w:highlight w:val="none"/>
        </w:rPr>
        <w:sectPr>
          <w:footerReference r:id="rId12" w:type="first"/>
          <w:footerReference r:id="rId11" w:type="default"/>
          <w:pgSz w:w="11906" w:h="16838"/>
          <w:pgMar w:top="1440" w:right="1469" w:bottom="1440" w:left="1440" w:header="851" w:footer="992" w:gutter="0"/>
          <w:pgNumType w:start="1"/>
          <w:cols w:space="720" w:num="1"/>
          <w:docGrid w:linePitch="462" w:charSpace="0"/>
        </w:sectPr>
      </w:pPr>
    </w:p>
    <w:p>
      <w:pPr>
        <w:rPr>
          <w:highlight w:val="none"/>
        </w:rPr>
      </w:pPr>
    </w:p>
    <w:p>
      <w:pPr>
        <w:rPr>
          <w:highlight w:val="none"/>
        </w:rPr>
      </w:pPr>
    </w:p>
    <w:p>
      <w:pPr>
        <w:rPr>
          <w:highlight w:val="none"/>
        </w:rPr>
      </w:pPr>
    </w:p>
    <w:p>
      <w:pPr>
        <w:rPr>
          <w:highlight w:val="none"/>
        </w:rPr>
      </w:pPr>
    </w:p>
    <w:p>
      <w:pPr>
        <w:pStyle w:val="57"/>
        <w:spacing w:line="480" w:lineRule="auto"/>
        <w:rPr>
          <w:rFonts w:ascii="宋体" w:hAnsi="宋体" w:cs="宋体"/>
          <w:sz w:val="44"/>
          <w:highlight w:val="none"/>
        </w:rPr>
        <w:sectPr>
          <w:pgSz w:w="11906" w:h="16838"/>
          <w:pgMar w:top="1440" w:right="1469" w:bottom="1440" w:left="1440" w:header="851" w:footer="992" w:gutter="0"/>
          <w:cols w:space="720" w:num="1"/>
          <w:titlePg/>
          <w:docGrid w:linePitch="462" w:charSpace="0"/>
        </w:sectPr>
      </w:pPr>
      <w:bookmarkStart w:id="4" w:name="_Toc21332"/>
      <w:bookmarkStart w:id="5" w:name="_Toc12754"/>
      <w:bookmarkStart w:id="6" w:name="_Toc23154"/>
      <w:bookmarkStart w:id="7" w:name="_Toc10634"/>
      <w:bookmarkStart w:id="8" w:name="_Toc5998"/>
      <w:bookmarkStart w:id="9" w:name="_Toc10354"/>
      <w:bookmarkStart w:id="10" w:name="_Toc24054"/>
      <w:bookmarkStart w:id="11" w:name="_Toc15554"/>
      <w:bookmarkStart w:id="12" w:name="_Toc14087"/>
      <w:bookmarkStart w:id="13" w:name="_Toc9077"/>
      <w:bookmarkStart w:id="14" w:name="_Toc25540"/>
      <w:bookmarkStart w:id="15" w:name="_Toc27089"/>
      <w:r>
        <w:rPr>
          <w:rFonts w:ascii="宋体" w:hAnsi="宋体" w:cs="宋体"/>
          <w:sz w:val="44"/>
          <w:highlight w:val="none"/>
        </w:rPr>
        <w:t xml:space="preserve">第一部分 </w:t>
      </w:r>
      <w:bookmarkEnd w:id="2"/>
      <w:r>
        <w:rPr>
          <w:rFonts w:ascii="宋体" w:hAnsi="宋体" w:cs="宋体"/>
          <w:sz w:val="44"/>
          <w:highlight w:val="none"/>
        </w:rPr>
        <w:t>投标邀请函</w:t>
      </w:r>
      <w:bookmarkEnd w:id="3"/>
      <w:bookmarkEnd w:id="4"/>
      <w:bookmarkEnd w:id="5"/>
      <w:bookmarkEnd w:id="6"/>
      <w:bookmarkEnd w:id="7"/>
      <w:bookmarkEnd w:id="8"/>
      <w:bookmarkEnd w:id="9"/>
      <w:bookmarkEnd w:id="10"/>
      <w:bookmarkEnd w:id="11"/>
      <w:bookmarkEnd w:id="12"/>
      <w:bookmarkEnd w:id="13"/>
      <w:bookmarkEnd w:id="14"/>
      <w:bookmarkEnd w:id="15"/>
    </w:p>
    <w:p>
      <w:pPr>
        <w:spacing w:line="360" w:lineRule="auto"/>
        <w:ind w:firstLine="132" w:firstLineChars="47"/>
        <w:jc w:val="center"/>
        <w:rPr>
          <w:rFonts w:ascii="宋体" w:hAnsi="宋体" w:cs="宋体"/>
          <w:b/>
          <w:kern w:val="0"/>
          <w:sz w:val="28"/>
          <w:szCs w:val="28"/>
          <w:highlight w:val="none"/>
        </w:rPr>
      </w:pPr>
      <w:r>
        <w:rPr>
          <w:rFonts w:hint="eastAsia" w:ascii="宋体" w:hAnsi="宋体" w:cs="宋体"/>
          <w:b/>
          <w:kern w:val="0"/>
          <w:sz w:val="28"/>
          <w:szCs w:val="28"/>
          <w:highlight w:val="none"/>
          <w:lang w:eastAsia="zh-CN"/>
        </w:rPr>
        <w:t>景裕豪园和宇佳水岸新都花园两处公交站场充电站</w:t>
      </w:r>
      <w:r>
        <w:rPr>
          <w:rFonts w:ascii="宋体" w:hAnsi="宋体" w:cs="宋体"/>
          <w:b/>
          <w:kern w:val="0"/>
          <w:sz w:val="28"/>
          <w:szCs w:val="28"/>
          <w:highlight w:val="none"/>
        </w:rPr>
        <w:t>建设运营服务资格</w:t>
      </w:r>
    </w:p>
    <w:p>
      <w:pPr>
        <w:spacing w:line="360" w:lineRule="auto"/>
        <w:ind w:firstLine="132" w:firstLineChars="47"/>
        <w:jc w:val="center"/>
        <w:rPr>
          <w:rFonts w:ascii="宋体" w:hAnsi="宋体" w:cs="宋体"/>
          <w:b/>
          <w:kern w:val="0"/>
          <w:sz w:val="28"/>
          <w:szCs w:val="28"/>
          <w:highlight w:val="none"/>
        </w:rPr>
      </w:pPr>
      <w:r>
        <w:rPr>
          <w:rFonts w:ascii="宋体" w:hAnsi="宋体" w:cs="宋体"/>
          <w:b/>
          <w:kern w:val="0"/>
          <w:sz w:val="28"/>
          <w:szCs w:val="28"/>
          <w:highlight w:val="none"/>
        </w:rPr>
        <w:t>项目投标邀请函</w:t>
      </w:r>
    </w:p>
    <w:p>
      <w:pPr>
        <w:spacing w:line="360" w:lineRule="auto"/>
        <w:ind w:firstLine="98" w:firstLineChars="47"/>
        <w:jc w:val="left"/>
        <w:rPr>
          <w:rFonts w:ascii="宋体" w:hAnsi="宋体" w:cs="宋体"/>
          <w:highlight w:val="none"/>
        </w:rPr>
      </w:pPr>
      <w:r>
        <w:rPr>
          <w:rFonts w:ascii="宋体" w:hAnsi="宋体" w:cs="宋体"/>
          <w:highlight w:val="none"/>
        </w:rPr>
        <w:t xml:space="preserve">   </w:t>
      </w:r>
    </w:p>
    <w:p>
      <w:pPr>
        <w:spacing w:line="360" w:lineRule="auto"/>
        <w:ind w:firstLine="308" w:firstLineChars="147"/>
        <w:jc w:val="left"/>
        <w:rPr>
          <w:rFonts w:ascii="宋体" w:hAnsi="宋体" w:cs="宋体"/>
          <w:highlight w:val="none"/>
        </w:rPr>
      </w:pPr>
      <w:r>
        <w:rPr>
          <w:rFonts w:ascii="宋体" w:hAnsi="宋体" w:cs="宋体"/>
          <w:highlight w:val="none"/>
        </w:rPr>
        <w:t xml:space="preserve"> </w:t>
      </w:r>
      <w:r>
        <w:rPr>
          <w:rFonts w:hint="eastAsia" w:ascii="宋体" w:hAnsi="宋体" w:cs="宋体"/>
          <w:highlight w:val="none"/>
          <w:lang w:eastAsia="zh-CN"/>
        </w:rPr>
        <w:t>广东良德工程咨询有限公司</w:t>
      </w:r>
      <w:r>
        <w:rPr>
          <w:rFonts w:ascii="宋体" w:hAnsi="宋体" w:cs="宋体"/>
          <w:highlight w:val="none"/>
        </w:rPr>
        <w:t>受佛山市南海区公交站场管理有限公司的委托，对</w:t>
      </w:r>
      <w:r>
        <w:rPr>
          <w:rFonts w:hint="eastAsia" w:ascii="宋体" w:hAnsi="宋体" w:cs="宋体"/>
          <w:highlight w:val="none"/>
          <w:lang w:eastAsia="zh-CN"/>
        </w:rPr>
        <w:t>景裕豪园和宇佳水岸新都花园两处公交站场充电站</w:t>
      </w:r>
      <w:r>
        <w:rPr>
          <w:rFonts w:ascii="宋体" w:hAnsi="宋体" w:cs="宋体"/>
          <w:highlight w:val="none"/>
        </w:rPr>
        <w:t>建设运营服务资格项目进行公开招标采购，欢迎符合资格条件的供应商投标。</w:t>
      </w:r>
    </w:p>
    <w:p>
      <w:pPr>
        <w:spacing w:line="360" w:lineRule="auto"/>
        <w:rPr>
          <w:rFonts w:hint="default" w:ascii="宋体" w:hAnsi="宋体" w:cs="宋体"/>
          <w:highlight w:val="none"/>
          <w:lang w:val="en-US"/>
        </w:rPr>
      </w:pPr>
      <w:r>
        <w:rPr>
          <w:rFonts w:ascii="宋体" w:hAnsi="宋体" w:cs="宋体"/>
          <w:highlight w:val="none"/>
        </w:rPr>
        <w:t>一、采购项目编号：</w:t>
      </w:r>
      <w:r>
        <w:rPr>
          <w:rFonts w:hint="eastAsia" w:ascii="宋体" w:hAnsi="宋体" w:cs="宋体"/>
          <w:highlight w:val="none"/>
          <w:lang w:val="en-US" w:eastAsia="zh-CN"/>
        </w:rPr>
        <w:t>GDLD</w:t>
      </w:r>
      <w:r>
        <w:rPr>
          <w:rFonts w:ascii="宋体" w:hAnsi="宋体" w:cs="宋体"/>
          <w:highlight w:val="none"/>
        </w:rPr>
        <w:t>-202</w:t>
      </w:r>
      <w:r>
        <w:rPr>
          <w:rFonts w:hint="eastAsia" w:ascii="宋体" w:hAnsi="宋体" w:cs="宋体"/>
          <w:highlight w:val="none"/>
          <w:lang w:val="en-US" w:eastAsia="zh-CN"/>
        </w:rPr>
        <w:t>2</w:t>
      </w:r>
      <w:r>
        <w:rPr>
          <w:rFonts w:ascii="宋体" w:hAnsi="宋体" w:cs="宋体"/>
          <w:highlight w:val="none"/>
        </w:rPr>
        <w:t>-</w:t>
      </w:r>
      <w:r>
        <w:rPr>
          <w:rFonts w:hint="eastAsia" w:ascii="宋体" w:hAnsi="宋体" w:cs="宋体"/>
          <w:highlight w:val="none"/>
          <w:lang w:val="en-US" w:eastAsia="zh-CN"/>
        </w:rPr>
        <w:t>1201</w:t>
      </w:r>
    </w:p>
    <w:p>
      <w:pPr>
        <w:spacing w:line="360" w:lineRule="auto"/>
        <w:rPr>
          <w:rFonts w:ascii="宋体" w:hAnsi="宋体" w:cs="宋体"/>
          <w:highlight w:val="none"/>
        </w:rPr>
      </w:pPr>
      <w:r>
        <w:rPr>
          <w:rFonts w:ascii="宋体" w:hAnsi="宋体" w:cs="宋体"/>
          <w:highlight w:val="none"/>
        </w:rPr>
        <w:t>二、采购项目名称：</w:t>
      </w:r>
      <w:r>
        <w:rPr>
          <w:rFonts w:hint="eastAsia" w:ascii="宋体" w:hAnsi="宋体" w:cs="宋体"/>
          <w:highlight w:val="none"/>
          <w:lang w:eastAsia="zh-CN"/>
        </w:rPr>
        <w:t>景裕豪园和宇佳水岸新都花园两处公交站场充电站</w:t>
      </w:r>
      <w:r>
        <w:rPr>
          <w:rFonts w:ascii="宋体" w:hAnsi="宋体" w:cs="宋体"/>
          <w:highlight w:val="none"/>
        </w:rPr>
        <w:t>建设运营服务资格项目</w:t>
      </w:r>
    </w:p>
    <w:p>
      <w:pPr>
        <w:spacing w:line="360" w:lineRule="auto"/>
        <w:rPr>
          <w:rFonts w:ascii="宋体" w:hAnsi="宋体" w:cs="宋体"/>
          <w:highlight w:val="none"/>
        </w:rPr>
      </w:pPr>
      <w:r>
        <w:rPr>
          <w:rFonts w:ascii="宋体" w:hAnsi="宋体" w:cs="宋体"/>
          <w:highlight w:val="none"/>
        </w:rPr>
        <w:t>三、采购</w:t>
      </w:r>
      <w:r>
        <w:rPr>
          <w:rFonts w:hint="eastAsia" w:ascii="Calibri" w:hAnsi="Calibri"/>
          <w:color w:val="000000" w:themeColor="text1"/>
          <w:kern w:val="0"/>
          <w:sz w:val="22"/>
          <w:szCs w:val="21"/>
          <w:highlight w:val="none"/>
          <w14:textFill>
            <w14:solidFill>
              <w14:schemeClr w14:val="tx1"/>
            </w14:solidFill>
          </w14:textFill>
        </w:rPr>
        <w:t>项目</w:t>
      </w:r>
      <w:r>
        <w:rPr>
          <w:rFonts w:hint="eastAsia" w:ascii="Calibri" w:hAnsi="Calibri"/>
          <w:color w:val="000000" w:themeColor="text1"/>
          <w:kern w:val="0"/>
          <w:sz w:val="22"/>
          <w:szCs w:val="21"/>
          <w:highlight w:val="none"/>
          <w:lang w:eastAsia="zh-CN"/>
          <w14:textFill>
            <w14:solidFill>
              <w14:schemeClr w14:val="tx1"/>
            </w14:solidFill>
          </w14:textFill>
        </w:rPr>
        <w:t>类型：</w:t>
      </w:r>
      <w:r>
        <w:rPr>
          <w:rFonts w:hint="eastAsia"/>
          <w:color w:val="000000" w:themeColor="text1"/>
          <w:kern w:val="0"/>
          <w:sz w:val="22"/>
          <w:szCs w:val="21"/>
          <w:highlight w:val="none"/>
          <w:lang w:eastAsia="zh-CN"/>
          <w14:textFill>
            <w14:solidFill>
              <w14:schemeClr w14:val="tx1"/>
            </w14:solidFill>
          </w14:textFill>
        </w:rPr>
        <w:t>服务类</w:t>
      </w:r>
    </w:p>
    <w:p>
      <w:pPr>
        <w:spacing w:line="360" w:lineRule="auto"/>
        <w:rPr>
          <w:rFonts w:ascii="宋体" w:hAnsi="宋体" w:cs="宋体"/>
          <w:highlight w:val="none"/>
        </w:rPr>
      </w:pPr>
      <w:r>
        <w:rPr>
          <w:rFonts w:ascii="宋体" w:hAnsi="宋体" w:cs="宋体"/>
          <w:highlight w:val="none"/>
        </w:rPr>
        <w:t>四、采购项目内容及需求：</w:t>
      </w:r>
    </w:p>
    <w:p>
      <w:pPr>
        <w:spacing w:line="360" w:lineRule="auto"/>
        <w:rPr>
          <w:rFonts w:ascii="宋体" w:hAnsi="宋体" w:cs="宋体"/>
          <w:highlight w:val="none"/>
        </w:rPr>
      </w:pPr>
      <w:r>
        <w:rPr>
          <w:rFonts w:ascii="宋体" w:hAnsi="宋体" w:cs="宋体"/>
          <w:highlight w:val="none"/>
        </w:rPr>
        <w:t>1、采购项目内容：</w:t>
      </w:r>
    </w:p>
    <w:tbl>
      <w:tblPr>
        <w:tblStyle w:val="35"/>
        <w:tblW w:w="9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4"/>
        <w:gridCol w:w="1767"/>
        <w:gridCol w:w="3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4" w:type="dxa"/>
            <w:vAlign w:val="center"/>
          </w:tcPr>
          <w:p>
            <w:pPr>
              <w:spacing w:line="360" w:lineRule="auto"/>
              <w:jc w:val="center"/>
              <w:rPr>
                <w:rFonts w:ascii="宋体" w:hAnsi="宋体" w:cs="宋体"/>
                <w:b/>
                <w:bCs/>
                <w:highlight w:val="none"/>
              </w:rPr>
            </w:pPr>
            <w:r>
              <w:rPr>
                <w:rFonts w:ascii="宋体" w:hAnsi="宋体" w:cs="宋体"/>
                <w:b/>
                <w:bCs/>
                <w:highlight w:val="none"/>
              </w:rPr>
              <w:t>内容</w:t>
            </w:r>
          </w:p>
        </w:tc>
        <w:tc>
          <w:tcPr>
            <w:tcW w:w="1767" w:type="dxa"/>
            <w:vAlign w:val="center"/>
          </w:tcPr>
          <w:p>
            <w:pPr>
              <w:spacing w:line="360" w:lineRule="auto"/>
              <w:jc w:val="center"/>
              <w:rPr>
                <w:rFonts w:ascii="宋体" w:hAnsi="宋体" w:cs="宋体"/>
                <w:b/>
                <w:bCs/>
                <w:highlight w:val="none"/>
              </w:rPr>
            </w:pPr>
            <w:r>
              <w:rPr>
                <w:rFonts w:ascii="宋体" w:hAnsi="宋体" w:cs="宋体"/>
                <w:b/>
                <w:bCs/>
                <w:highlight w:val="none"/>
              </w:rPr>
              <w:t>中标人数量</w:t>
            </w:r>
          </w:p>
        </w:tc>
        <w:tc>
          <w:tcPr>
            <w:tcW w:w="3662" w:type="dxa"/>
            <w:vAlign w:val="center"/>
          </w:tcPr>
          <w:p>
            <w:pPr>
              <w:spacing w:line="360" w:lineRule="auto"/>
              <w:jc w:val="center"/>
              <w:rPr>
                <w:rFonts w:ascii="宋体" w:hAnsi="宋体" w:cs="宋体"/>
                <w:b/>
                <w:bCs/>
                <w:highlight w:val="none"/>
              </w:rPr>
            </w:pPr>
            <w:r>
              <w:rPr>
                <w:rFonts w:hint="eastAsia" w:ascii="宋体" w:hAnsi="宋体" w:cs="宋体"/>
                <w:b/>
                <w:bCs/>
                <w:highlight w:val="none"/>
                <w:lang w:eastAsia="zh-CN"/>
              </w:rPr>
              <w:t>建设</w:t>
            </w:r>
            <w:r>
              <w:rPr>
                <w:rFonts w:ascii="宋体" w:hAnsi="宋体" w:cs="宋体"/>
                <w:b/>
                <w:bCs/>
                <w:highlight w:val="none"/>
              </w:rPr>
              <w:t>运营期限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4" w:type="dxa"/>
            <w:vAlign w:val="center"/>
          </w:tcPr>
          <w:p>
            <w:pPr>
              <w:spacing w:line="360" w:lineRule="auto"/>
              <w:jc w:val="center"/>
              <w:rPr>
                <w:rFonts w:ascii="宋体" w:hAnsi="宋体" w:cs="宋体"/>
                <w:highlight w:val="none"/>
              </w:rPr>
            </w:pPr>
            <w:r>
              <w:rPr>
                <w:rFonts w:hint="eastAsia" w:ascii="宋体" w:hAnsi="宋体" w:cs="宋体"/>
                <w:highlight w:val="none"/>
                <w:lang w:eastAsia="zh-CN"/>
              </w:rPr>
              <w:t>景裕豪园和宇佳水岸新都花园两</w:t>
            </w:r>
            <w:r>
              <w:rPr>
                <w:rFonts w:ascii="宋体" w:hAnsi="宋体" w:cs="宋体"/>
                <w:highlight w:val="none"/>
              </w:rPr>
              <w:t>处公交站场充电站建设运营服务资格项目</w:t>
            </w:r>
          </w:p>
        </w:tc>
        <w:tc>
          <w:tcPr>
            <w:tcW w:w="1767" w:type="dxa"/>
            <w:vAlign w:val="center"/>
          </w:tcPr>
          <w:p>
            <w:pPr>
              <w:spacing w:line="360" w:lineRule="auto"/>
              <w:jc w:val="center"/>
              <w:rPr>
                <w:rFonts w:hint="default" w:ascii="宋体" w:hAnsi="宋体" w:cs="宋体"/>
                <w:highlight w:val="none"/>
              </w:rPr>
            </w:pPr>
            <w:r>
              <w:rPr>
                <w:rFonts w:ascii="宋体" w:hAnsi="宋体" w:cs="宋体"/>
                <w:highlight w:val="none"/>
              </w:rPr>
              <w:t>1名</w:t>
            </w:r>
          </w:p>
        </w:tc>
        <w:tc>
          <w:tcPr>
            <w:tcW w:w="3662" w:type="dxa"/>
            <w:vAlign w:val="center"/>
          </w:tcPr>
          <w:p>
            <w:pPr>
              <w:spacing w:line="360" w:lineRule="auto"/>
              <w:jc w:val="center"/>
              <w:rPr>
                <w:rFonts w:ascii="宋体" w:hAnsi="宋体" w:cs="宋体"/>
                <w:highlight w:val="none"/>
              </w:rPr>
            </w:pPr>
            <w:r>
              <w:rPr>
                <w:rFonts w:ascii="宋体" w:hAnsi="宋体" w:cs="宋体"/>
                <w:highlight w:val="none"/>
              </w:rPr>
              <w:t>10年</w:t>
            </w:r>
          </w:p>
          <w:p>
            <w:pPr>
              <w:spacing w:line="360" w:lineRule="auto"/>
              <w:jc w:val="center"/>
              <w:rPr>
                <w:rFonts w:hint="eastAsia" w:ascii="宋体" w:hAnsi="宋体" w:eastAsia="宋体" w:cs="宋体"/>
                <w:highlight w:val="none"/>
                <w:lang w:eastAsia="zh-CN"/>
              </w:rPr>
            </w:pPr>
            <w:r>
              <w:rPr>
                <w:rFonts w:ascii="宋体" w:hAnsi="宋体" w:cs="宋体"/>
                <w:highlight w:val="none"/>
              </w:rPr>
              <w:t>（建设期为</w:t>
            </w:r>
            <w:r>
              <w:rPr>
                <w:rFonts w:hint="eastAsia" w:ascii="宋体" w:hAnsi="宋体" w:cs="宋体"/>
                <w:highlight w:val="none"/>
                <w:lang w:eastAsia="zh-CN"/>
              </w:rPr>
              <w:t>协议</w:t>
            </w:r>
            <w:r>
              <w:rPr>
                <w:rFonts w:ascii="宋体" w:hAnsi="宋体" w:cs="宋体"/>
                <w:highlight w:val="none"/>
              </w:rPr>
              <w:t>签订生效之日起三个月内</w:t>
            </w:r>
            <w:r>
              <w:rPr>
                <w:rFonts w:hint="eastAsia" w:ascii="宋体" w:hAnsi="宋体" w:cs="宋体"/>
                <w:highlight w:val="none"/>
                <w:lang w:eastAsia="zh-CN"/>
              </w:rPr>
              <w:t>）</w:t>
            </w:r>
          </w:p>
        </w:tc>
      </w:tr>
    </w:tbl>
    <w:p>
      <w:pPr>
        <w:rPr>
          <w:highlight w:val="none"/>
        </w:rPr>
      </w:pPr>
    </w:p>
    <w:p>
      <w:pPr>
        <w:spacing w:line="360" w:lineRule="auto"/>
        <w:rPr>
          <w:rFonts w:ascii="宋体" w:hAnsi="宋体" w:cs="宋体"/>
          <w:highlight w:val="none"/>
        </w:rPr>
      </w:pPr>
      <w:r>
        <w:rPr>
          <w:rFonts w:ascii="宋体" w:hAnsi="宋体" w:cs="宋体"/>
          <w:highlight w:val="none"/>
        </w:rPr>
        <w:t>2、项目技术规格、参数及要求：详见内容请参阅招标文件第三部分《采购项目内容》。</w:t>
      </w:r>
    </w:p>
    <w:p>
      <w:pPr>
        <w:spacing w:line="360" w:lineRule="auto"/>
        <w:rPr>
          <w:rFonts w:ascii="宋体" w:hAnsi="宋体" w:cs="宋体"/>
          <w:highlight w:val="none"/>
        </w:rPr>
      </w:pPr>
      <w:r>
        <w:rPr>
          <w:rFonts w:ascii="宋体" w:hAnsi="宋体" w:cs="宋体"/>
          <w:highlight w:val="none"/>
        </w:rPr>
        <w:t>五、供应商资格：</w:t>
      </w:r>
    </w:p>
    <w:p>
      <w:pPr>
        <w:spacing w:line="360" w:lineRule="auto"/>
        <w:rPr>
          <w:rFonts w:ascii="宋体" w:hAnsi="宋体" w:cs="宋体"/>
          <w:szCs w:val="21"/>
          <w:highlight w:val="none"/>
        </w:rPr>
      </w:pPr>
      <w:r>
        <w:rPr>
          <w:rFonts w:ascii="宋体" w:hAnsi="宋体" w:cs="宋体"/>
          <w:szCs w:val="21"/>
          <w:highlight w:val="none"/>
        </w:rPr>
        <w:t>1、投标人应具备以下规定的条件：</w:t>
      </w:r>
    </w:p>
    <w:p>
      <w:pPr>
        <w:spacing w:line="360" w:lineRule="auto"/>
        <w:rPr>
          <w:rFonts w:ascii="宋体" w:hAnsi="宋体" w:cs="宋体"/>
          <w:szCs w:val="21"/>
          <w:highlight w:val="none"/>
        </w:rPr>
      </w:pPr>
      <w:r>
        <w:rPr>
          <w:rFonts w:ascii="宋体" w:hAnsi="宋体" w:cs="宋体"/>
          <w:szCs w:val="21"/>
          <w:highlight w:val="none"/>
        </w:rPr>
        <w:t>（1）具有独立承担民事责任的能力；</w:t>
      </w:r>
    </w:p>
    <w:p>
      <w:pPr>
        <w:spacing w:line="360" w:lineRule="auto"/>
        <w:rPr>
          <w:rFonts w:ascii="宋体" w:hAnsi="宋体" w:cs="宋体"/>
          <w:szCs w:val="21"/>
          <w:highlight w:val="none"/>
        </w:rPr>
      </w:pPr>
      <w:r>
        <w:rPr>
          <w:rFonts w:ascii="宋体" w:hAnsi="宋体" w:cs="宋体"/>
          <w:szCs w:val="21"/>
          <w:highlight w:val="none"/>
        </w:rPr>
        <w:t>（2）具有良好的商业信誉和健全的财务会计制度；</w:t>
      </w:r>
    </w:p>
    <w:p>
      <w:pPr>
        <w:spacing w:line="360" w:lineRule="auto"/>
        <w:rPr>
          <w:rFonts w:ascii="宋体" w:hAnsi="宋体" w:cs="宋体"/>
          <w:szCs w:val="21"/>
          <w:highlight w:val="none"/>
        </w:rPr>
      </w:pPr>
      <w:r>
        <w:rPr>
          <w:rFonts w:ascii="宋体" w:hAnsi="宋体" w:cs="宋体"/>
          <w:szCs w:val="21"/>
          <w:highlight w:val="none"/>
        </w:rPr>
        <w:t>（3）具有履行合同所必需的设备和专业技术能力；</w:t>
      </w:r>
    </w:p>
    <w:p>
      <w:pPr>
        <w:spacing w:line="360" w:lineRule="auto"/>
        <w:rPr>
          <w:rFonts w:ascii="宋体" w:hAnsi="宋体" w:cs="宋体"/>
          <w:szCs w:val="21"/>
          <w:highlight w:val="none"/>
        </w:rPr>
      </w:pPr>
      <w:r>
        <w:rPr>
          <w:rFonts w:ascii="宋体" w:hAnsi="宋体" w:cs="宋体"/>
          <w:szCs w:val="21"/>
          <w:highlight w:val="none"/>
        </w:rPr>
        <w:t>（4）有依法缴纳税收和社会保障资金的良好记录；</w:t>
      </w:r>
    </w:p>
    <w:p>
      <w:pPr>
        <w:spacing w:line="360" w:lineRule="auto"/>
        <w:rPr>
          <w:rFonts w:hint="eastAsia" w:ascii="宋体" w:hAnsi="宋体" w:eastAsia="宋体" w:cs="宋体"/>
          <w:szCs w:val="21"/>
          <w:highlight w:val="none"/>
          <w:lang w:eastAsia="zh-CN"/>
        </w:rPr>
      </w:pPr>
      <w:r>
        <w:rPr>
          <w:rFonts w:ascii="宋体" w:hAnsi="宋体" w:cs="宋体"/>
          <w:szCs w:val="21"/>
          <w:highlight w:val="none"/>
        </w:rPr>
        <w:t>（5）参与本项目采购前三年内，在经营活动中没有重大违法记录</w:t>
      </w:r>
      <w:r>
        <w:rPr>
          <w:rFonts w:hint="eastAsia" w:ascii="宋体" w:hAnsi="宋体" w:cs="宋体"/>
          <w:szCs w:val="21"/>
          <w:highlight w:val="none"/>
          <w:lang w:eastAsia="zh-CN"/>
        </w:rPr>
        <w:t>。</w:t>
      </w:r>
    </w:p>
    <w:p>
      <w:pPr>
        <w:spacing w:line="360" w:lineRule="auto"/>
        <w:rPr>
          <w:rFonts w:ascii="宋体" w:hAnsi="宋体" w:cs="宋体"/>
          <w:szCs w:val="21"/>
          <w:highlight w:val="none"/>
        </w:rPr>
      </w:pPr>
      <w:r>
        <w:rPr>
          <w:rFonts w:hint="default" w:ascii="宋体" w:hAnsi="宋体" w:cs="宋体"/>
          <w:szCs w:val="21"/>
          <w:highlight w:val="none"/>
        </w:rPr>
        <w:t>2</w:t>
      </w:r>
      <w:r>
        <w:rPr>
          <w:rFonts w:ascii="宋体" w:hAnsi="宋体" w:cs="宋体"/>
          <w:szCs w:val="21"/>
          <w:highlight w:val="none"/>
        </w:rPr>
        <w:t>、本项目不接受联合体投标。</w:t>
      </w:r>
    </w:p>
    <w:p>
      <w:pPr>
        <w:spacing w:line="360" w:lineRule="auto"/>
        <w:rPr>
          <w:rFonts w:ascii="宋体" w:hAnsi="宋体" w:cs="宋体"/>
          <w:highlight w:val="none"/>
        </w:rPr>
      </w:pPr>
      <w:r>
        <w:rPr>
          <w:rFonts w:hint="eastAsia" w:ascii="宋体" w:hAnsi="宋体" w:cs="宋体"/>
          <w:highlight w:val="none"/>
          <w:lang w:val="en-US" w:eastAsia="zh-CN"/>
        </w:rPr>
        <w:t>六、</w:t>
      </w:r>
      <w:commentRangeStart w:id="0"/>
      <w:r>
        <w:rPr>
          <w:rFonts w:ascii="宋体" w:hAnsi="宋体" w:cs="宋体"/>
          <w:highlight w:val="none"/>
        </w:rPr>
        <w:t>报名及获取招标文件方法</w:t>
      </w:r>
      <w:commentRangeEnd w:id="0"/>
      <w:r>
        <w:rPr>
          <w:highlight w:val="none"/>
        </w:rPr>
        <w:commentReference w:id="0"/>
      </w:r>
      <w:r>
        <w:rPr>
          <w:rFonts w:ascii="宋体" w:hAnsi="宋体" w:cs="宋体"/>
          <w:highlight w:val="none"/>
        </w:rPr>
        <w:t>：</w:t>
      </w:r>
    </w:p>
    <w:p>
      <w:pPr>
        <w:wordWrap w:val="0"/>
        <w:spacing w:line="360" w:lineRule="auto"/>
        <w:ind w:firstLine="420" w:firstLineChars="200"/>
        <w:jc w:val="left"/>
        <w:rPr>
          <w:rFonts w:hint="eastAsia" w:ascii="宋体" w:hAnsi="宋体" w:eastAsia="宋体" w:cs="宋体"/>
          <w:highlight w:val="none"/>
          <w:lang w:eastAsia="zh-CN"/>
        </w:rPr>
      </w:pPr>
      <w:r>
        <w:rPr>
          <w:rFonts w:hint="eastAsia" w:ascii="宋体" w:hAnsi="宋体" w:cs="宋体"/>
          <w:highlight w:val="none"/>
        </w:rPr>
        <w:t>本项目无需</w:t>
      </w:r>
      <w:r>
        <w:rPr>
          <w:rFonts w:hint="eastAsia" w:ascii="宋体" w:hAnsi="宋体" w:cs="宋体"/>
          <w:highlight w:val="none"/>
          <w:lang w:val="en-US" w:eastAsia="zh-CN"/>
        </w:rPr>
        <w:t>现场</w:t>
      </w:r>
      <w:r>
        <w:rPr>
          <w:rFonts w:hint="eastAsia" w:ascii="宋体" w:hAnsi="宋体" w:cs="宋体"/>
          <w:highlight w:val="none"/>
        </w:rPr>
        <w:t>报名，招标文件在网站公告自行下载</w:t>
      </w:r>
      <w:r>
        <w:rPr>
          <w:rFonts w:hint="eastAsia" w:ascii="宋体" w:hAnsi="宋体" w:cs="宋体"/>
          <w:highlight w:val="none"/>
          <w:lang w:eastAsia="zh-CN"/>
        </w:rPr>
        <w:t>。</w:t>
      </w:r>
    </w:p>
    <w:p>
      <w:pPr>
        <w:wordWrap w:val="0"/>
        <w:spacing w:line="360" w:lineRule="auto"/>
        <w:ind w:firstLine="420" w:firstLineChars="200"/>
        <w:jc w:val="left"/>
        <w:rPr>
          <w:rFonts w:ascii="宋体" w:hAnsi="宋体" w:cs="宋体"/>
          <w:highlight w:val="none"/>
        </w:rPr>
      </w:pPr>
      <w:r>
        <w:rPr>
          <w:rFonts w:ascii="宋体" w:hAnsi="宋体" w:cs="宋体"/>
          <w:highlight w:val="none"/>
        </w:rPr>
        <w:t>发布公告媒介：</w:t>
      </w:r>
      <w:r>
        <w:rPr>
          <w:rFonts w:hint="eastAsia" w:ascii="宋体" w:hAnsi="宋体" w:cs="宋体"/>
          <w:highlight w:val="none"/>
        </w:rPr>
        <w:t>中国招标投标公共服务平台（www.cebpubservice.com）</w:t>
      </w:r>
      <w:r>
        <w:rPr>
          <w:rFonts w:ascii="宋体" w:hAnsi="宋体" w:cs="宋体"/>
          <w:highlight w:val="none"/>
        </w:rPr>
        <w:t>,“千年古群 幸福南海”政府门户网站的佛山市公共资源交易中心南海分中心栏目(http://www.nanhai.gov.cn/jyh/ggzy/index.html)、中国政府采购网（http://www.ccgp.gov.cn/）</w:t>
      </w:r>
    </w:p>
    <w:p>
      <w:pPr>
        <w:spacing w:line="360" w:lineRule="auto"/>
        <w:ind w:firstLine="420" w:firstLineChars="200"/>
        <w:rPr>
          <w:rFonts w:ascii="宋体" w:hAnsi="宋体" w:cs="宋体"/>
          <w:highlight w:val="none"/>
        </w:rPr>
      </w:pPr>
      <w:r>
        <w:rPr>
          <w:rFonts w:ascii="宋体" w:hAnsi="宋体" w:cs="宋体"/>
          <w:highlight w:val="none"/>
        </w:rPr>
        <w:fldChar w:fldCharType="begin"/>
      </w:r>
      <w:r>
        <w:rPr>
          <w:rFonts w:ascii="宋体" w:hAnsi="宋体" w:cs="宋体"/>
          <w:highlight w:val="none"/>
        </w:rPr>
        <w:instrText xml:space="preserve"> HYPERLINK "mailto:本项目实行网上答疑，凡对招标文件有任何疑问的（包括认为招标文件的服务或商务条款存在排他性或歧视性条款），请投标人在公示期间或者自期满之日起七个工作日内以书面形式向采购代理机构提出(发送邮件至nhhongzheng@126.com或传真至0757-86368680),逾期不受理。答疑结果或相关的补充说明以修正/澄清公告形式及在指定媒体网站中公布，望投标人及时关注本项目的投标答疑情况。投标人因疏忽未及时登陆了解相关的答疑情况及补充说明而产生的不利后果由投标人自行承担。" </w:instrText>
      </w:r>
      <w:r>
        <w:rPr>
          <w:rFonts w:ascii="宋体" w:hAnsi="宋体" w:cs="宋体"/>
          <w:highlight w:val="none"/>
        </w:rPr>
        <w:fldChar w:fldCharType="separate"/>
      </w:r>
      <w:r>
        <w:rPr>
          <w:rStyle w:val="41"/>
          <w:rFonts w:ascii="宋体" w:hAnsi="宋体" w:cs="宋体"/>
          <w:color w:val="auto"/>
          <w:highlight w:val="none"/>
        </w:rPr>
        <w:t>本项目实行网上答疑，凡对招标文件有任何疑问的（包括认为招标文件的服务或商务条款存在排他性或歧视性条款），请投标人在公示期间或者自期满之日起</w:t>
      </w:r>
      <w:r>
        <w:rPr>
          <w:rFonts w:ascii="宋体" w:hAnsi="宋体" w:cs="宋体"/>
          <w:szCs w:val="21"/>
          <w:highlight w:val="none"/>
        </w:rPr>
        <w:t>七个</w:t>
      </w:r>
      <w:r>
        <w:rPr>
          <w:rFonts w:ascii="宋体" w:hAnsi="宋体" w:cs="宋体"/>
          <w:highlight w:val="none"/>
        </w:rPr>
        <w:t>工作日</w:t>
      </w:r>
      <w:r>
        <w:rPr>
          <w:rStyle w:val="41"/>
          <w:rFonts w:ascii="宋体" w:hAnsi="宋体" w:cs="宋体"/>
          <w:color w:val="auto"/>
          <w:highlight w:val="none"/>
        </w:rPr>
        <w:t>内以书面形式向采购代理机构提出(发送</w:t>
      </w:r>
      <w:r>
        <w:rPr>
          <w:rFonts w:ascii="宋体" w:hAnsi="宋体" w:cs="宋体"/>
          <w:highlight w:val="none"/>
        </w:rPr>
        <w:t>邮件</w:t>
      </w:r>
      <w:r>
        <w:rPr>
          <w:rStyle w:val="41"/>
          <w:rFonts w:ascii="宋体" w:hAnsi="宋体" w:cs="宋体"/>
          <w:color w:val="auto"/>
          <w:highlight w:val="none"/>
        </w:rPr>
        <w:t>至</w:t>
      </w:r>
      <w:r>
        <w:rPr>
          <w:rStyle w:val="41"/>
          <w:rFonts w:hint="eastAsia" w:ascii="宋体" w:hAnsi="宋体" w:cs="宋体"/>
          <w:color w:val="auto"/>
          <w:highlight w:val="none"/>
          <w:lang w:val="en-US" w:eastAsia="zh-CN"/>
        </w:rPr>
        <w:t>zsh760655851</w:t>
      </w:r>
      <w:r>
        <w:rPr>
          <w:rStyle w:val="41"/>
          <w:rFonts w:ascii="宋体" w:hAnsi="宋体" w:cs="宋体"/>
          <w:color w:val="auto"/>
          <w:highlight w:val="none"/>
        </w:rPr>
        <w:t>@126.com),逾期不受理。答疑结果或相关的补充说明以修正/澄清</w:t>
      </w:r>
      <w:r>
        <w:rPr>
          <w:rFonts w:ascii="宋体" w:hAnsi="宋体" w:cs="宋体"/>
          <w:highlight w:val="none"/>
        </w:rPr>
        <w:t>公告形式</w:t>
      </w:r>
      <w:r>
        <w:rPr>
          <w:rStyle w:val="41"/>
          <w:rFonts w:ascii="宋体" w:hAnsi="宋体" w:cs="宋体"/>
          <w:color w:val="auto"/>
          <w:highlight w:val="none"/>
        </w:rPr>
        <w:t>及在指定媒体网站中公布，望投标人及时关注本项目的投标答疑情况。投标人因疏忽未及时登陆了解相关的答疑情况及补充说明而产生的不利后果由投标人自行承担。</w:t>
      </w:r>
      <w:r>
        <w:rPr>
          <w:rFonts w:ascii="宋体" w:hAnsi="宋体" w:cs="宋体"/>
          <w:highlight w:val="none"/>
        </w:rPr>
        <w:fldChar w:fldCharType="end"/>
      </w:r>
    </w:p>
    <w:p>
      <w:pPr>
        <w:spacing w:line="360" w:lineRule="auto"/>
        <w:rPr>
          <w:rFonts w:ascii="宋体" w:hAnsi="宋体" w:cs="宋体"/>
          <w:highlight w:val="none"/>
        </w:rPr>
      </w:pPr>
      <w:r>
        <w:rPr>
          <w:rFonts w:hint="eastAsia" w:ascii="宋体" w:hAnsi="宋体" w:cs="宋体"/>
          <w:highlight w:val="none"/>
          <w:lang w:val="en-US" w:eastAsia="zh-CN"/>
        </w:rPr>
        <w:t>七</w:t>
      </w:r>
      <w:r>
        <w:rPr>
          <w:rFonts w:ascii="宋体" w:hAnsi="宋体" w:cs="宋体"/>
          <w:highlight w:val="none"/>
        </w:rPr>
        <w:t>、投标截止时间：2022年</w:t>
      </w:r>
      <w:r>
        <w:rPr>
          <w:rFonts w:hint="eastAsia" w:ascii="宋体" w:hAnsi="宋体" w:cs="宋体"/>
          <w:highlight w:val="none"/>
          <w:lang w:val="en-US" w:eastAsia="zh-CN"/>
        </w:rPr>
        <w:t xml:space="preserve"> 12 </w:t>
      </w:r>
      <w:r>
        <w:rPr>
          <w:rFonts w:ascii="宋体" w:hAnsi="宋体" w:cs="宋体"/>
          <w:highlight w:val="none"/>
        </w:rPr>
        <w:t>月</w:t>
      </w:r>
      <w:r>
        <w:rPr>
          <w:rFonts w:hint="eastAsia" w:ascii="宋体" w:hAnsi="宋体" w:cs="宋体"/>
          <w:highlight w:val="none"/>
          <w:lang w:val="en-US" w:eastAsia="zh-CN"/>
        </w:rPr>
        <w:t xml:space="preserve"> 20 </w:t>
      </w:r>
      <w:r>
        <w:rPr>
          <w:rFonts w:ascii="宋体" w:hAnsi="宋体" w:cs="宋体"/>
          <w:highlight w:val="none"/>
        </w:rPr>
        <w:t>日</w:t>
      </w:r>
      <w:r>
        <w:rPr>
          <w:rFonts w:hint="eastAsia" w:ascii="宋体" w:hAnsi="宋体" w:cs="宋体"/>
          <w:highlight w:val="none"/>
          <w:lang w:val="en-US" w:eastAsia="zh-CN"/>
        </w:rPr>
        <w:t xml:space="preserve"> 09 </w:t>
      </w:r>
      <w:r>
        <w:rPr>
          <w:rFonts w:ascii="宋体" w:hAnsi="宋体" w:cs="宋体"/>
          <w:highlight w:val="none"/>
        </w:rPr>
        <w:t>时</w:t>
      </w:r>
      <w:r>
        <w:rPr>
          <w:rFonts w:hint="eastAsia" w:ascii="宋体" w:hAnsi="宋体" w:cs="宋体"/>
          <w:highlight w:val="none"/>
          <w:lang w:val="en-US" w:eastAsia="zh-CN"/>
        </w:rPr>
        <w:t xml:space="preserve"> 30 </w:t>
      </w:r>
      <w:r>
        <w:rPr>
          <w:rFonts w:ascii="宋体" w:hAnsi="宋体" w:cs="宋体"/>
          <w:highlight w:val="none"/>
        </w:rPr>
        <w:t>分。</w:t>
      </w:r>
    </w:p>
    <w:p>
      <w:pPr>
        <w:spacing w:line="360" w:lineRule="auto"/>
        <w:rPr>
          <w:rFonts w:ascii="宋体" w:hAnsi="宋体" w:cs="宋体"/>
          <w:highlight w:val="none"/>
        </w:rPr>
      </w:pPr>
      <w:r>
        <w:rPr>
          <w:rFonts w:hint="eastAsia" w:ascii="宋体" w:hAnsi="宋体" w:cs="宋体"/>
          <w:highlight w:val="none"/>
          <w:lang w:val="en-US" w:eastAsia="zh-CN"/>
        </w:rPr>
        <w:t>八</w:t>
      </w:r>
      <w:r>
        <w:rPr>
          <w:rFonts w:ascii="宋体" w:hAnsi="宋体" w:cs="宋体"/>
          <w:highlight w:val="none"/>
        </w:rPr>
        <w:t>、提交投标文件地点：</w:t>
      </w:r>
      <w:r>
        <w:rPr>
          <w:rFonts w:hint="eastAsia" w:ascii="宋体" w:hAnsi="宋体" w:cs="宋体"/>
          <w:highlight w:val="none"/>
        </w:rPr>
        <w:t>佛山市南海区桂城海六路8号联达大厦21楼佛山市南海公有资产流转服务有限公司。</w:t>
      </w:r>
      <w:r>
        <w:rPr>
          <w:rFonts w:ascii="宋体" w:hAnsi="宋体" w:cs="宋体"/>
          <w:highlight w:val="none"/>
        </w:rPr>
        <w:t>（递交投标文件时间：2022年</w:t>
      </w:r>
      <w:r>
        <w:rPr>
          <w:rFonts w:hint="eastAsia" w:ascii="宋体" w:hAnsi="宋体" w:cs="宋体"/>
          <w:highlight w:val="none"/>
          <w:lang w:val="en-US" w:eastAsia="zh-CN"/>
        </w:rPr>
        <w:t xml:space="preserve"> 12 </w:t>
      </w:r>
      <w:r>
        <w:rPr>
          <w:rFonts w:ascii="宋体" w:hAnsi="宋体" w:cs="宋体"/>
          <w:highlight w:val="none"/>
        </w:rPr>
        <w:t>月</w:t>
      </w:r>
      <w:r>
        <w:rPr>
          <w:rFonts w:hint="eastAsia" w:ascii="宋体" w:hAnsi="宋体" w:cs="宋体"/>
          <w:highlight w:val="none"/>
          <w:lang w:val="en-US" w:eastAsia="zh-CN"/>
        </w:rPr>
        <w:t xml:space="preserve"> 20 </w:t>
      </w:r>
      <w:r>
        <w:rPr>
          <w:rFonts w:ascii="宋体" w:hAnsi="宋体" w:cs="宋体"/>
          <w:highlight w:val="none"/>
        </w:rPr>
        <w:t>日</w:t>
      </w:r>
      <w:r>
        <w:rPr>
          <w:rFonts w:hint="eastAsia" w:ascii="宋体" w:hAnsi="宋体" w:cs="宋体"/>
          <w:highlight w:val="none"/>
          <w:lang w:val="en-US" w:eastAsia="zh-CN"/>
        </w:rPr>
        <w:t xml:space="preserve"> 09 </w:t>
      </w:r>
      <w:r>
        <w:rPr>
          <w:rFonts w:ascii="宋体" w:hAnsi="宋体" w:cs="宋体"/>
          <w:highlight w:val="none"/>
        </w:rPr>
        <w:t>时</w:t>
      </w:r>
      <w:r>
        <w:rPr>
          <w:rFonts w:hint="eastAsia" w:ascii="宋体" w:hAnsi="宋体" w:cs="宋体"/>
          <w:highlight w:val="none"/>
          <w:lang w:val="en-US" w:eastAsia="zh-CN"/>
        </w:rPr>
        <w:t xml:space="preserve"> 00 </w:t>
      </w:r>
      <w:r>
        <w:rPr>
          <w:rFonts w:ascii="宋体" w:hAnsi="宋体" w:cs="宋体"/>
          <w:highlight w:val="none"/>
        </w:rPr>
        <w:t>分至</w:t>
      </w:r>
      <w:r>
        <w:rPr>
          <w:rFonts w:hint="eastAsia" w:ascii="宋体" w:hAnsi="宋体" w:cs="宋体"/>
          <w:highlight w:val="none"/>
          <w:lang w:val="en-US" w:eastAsia="zh-CN"/>
        </w:rPr>
        <w:t xml:space="preserve"> 09 </w:t>
      </w:r>
      <w:r>
        <w:rPr>
          <w:rFonts w:ascii="宋体" w:hAnsi="宋体" w:cs="宋体"/>
          <w:highlight w:val="none"/>
        </w:rPr>
        <w:t>时</w:t>
      </w:r>
      <w:r>
        <w:rPr>
          <w:rFonts w:hint="eastAsia" w:ascii="宋体" w:hAnsi="宋体" w:cs="宋体"/>
          <w:highlight w:val="none"/>
          <w:lang w:val="en-US" w:eastAsia="zh-CN"/>
        </w:rPr>
        <w:t xml:space="preserve"> 30 </w:t>
      </w:r>
      <w:r>
        <w:rPr>
          <w:rFonts w:ascii="宋体" w:hAnsi="宋体" w:cs="宋体"/>
          <w:highlight w:val="none"/>
        </w:rPr>
        <w:t>分（北京时间））。</w:t>
      </w:r>
    </w:p>
    <w:p>
      <w:pPr>
        <w:spacing w:line="360" w:lineRule="auto"/>
        <w:rPr>
          <w:rFonts w:ascii="宋体" w:hAnsi="宋体" w:cs="宋体"/>
          <w:highlight w:val="none"/>
        </w:rPr>
      </w:pPr>
      <w:r>
        <w:rPr>
          <w:rFonts w:hint="eastAsia" w:ascii="宋体" w:hAnsi="宋体" w:cs="宋体"/>
          <w:highlight w:val="none"/>
          <w:lang w:val="en-US" w:eastAsia="zh-CN"/>
        </w:rPr>
        <w:t>九</w:t>
      </w:r>
      <w:r>
        <w:rPr>
          <w:rFonts w:ascii="宋体" w:hAnsi="宋体" w:cs="宋体"/>
          <w:highlight w:val="none"/>
        </w:rPr>
        <w:t>、开标时间：2022年</w:t>
      </w:r>
      <w:r>
        <w:rPr>
          <w:rFonts w:hint="eastAsia" w:ascii="宋体" w:hAnsi="宋体" w:cs="宋体"/>
          <w:highlight w:val="none"/>
          <w:lang w:val="en-US" w:eastAsia="zh-CN"/>
        </w:rPr>
        <w:t xml:space="preserve"> 12 </w:t>
      </w:r>
      <w:r>
        <w:rPr>
          <w:rFonts w:ascii="宋体" w:hAnsi="宋体" w:cs="宋体"/>
          <w:highlight w:val="none"/>
        </w:rPr>
        <w:t>月</w:t>
      </w:r>
      <w:r>
        <w:rPr>
          <w:rFonts w:hint="eastAsia" w:ascii="宋体" w:hAnsi="宋体" w:cs="宋体"/>
          <w:highlight w:val="none"/>
          <w:lang w:val="en-US" w:eastAsia="zh-CN"/>
        </w:rPr>
        <w:t xml:space="preserve"> 20 </w:t>
      </w:r>
      <w:r>
        <w:rPr>
          <w:rFonts w:ascii="宋体" w:hAnsi="宋体" w:cs="宋体"/>
          <w:highlight w:val="none"/>
        </w:rPr>
        <w:t>日</w:t>
      </w:r>
      <w:r>
        <w:rPr>
          <w:rFonts w:hint="eastAsia" w:ascii="宋体" w:hAnsi="宋体" w:cs="宋体"/>
          <w:highlight w:val="none"/>
          <w:lang w:val="en-US" w:eastAsia="zh-CN"/>
        </w:rPr>
        <w:t xml:space="preserve"> 09 </w:t>
      </w:r>
      <w:r>
        <w:rPr>
          <w:rFonts w:ascii="宋体" w:hAnsi="宋体" w:cs="宋体"/>
          <w:highlight w:val="none"/>
        </w:rPr>
        <w:t>时</w:t>
      </w:r>
      <w:r>
        <w:rPr>
          <w:rFonts w:hint="eastAsia" w:ascii="宋体" w:hAnsi="宋体" w:cs="宋体"/>
          <w:highlight w:val="none"/>
          <w:lang w:val="en-US" w:eastAsia="zh-CN"/>
        </w:rPr>
        <w:t xml:space="preserve"> 30 </w:t>
      </w:r>
      <w:r>
        <w:rPr>
          <w:rFonts w:ascii="宋体" w:hAnsi="宋体" w:cs="宋体"/>
          <w:highlight w:val="none"/>
        </w:rPr>
        <w:t>分（北京时间）。</w:t>
      </w:r>
    </w:p>
    <w:p>
      <w:pPr>
        <w:spacing w:line="360" w:lineRule="auto"/>
        <w:rPr>
          <w:rFonts w:hint="eastAsia" w:ascii="宋体" w:hAnsi="宋体" w:cs="宋体"/>
          <w:highlight w:val="none"/>
        </w:rPr>
      </w:pPr>
      <w:r>
        <w:rPr>
          <w:rFonts w:hint="eastAsia" w:ascii="宋体" w:hAnsi="宋体" w:cs="宋体"/>
          <w:highlight w:val="none"/>
          <w:lang w:val="en-US" w:eastAsia="zh-CN"/>
        </w:rPr>
        <w:t>十</w:t>
      </w:r>
      <w:r>
        <w:rPr>
          <w:rFonts w:ascii="宋体" w:hAnsi="宋体" w:cs="宋体"/>
          <w:highlight w:val="none"/>
        </w:rPr>
        <w:t>、开标地点：</w:t>
      </w:r>
      <w:r>
        <w:rPr>
          <w:rFonts w:hint="eastAsia" w:ascii="宋体" w:hAnsi="宋体" w:cs="宋体"/>
          <w:highlight w:val="none"/>
        </w:rPr>
        <w:t xml:space="preserve">佛山市南海区桂城海六路8号联达大厦21楼佛山市南海公有资产流转服务有限公司。 </w:t>
      </w:r>
    </w:p>
    <w:p>
      <w:pPr>
        <w:spacing w:line="360" w:lineRule="auto"/>
        <w:rPr>
          <w:rFonts w:ascii="宋体" w:hAnsi="宋体" w:cs="宋体"/>
          <w:highlight w:val="none"/>
        </w:rPr>
      </w:pPr>
      <w:r>
        <w:rPr>
          <w:rFonts w:ascii="宋体" w:hAnsi="宋体" w:cs="宋体"/>
          <w:highlight w:val="none"/>
        </w:rPr>
        <w:t>十</w:t>
      </w:r>
      <w:r>
        <w:rPr>
          <w:rFonts w:hint="eastAsia" w:ascii="宋体" w:hAnsi="宋体" w:cs="宋体"/>
          <w:highlight w:val="none"/>
          <w:lang w:val="en-US" w:eastAsia="zh-CN"/>
        </w:rPr>
        <w:t>一</w:t>
      </w:r>
      <w:r>
        <w:rPr>
          <w:rFonts w:ascii="宋体" w:hAnsi="宋体" w:cs="宋体"/>
          <w:highlight w:val="none"/>
        </w:rPr>
        <w:t>、本公告期限：自2022年</w:t>
      </w:r>
      <w:r>
        <w:rPr>
          <w:rFonts w:hint="eastAsia" w:ascii="宋体" w:hAnsi="宋体" w:cs="宋体"/>
          <w:highlight w:val="none"/>
          <w:lang w:val="en-US" w:eastAsia="zh-CN"/>
        </w:rPr>
        <w:t xml:space="preserve"> 11 </w:t>
      </w:r>
      <w:r>
        <w:rPr>
          <w:rFonts w:ascii="宋体" w:hAnsi="宋体" w:cs="宋体"/>
          <w:highlight w:val="none"/>
        </w:rPr>
        <w:t>月</w:t>
      </w:r>
      <w:r>
        <w:rPr>
          <w:rFonts w:hint="eastAsia" w:ascii="宋体" w:hAnsi="宋体" w:cs="宋体"/>
          <w:highlight w:val="none"/>
          <w:lang w:val="en-US" w:eastAsia="zh-CN"/>
        </w:rPr>
        <w:t xml:space="preserve"> 29 </w:t>
      </w:r>
      <w:r>
        <w:rPr>
          <w:rFonts w:ascii="宋体" w:hAnsi="宋体" w:cs="宋体"/>
          <w:highlight w:val="none"/>
        </w:rPr>
        <w:t>日至2022年</w:t>
      </w:r>
      <w:r>
        <w:rPr>
          <w:rFonts w:hint="eastAsia" w:ascii="宋体" w:hAnsi="宋体" w:cs="宋体"/>
          <w:highlight w:val="none"/>
          <w:lang w:val="en-US" w:eastAsia="zh-CN"/>
        </w:rPr>
        <w:t xml:space="preserve"> 12 </w:t>
      </w:r>
      <w:r>
        <w:rPr>
          <w:rFonts w:ascii="宋体" w:hAnsi="宋体" w:cs="宋体"/>
          <w:highlight w:val="none"/>
        </w:rPr>
        <w:t>月</w:t>
      </w:r>
      <w:r>
        <w:rPr>
          <w:rFonts w:hint="eastAsia" w:ascii="宋体" w:hAnsi="宋体" w:cs="宋体"/>
          <w:highlight w:val="none"/>
          <w:lang w:val="en-US" w:eastAsia="zh-CN"/>
        </w:rPr>
        <w:t xml:space="preserve"> 05  </w:t>
      </w:r>
      <w:r>
        <w:rPr>
          <w:rFonts w:ascii="宋体" w:hAnsi="宋体" w:cs="宋体"/>
          <w:highlight w:val="none"/>
        </w:rPr>
        <w:t>日止。</w:t>
      </w:r>
    </w:p>
    <w:p>
      <w:pPr>
        <w:pStyle w:val="112"/>
        <w:tabs>
          <w:tab w:val="left" w:pos="540"/>
        </w:tabs>
        <w:spacing w:line="460" w:lineRule="exact"/>
        <w:jc w:val="left"/>
        <w:rPr>
          <w:rFonts w:hint="eastAsia" w:ascii="宋体" w:hAnsi="宋体" w:eastAsia="宋体" w:cs="宋体"/>
          <w:b w:val="0"/>
          <w:kern w:val="2"/>
          <w:sz w:val="21"/>
          <w:szCs w:val="22"/>
          <w:highlight w:val="none"/>
          <w:lang w:val="en-US" w:eastAsia="zh-CN" w:bidi="ar-SA"/>
        </w:rPr>
      </w:pPr>
      <w:r>
        <w:rPr>
          <w:rFonts w:hint="eastAsia" w:ascii="宋体" w:hAnsi="宋体" w:eastAsia="宋体" w:cs="宋体"/>
          <w:b w:val="0"/>
          <w:kern w:val="2"/>
          <w:sz w:val="21"/>
          <w:szCs w:val="22"/>
          <w:highlight w:val="none"/>
          <w:lang w:val="en-US" w:eastAsia="zh-CN" w:bidi="ar-SA"/>
        </w:rPr>
        <w:t>十</w:t>
      </w:r>
      <w:r>
        <w:rPr>
          <w:rFonts w:hint="eastAsia" w:hAnsi="宋体" w:cs="宋体"/>
          <w:b w:val="0"/>
          <w:kern w:val="2"/>
          <w:sz w:val="21"/>
          <w:szCs w:val="22"/>
          <w:highlight w:val="none"/>
          <w:lang w:val="en-US" w:eastAsia="zh-CN" w:bidi="ar-SA"/>
        </w:rPr>
        <w:t>二</w:t>
      </w:r>
      <w:r>
        <w:rPr>
          <w:rFonts w:hint="eastAsia" w:ascii="宋体" w:hAnsi="宋体" w:eastAsia="宋体" w:cs="宋体"/>
          <w:b w:val="0"/>
          <w:kern w:val="2"/>
          <w:sz w:val="21"/>
          <w:szCs w:val="22"/>
          <w:highlight w:val="none"/>
          <w:lang w:val="en-US" w:eastAsia="zh-CN" w:bidi="ar-SA"/>
        </w:rPr>
        <w:t>、投标保证金递交时间、其支付方式及保证金金额：投标人须于公告之日起至2022年</w:t>
      </w:r>
      <w:r>
        <w:rPr>
          <w:rFonts w:hint="eastAsia" w:hAnsi="宋体" w:eastAsia="宋体" w:cs="宋体"/>
          <w:b w:val="0"/>
          <w:kern w:val="2"/>
          <w:sz w:val="21"/>
          <w:szCs w:val="22"/>
          <w:highlight w:val="none"/>
          <w:lang w:val="en-US" w:eastAsia="zh-CN" w:bidi="ar-SA"/>
        </w:rPr>
        <w:t xml:space="preserve"> </w:t>
      </w:r>
      <w:r>
        <w:rPr>
          <w:rFonts w:hint="eastAsia" w:hAnsi="宋体" w:cs="宋体"/>
          <w:b w:val="0"/>
          <w:kern w:val="2"/>
          <w:sz w:val="21"/>
          <w:szCs w:val="22"/>
          <w:highlight w:val="none"/>
          <w:lang w:val="en-US" w:eastAsia="zh-CN" w:bidi="ar-SA"/>
        </w:rPr>
        <w:t>12</w:t>
      </w:r>
      <w:r>
        <w:rPr>
          <w:rFonts w:hint="eastAsia" w:hAnsi="宋体" w:eastAsia="宋体" w:cs="宋体"/>
          <w:b w:val="0"/>
          <w:kern w:val="2"/>
          <w:sz w:val="21"/>
          <w:szCs w:val="22"/>
          <w:highlight w:val="none"/>
          <w:lang w:val="en-US" w:eastAsia="zh-CN" w:bidi="ar-SA"/>
        </w:rPr>
        <w:t xml:space="preserve"> </w:t>
      </w:r>
      <w:r>
        <w:rPr>
          <w:rFonts w:hint="eastAsia" w:ascii="宋体" w:hAnsi="宋体" w:eastAsia="宋体" w:cs="宋体"/>
          <w:b w:val="0"/>
          <w:kern w:val="2"/>
          <w:sz w:val="21"/>
          <w:szCs w:val="22"/>
          <w:highlight w:val="none"/>
          <w:lang w:val="en-US" w:eastAsia="zh-CN" w:bidi="ar-SA"/>
        </w:rPr>
        <w:t>月</w:t>
      </w:r>
      <w:r>
        <w:rPr>
          <w:rFonts w:hint="eastAsia" w:hAnsi="宋体" w:eastAsia="宋体" w:cs="宋体"/>
          <w:b w:val="0"/>
          <w:kern w:val="2"/>
          <w:sz w:val="21"/>
          <w:szCs w:val="22"/>
          <w:highlight w:val="none"/>
          <w:lang w:val="en-US" w:eastAsia="zh-CN" w:bidi="ar-SA"/>
        </w:rPr>
        <w:t xml:space="preserve"> </w:t>
      </w:r>
      <w:r>
        <w:rPr>
          <w:rFonts w:hint="eastAsia" w:hAnsi="宋体" w:cs="宋体"/>
          <w:b w:val="0"/>
          <w:kern w:val="2"/>
          <w:sz w:val="21"/>
          <w:szCs w:val="22"/>
          <w:highlight w:val="none"/>
          <w:lang w:val="en-US" w:eastAsia="zh-CN" w:bidi="ar-SA"/>
        </w:rPr>
        <w:t>15</w:t>
      </w:r>
      <w:r>
        <w:rPr>
          <w:rFonts w:hint="eastAsia" w:hAnsi="宋体" w:eastAsia="宋体" w:cs="宋体"/>
          <w:b w:val="0"/>
          <w:kern w:val="2"/>
          <w:sz w:val="21"/>
          <w:szCs w:val="22"/>
          <w:highlight w:val="none"/>
          <w:lang w:val="en-US" w:eastAsia="zh-CN" w:bidi="ar-SA"/>
        </w:rPr>
        <w:t xml:space="preserve"> </w:t>
      </w:r>
      <w:r>
        <w:rPr>
          <w:rFonts w:hint="eastAsia" w:ascii="宋体" w:hAnsi="宋体" w:eastAsia="宋体" w:cs="宋体"/>
          <w:b w:val="0"/>
          <w:kern w:val="2"/>
          <w:sz w:val="21"/>
          <w:szCs w:val="22"/>
          <w:highlight w:val="none"/>
          <w:lang w:val="en-US" w:eastAsia="zh-CN" w:bidi="ar-SA"/>
        </w:rPr>
        <w:t>日下午17：00时前，将采购项目保证金由投标人名下的银行账户（采用银行柜台、网上银行转账两种方式之一的方式）缴纳到以下指定账户，以银行到账为准。保证金金额为￥57000.00</w:t>
      </w:r>
      <w:r>
        <w:rPr>
          <w:rFonts w:hint="eastAsia" w:hAnsi="宋体" w:eastAsia="宋体" w:cs="宋体"/>
          <w:b w:val="0"/>
          <w:kern w:val="2"/>
          <w:sz w:val="21"/>
          <w:szCs w:val="22"/>
          <w:highlight w:val="none"/>
          <w:lang w:val="en-US" w:eastAsia="zh-CN" w:bidi="ar-SA"/>
        </w:rPr>
        <w:t xml:space="preserve"> </w:t>
      </w:r>
      <w:r>
        <w:rPr>
          <w:rFonts w:hint="eastAsia" w:ascii="宋体" w:hAnsi="宋体" w:eastAsia="宋体" w:cs="宋体"/>
          <w:b w:val="0"/>
          <w:kern w:val="2"/>
          <w:sz w:val="21"/>
          <w:szCs w:val="22"/>
          <w:highlight w:val="none"/>
          <w:lang w:val="en-US" w:eastAsia="zh-CN" w:bidi="ar-SA"/>
        </w:rPr>
        <w:t>元（大写：伍万柒仟元整</w:t>
      </w:r>
      <w:r>
        <w:rPr>
          <w:rFonts w:hint="eastAsia" w:hAnsi="宋体" w:eastAsia="宋体" w:cs="宋体"/>
          <w:b w:val="0"/>
          <w:kern w:val="2"/>
          <w:sz w:val="21"/>
          <w:szCs w:val="22"/>
          <w:highlight w:val="none"/>
          <w:lang w:val="en-US" w:eastAsia="zh-CN" w:bidi="ar-SA"/>
        </w:rPr>
        <w:t xml:space="preserve"> </w:t>
      </w:r>
      <w:r>
        <w:rPr>
          <w:rFonts w:hint="eastAsia" w:ascii="宋体" w:hAnsi="宋体" w:eastAsia="宋体" w:cs="宋体"/>
          <w:b w:val="0"/>
          <w:kern w:val="2"/>
          <w:sz w:val="21"/>
          <w:szCs w:val="22"/>
          <w:highlight w:val="none"/>
          <w:lang w:val="en-US" w:eastAsia="zh-CN" w:bidi="ar-SA"/>
        </w:rPr>
        <w:t>）。</w:t>
      </w:r>
    </w:p>
    <w:p>
      <w:pPr>
        <w:pStyle w:val="112"/>
        <w:tabs>
          <w:tab w:val="left" w:pos="540"/>
        </w:tabs>
        <w:spacing w:line="460" w:lineRule="exact"/>
        <w:jc w:val="left"/>
        <w:rPr>
          <w:rFonts w:ascii="Calibri" w:hAnsi="Calibri"/>
          <w:bCs/>
          <w:color w:val="000000"/>
          <w:sz w:val="21"/>
          <w:szCs w:val="21"/>
          <w:highlight w:val="none"/>
        </w:rPr>
      </w:pPr>
      <w:r>
        <w:rPr>
          <w:rFonts w:hint="eastAsia" w:ascii="Calibri" w:hAnsi="Calibri"/>
          <w:bCs/>
          <w:color w:val="000000"/>
          <w:sz w:val="21"/>
          <w:szCs w:val="21"/>
          <w:highlight w:val="none"/>
        </w:rPr>
        <w:t>（特别说明：本项目无须报名，已经缴纳保证金的投标人须在规定时间内提交投标文件，《企业采购保证金退付委托书》和营业执照复印件（需盖单位公章）须另外单独提交，其为投标人办理投标保证金退付的必须资料，由佛山市南海公有资产流转服务有限公司按照相关文件要求规定办理退款</w:t>
      </w:r>
      <w:r>
        <w:rPr>
          <w:rFonts w:hint="eastAsia" w:ascii="Calibri" w:hAnsi="Calibri"/>
          <w:bCs/>
          <w:color w:val="000000"/>
          <w:sz w:val="21"/>
          <w:szCs w:val="21"/>
          <w:highlight w:val="none"/>
          <w:lang w:eastAsia="zh-CN"/>
        </w:rPr>
        <w:t>（不计利息）</w:t>
      </w:r>
      <w:r>
        <w:rPr>
          <w:rFonts w:hint="eastAsia" w:ascii="Calibri" w:hAnsi="Calibri"/>
          <w:bCs/>
          <w:color w:val="000000"/>
          <w:sz w:val="21"/>
          <w:szCs w:val="21"/>
          <w:highlight w:val="none"/>
        </w:rPr>
        <w:t>。）</w:t>
      </w:r>
    </w:p>
    <w:p>
      <w:pPr>
        <w:pStyle w:val="112"/>
        <w:tabs>
          <w:tab w:val="left" w:pos="540"/>
        </w:tabs>
        <w:spacing w:line="460" w:lineRule="exact"/>
        <w:jc w:val="left"/>
        <w:rPr>
          <w:rFonts w:hint="eastAsia" w:ascii="Calibri" w:hAnsi="Calibri"/>
          <w:b w:val="0"/>
          <w:color w:val="000000"/>
          <w:sz w:val="21"/>
          <w:szCs w:val="21"/>
          <w:highlight w:val="none"/>
        </w:rPr>
      </w:pPr>
      <w:r>
        <w:rPr>
          <w:rFonts w:hint="eastAsia" w:ascii="Calibri" w:hAnsi="Calibri"/>
          <w:b w:val="0"/>
          <w:color w:val="000000"/>
          <w:sz w:val="21"/>
          <w:szCs w:val="21"/>
          <w:highlight w:val="none"/>
        </w:rPr>
        <w:t>（1）通过银行柜台转账时，必须在银行进账单或汇款凭证中准确填写收款人和交款人名称、账户，以及缴纳金额、交纳人证件号码信息；银行进账单或汇款凭证的备注/用途/附言等备注信息栏中需准确填写采购项目的项目名称简称。</w:t>
      </w:r>
    </w:p>
    <w:p>
      <w:pPr>
        <w:pStyle w:val="112"/>
        <w:tabs>
          <w:tab w:val="left" w:pos="540"/>
        </w:tabs>
        <w:spacing w:line="460" w:lineRule="exact"/>
        <w:jc w:val="left"/>
        <w:rPr>
          <w:rFonts w:hint="eastAsia" w:ascii="Calibri" w:hAnsi="Calibri"/>
          <w:b w:val="0"/>
          <w:color w:val="000000"/>
          <w:sz w:val="21"/>
          <w:szCs w:val="21"/>
          <w:highlight w:val="none"/>
        </w:rPr>
      </w:pPr>
      <w:r>
        <w:rPr>
          <w:rFonts w:hint="eastAsia" w:ascii="Calibri" w:hAnsi="Calibri"/>
          <w:b w:val="0"/>
          <w:color w:val="000000"/>
          <w:sz w:val="21"/>
          <w:szCs w:val="21"/>
          <w:highlight w:val="none"/>
        </w:rPr>
        <w:t>（2）通过网上银行转账时，必须在网上银行支付界面准确填写收款人和交款人名称、账户、缴纳金额，备注/用途/附言等备注信息栏中需准确填写采购项目的项目名称简称。</w:t>
      </w:r>
    </w:p>
    <w:p>
      <w:pPr>
        <w:pStyle w:val="112"/>
        <w:tabs>
          <w:tab w:val="left" w:pos="540"/>
        </w:tabs>
        <w:spacing w:line="460" w:lineRule="exact"/>
        <w:jc w:val="left"/>
        <w:rPr>
          <w:rFonts w:ascii="Calibri" w:hAnsi="Calibri"/>
          <w:b w:val="0"/>
          <w:color w:val="000000"/>
          <w:sz w:val="21"/>
          <w:szCs w:val="21"/>
          <w:highlight w:val="none"/>
        </w:rPr>
      </w:pPr>
      <w:r>
        <w:rPr>
          <w:rFonts w:hint="eastAsia" w:ascii="Calibri" w:hAnsi="Calibri"/>
          <w:b w:val="0"/>
          <w:color w:val="000000"/>
          <w:sz w:val="21"/>
          <w:szCs w:val="21"/>
          <w:highlight w:val="none"/>
        </w:rPr>
        <w:t>（3）本项目名称简称：</w:t>
      </w:r>
      <w:r>
        <w:rPr>
          <w:rFonts w:hint="eastAsia" w:ascii="Calibri" w:hAnsi="Calibri"/>
          <w:b w:val="0"/>
          <w:color w:val="000000"/>
          <w:sz w:val="21"/>
          <w:szCs w:val="21"/>
          <w:highlight w:val="none"/>
          <w:lang w:eastAsia="zh-CN"/>
        </w:rPr>
        <w:t>公交站场充电站</w:t>
      </w:r>
      <w:r>
        <w:rPr>
          <w:rFonts w:hint="eastAsia" w:ascii="Calibri" w:hAnsi="Calibri"/>
          <w:b w:val="0"/>
          <w:color w:val="000000"/>
          <w:sz w:val="21"/>
          <w:szCs w:val="21"/>
          <w:highlight w:val="none"/>
        </w:rPr>
        <w:t>建设运营</w:t>
      </w:r>
    </w:p>
    <w:p>
      <w:pPr>
        <w:pStyle w:val="112"/>
        <w:tabs>
          <w:tab w:val="left" w:pos="540"/>
        </w:tabs>
        <w:spacing w:line="460" w:lineRule="exact"/>
        <w:jc w:val="left"/>
        <w:rPr>
          <w:rFonts w:hint="eastAsia" w:ascii="Calibri" w:hAnsi="Calibri"/>
          <w:b w:val="0"/>
          <w:color w:val="000000"/>
          <w:sz w:val="21"/>
          <w:szCs w:val="21"/>
          <w:highlight w:val="none"/>
        </w:rPr>
      </w:pPr>
      <w:r>
        <w:rPr>
          <w:rFonts w:hint="eastAsia" w:ascii="Calibri" w:hAnsi="Calibri"/>
          <w:b w:val="0"/>
          <w:color w:val="000000"/>
          <w:sz w:val="21"/>
          <w:szCs w:val="21"/>
          <w:highlight w:val="none"/>
        </w:rPr>
        <w:t>收款（人）单位名称：佛山市南海公有资产流转服务有限公司</w:t>
      </w:r>
    </w:p>
    <w:p>
      <w:pPr>
        <w:pStyle w:val="112"/>
        <w:tabs>
          <w:tab w:val="left" w:pos="540"/>
        </w:tabs>
        <w:spacing w:line="460" w:lineRule="exact"/>
        <w:jc w:val="left"/>
        <w:rPr>
          <w:rFonts w:hint="eastAsia" w:ascii="Calibri" w:hAnsi="Calibri"/>
          <w:b w:val="0"/>
          <w:color w:val="000000"/>
          <w:sz w:val="21"/>
          <w:szCs w:val="21"/>
          <w:highlight w:val="none"/>
        </w:rPr>
      </w:pPr>
      <w:r>
        <w:rPr>
          <w:rFonts w:hint="eastAsia" w:ascii="Calibri" w:hAnsi="Calibri"/>
          <w:b w:val="0"/>
          <w:color w:val="000000"/>
          <w:sz w:val="21"/>
          <w:szCs w:val="21"/>
          <w:highlight w:val="none"/>
        </w:rPr>
        <w:t>账号：</w:t>
      </w:r>
      <w:r>
        <w:rPr>
          <w:rFonts w:hint="eastAsia" w:ascii="Calibri" w:hAnsi="Calibri"/>
          <w:color w:val="000000"/>
          <w:sz w:val="21"/>
          <w:szCs w:val="21"/>
          <w:highlight w:val="none"/>
        </w:rPr>
        <w:t>44504001040012386</w:t>
      </w:r>
    </w:p>
    <w:p>
      <w:pPr>
        <w:pStyle w:val="112"/>
        <w:tabs>
          <w:tab w:val="left" w:pos="540"/>
        </w:tabs>
        <w:spacing w:line="460" w:lineRule="exact"/>
        <w:jc w:val="left"/>
        <w:rPr>
          <w:rFonts w:hint="eastAsia" w:ascii="Calibri" w:hAnsi="Calibri"/>
          <w:b w:val="0"/>
          <w:color w:val="000000"/>
          <w:sz w:val="21"/>
          <w:szCs w:val="21"/>
          <w:highlight w:val="none"/>
        </w:rPr>
      </w:pPr>
      <w:r>
        <w:rPr>
          <w:rFonts w:hint="eastAsia" w:ascii="Calibri" w:hAnsi="Calibri"/>
          <w:b w:val="0"/>
          <w:color w:val="000000"/>
          <w:sz w:val="21"/>
          <w:szCs w:val="21"/>
          <w:highlight w:val="none"/>
        </w:rPr>
        <w:t>开户行：中国农业银行佛山南海</w:t>
      </w:r>
      <w:r>
        <w:rPr>
          <w:rFonts w:hint="eastAsia" w:ascii="Calibri" w:hAnsi="Calibri"/>
          <w:b w:val="0"/>
          <w:color w:val="000000"/>
          <w:sz w:val="21"/>
          <w:szCs w:val="21"/>
          <w:highlight w:val="none"/>
          <w:lang w:eastAsia="zh-CN"/>
        </w:rPr>
        <w:t>灯湖</w:t>
      </w:r>
      <w:r>
        <w:rPr>
          <w:rFonts w:hint="eastAsia" w:ascii="Calibri" w:hAnsi="Calibri"/>
          <w:b w:val="0"/>
          <w:color w:val="000000"/>
          <w:sz w:val="21"/>
          <w:szCs w:val="21"/>
          <w:highlight w:val="none"/>
        </w:rPr>
        <w:t>支行</w:t>
      </w:r>
    </w:p>
    <w:p>
      <w:pPr>
        <w:pStyle w:val="2"/>
        <w:rPr>
          <w:highlight w:val="none"/>
        </w:rPr>
      </w:pPr>
    </w:p>
    <w:p>
      <w:pPr>
        <w:widowControl/>
        <w:spacing w:line="360" w:lineRule="auto"/>
        <w:jc w:val="left"/>
        <w:rPr>
          <w:rFonts w:hint="eastAsia" w:ascii="宋体" w:hAnsi="宋体" w:eastAsia="宋体" w:cs="宋体"/>
          <w:kern w:val="2"/>
          <w:sz w:val="21"/>
          <w:highlight w:val="none"/>
        </w:rPr>
      </w:pPr>
      <w:r>
        <w:rPr>
          <w:rFonts w:hint="eastAsia" w:ascii="宋体" w:hAnsi="宋体" w:cs="宋体"/>
          <w:color w:val="auto"/>
          <w:kern w:val="2"/>
          <w:sz w:val="21"/>
          <w:highlight w:val="none"/>
        </w:rPr>
        <w:t>十</w:t>
      </w:r>
      <w:r>
        <w:rPr>
          <w:rFonts w:hint="eastAsia" w:ascii="宋体" w:hAnsi="宋体" w:cs="宋体"/>
          <w:color w:val="auto"/>
          <w:kern w:val="2"/>
          <w:sz w:val="21"/>
          <w:highlight w:val="none"/>
          <w:lang w:val="en-US" w:eastAsia="zh-CN"/>
        </w:rPr>
        <w:t>三</w:t>
      </w:r>
      <w:r>
        <w:rPr>
          <w:rFonts w:hint="eastAsia" w:ascii="宋体" w:hAnsi="宋体" w:cs="宋体"/>
          <w:color w:val="auto"/>
          <w:kern w:val="2"/>
          <w:sz w:val="21"/>
          <w:highlight w:val="none"/>
        </w:rPr>
        <w:t>、采购过程如出现异常情况，佛山市南海公有资产流转服务有限公司有权暂停或者中止该采购项目。</w:t>
      </w:r>
    </w:p>
    <w:p>
      <w:pPr>
        <w:widowControl/>
        <w:spacing w:line="360" w:lineRule="auto"/>
        <w:jc w:val="left"/>
        <w:rPr>
          <w:rFonts w:hint="eastAsia" w:ascii="宋体" w:hAnsi="宋体" w:eastAsia="宋体" w:cs="宋体"/>
          <w:kern w:val="2"/>
          <w:sz w:val="21"/>
          <w:highlight w:val="none"/>
        </w:rPr>
      </w:pPr>
    </w:p>
    <w:p>
      <w:pPr>
        <w:widowControl/>
        <w:spacing w:line="360" w:lineRule="auto"/>
        <w:jc w:val="left"/>
        <w:rPr>
          <w:rFonts w:ascii="宋体" w:hAnsi="宋体" w:cs="宋体"/>
          <w:highlight w:val="none"/>
        </w:rPr>
      </w:pPr>
    </w:p>
    <w:p>
      <w:pPr>
        <w:spacing w:line="360" w:lineRule="auto"/>
        <w:rPr>
          <w:rFonts w:ascii="宋体" w:hAnsi="宋体" w:cs="宋体"/>
          <w:highlight w:val="none"/>
        </w:rPr>
      </w:pPr>
      <w:r>
        <w:rPr>
          <w:rFonts w:ascii="宋体" w:hAnsi="宋体" w:cs="宋体"/>
          <w:highlight w:val="none"/>
        </w:rPr>
        <w:t>十</w:t>
      </w:r>
      <w:r>
        <w:rPr>
          <w:rFonts w:hint="eastAsia" w:ascii="宋体" w:hAnsi="宋体" w:cs="宋体"/>
          <w:highlight w:val="none"/>
          <w:lang w:val="en-US" w:eastAsia="zh-CN"/>
        </w:rPr>
        <w:t>四</w:t>
      </w:r>
      <w:r>
        <w:rPr>
          <w:rFonts w:ascii="宋体" w:hAnsi="宋体" w:cs="宋体"/>
          <w:highlight w:val="none"/>
        </w:rPr>
        <w:t>、联系事项</w:t>
      </w:r>
    </w:p>
    <w:tbl>
      <w:tblPr>
        <w:tblStyle w:val="35"/>
        <w:tblW w:w="9059" w:type="dxa"/>
        <w:jc w:val="center"/>
        <w:tblLayout w:type="fixed"/>
        <w:tblCellMar>
          <w:top w:w="0" w:type="dxa"/>
          <w:left w:w="108" w:type="dxa"/>
          <w:bottom w:w="0" w:type="dxa"/>
          <w:right w:w="108" w:type="dxa"/>
        </w:tblCellMar>
      </w:tblPr>
      <w:tblGrid>
        <w:gridCol w:w="1041"/>
        <w:gridCol w:w="3718"/>
        <w:gridCol w:w="4300"/>
      </w:tblGrid>
      <w:tr>
        <w:tblPrEx>
          <w:tblCellMar>
            <w:top w:w="0" w:type="dxa"/>
            <w:left w:w="108" w:type="dxa"/>
            <w:bottom w:w="0" w:type="dxa"/>
            <w:right w:w="108" w:type="dxa"/>
          </w:tblCellMar>
        </w:tblPrEx>
        <w:trPr>
          <w:trHeight w:val="394" w:hRule="atLeast"/>
          <w:jc w:val="center"/>
        </w:trPr>
        <w:tc>
          <w:tcPr>
            <w:tcW w:w="1041" w:type="dxa"/>
            <w:vAlign w:val="top"/>
          </w:tcPr>
          <w:p>
            <w:pPr>
              <w:spacing w:line="360" w:lineRule="auto"/>
              <w:rPr>
                <w:rFonts w:ascii="宋体" w:hAnsi="宋体" w:cs="宋体"/>
                <w:szCs w:val="21"/>
                <w:highlight w:val="none"/>
              </w:rPr>
            </w:pPr>
            <w:r>
              <w:rPr>
                <w:rFonts w:ascii="宋体" w:hAnsi="宋体" w:cs="宋体"/>
                <w:szCs w:val="21"/>
                <w:highlight w:val="none"/>
              </w:rPr>
              <w:t>（一）</w:t>
            </w:r>
          </w:p>
        </w:tc>
        <w:tc>
          <w:tcPr>
            <w:tcW w:w="3718" w:type="dxa"/>
            <w:vAlign w:val="top"/>
          </w:tcPr>
          <w:p>
            <w:pPr>
              <w:spacing w:line="360" w:lineRule="auto"/>
              <w:rPr>
                <w:rFonts w:hint="eastAsia" w:ascii="宋体" w:hAnsi="宋体" w:eastAsia="宋体" w:cs="宋体"/>
                <w:szCs w:val="21"/>
                <w:highlight w:val="none"/>
                <w:lang w:val="en-US" w:eastAsia="zh-CN"/>
              </w:rPr>
            </w:pPr>
            <w:r>
              <w:rPr>
                <w:rFonts w:ascii="宋体" w:hAnsi="宋体" w:cs="宋体"/>
                <w:highlight w:val="none"/>
              </w:rPr>
              <w:t xml:space="preserve">采购项目联系人(代理机构) ： </w:t>
            </w:r>
            <w:r>
              <w:rPr>
                <w:rFonts w:hint="eastAsia" w:ascii="宋体" w:hAnsi="宋体" w:cs="宋体"/>
                <w:highlight w:val="none"/>
                <w:lang w:val="en-US" w:eastAsia="zh-CN"/>
              </w:rPr>
              <w:t>赵工</w:t>
            </w:r>
          </w:p>
        </w:tc>
        <w:tc>
          <w:tcPr>
            <w:tcW w:w="4300" w:type="dxa"/>
            <w:vAlign w:val="top"/>
          </w:tcPr>
          <w:p>
            <w:pPr>
              <w:spacing w:line="360" w:lineRule="auto"/>
              <w:rPr>
                <w:rFonts w:hint="default" w:ascii="宋体" w:hAnsi="宋体" w:eastAsia="宋体" w:cs="宋体"/>
                <w:szCs w:val="21"/>
                <w:highlight w:val="none"/>
                <w:lang w:val="en-US" w:eastAsia="zh-CN"/>
              </w:rPr>
            </w:pPr>
            <w:r>
              <w:rPr>
                <w:rFonts w:ascii="宋体" w:hAnsi="宋体" w:cs="宋体"/>
                <w:szCs w:val="21"/>
                <w:highlight w:val="none"/>
              </w:rPr>
              <w:t xml:space="preserve">联系电话： </w:t>
            </w:r>
            <w:r>
              <w:rPr>
                <w:rFonts w:hint="eastAsia" w:ascii="宋体" w:hAnsi="宋体" w:cs="宋体"/>
                <w:szCs w:val="21"/>
                <w:highlight w:val="none"/>
                <w:lang w:val="en-US" w:eastAsia="zh-CN"/>
              </w:rPr>
              <w:t>18934351634</w:t>
            </w:r>
          </w:p>
        </w:tc>
      </w:tr>
      <w:tr>
        <w:tblPrEx>
          <w:tblCellMar>
            <w:top w:w="0" w:type="dxa"/>
            <w:left w:w="108" w:type="dxa"/>
            <w:bottom w:w="0" w:type="dxa"/>
            <w:right w:w="108" w:type="dxa"/>
          </w:tblCellMar>
        </w:tblPrEx>
        <w:trPr>
          <w:trHeight w:val="394" w:hRule="atLeast"/>
          <w:jc w:val="center"/>
        </w:trPr>
        <w:tc>
          <w:tcPr>
            <w:tcW w:w="1041" w:type="dxa"/>
            <w:vAlign w:val="top"/>
          </w:tcPr>
          <w:p>
            <w:pPr>
              <w:spacing w:line="360" w:lineRule="auto"/>
              <w:rPr>
                <w:rFonts w:ascii="宋体" w:hAnsi="宋体" w:cs="宋体"/>
                <w:szCs w:val="21"/>
                <w:highlight w:val="none"/>
              </w:rPr>
            </w:pPr>
          </w:p>
        </w:tc>
        <w:tc>
          <w:tcPr>
            <w:tcW w:w="3718" w:type="dxa"/>
            <w:vAlign w:val="top"/>
          </w:tcPr>
          <w:p>
            <w:pPr>
              <w:spacing w:line="360" w:lineRule="auto"/>
              <w:rPr>
                <w:rFonts w:hint="eastAsia" w:ascii="宋体" w:hAnsi="宋体" w:eastAsia="宋体" w:cs="宋体"/>
                <w:szCs w:val="21"/>
                <w:highlight w:val="none"/>
                <w:lang w:val="en-US" w:eastAsia="zh-CN"/>
              </w:rPr>
            </w:pPr>
            <w:r>
              <w:rPr>
                <w:rFonts w:ascii="宋体" w:hAnsi="宋体" w:cs="宋体"/>
                <w:szCs w:val="21"/>
                <w:highlight w:val="none"/>
              </w:rPr>
              <w:t>采购项目联系人</w:t>
            </w:r>
            <w:r>
              <w:rPr>
                <w:rFonts w:ascii="宋体" w:hAnsi="宋体" w:cs="宋体"/>
                <w:highlight w:val="none"/>
              </w:rPr>
              <w:t>(采购人)</w:t>
            </w:r>
            <w:r>
              <w:rPr>
                <w:rFonts w:ascii="宋体" w:hAnsi="宋体" w:cs="宋体"/>
                <w:szCs w:val="21"/>
                <w:highlight w:val="none"/>
              </w:rPr>
              <w:t xml:space="preserve">： </w:t>
            </w:r>
            <w:r>
              <w:rPr>
                <w:rFonts w:hint="eastAsia" w:ascii="宋体" w:hAnsi="宋体" w:cs="宋体"/>
                <w:szCs w:val="21"/>
                <w:highlight w:val="none"/>
                <w:lang w:val="en-US" w:eastAsia="zh-CN"/>
              </w:rPr>
              <w:t>黄先生</w:t>
            </w:r>
          </w:p>
        </w:tc>
        <w:tc>
          <w:tcPr>
            <w:tcW w:w="4300" w:type="dxa"/>
            <w:vAlign w:val="top"/>
          </w:tcPr>
          <w:p>
            <w:pPr>
              <w:spacing w:line="360" w:lineRule="auto"/>
              <w:jc w:val="left"/>
              <w:rPr>
                <w:rFonts w:ascii="宋体" w:hAnsi="宋体" w:cs="宋体"/>
                <w:szCs w:val="21"/>
                <w:highlight w:val="none"/>
              </w:rPr>
            </w:pPr>
            <w:r>
              <w:rPr>
                <w:rFonts w:ascii="宋体" w:hAnsi="宋体" w:cs="宋体"/>
                <w:szCs w:val="21"/>
                <w:highlight w:val="none"/>
              </w:rPr>
              <w:t>联系电话： 0757-86222581</w:t>
            </w:r>
          </w:p>
        </w:tc>
      </w:tr>
      <w:tr>
        <w:tblPrEx>
          <w:tblCellMar>
            <w:top w:w="0" w:type="dxa"/>
            <w:left w:w="108" w:type="dxa"/>
            <w:bottom w:w="0" w:type="dxa"/>
            <w:right w:w="108" w:type="dxa"/>
          </w:tblCellMar>
        </w:tblPrEx>
        <w:trPr>
          <w:trHeight w:val="788" w:hRule="atLeast"/>
          <w:jc w:val="center"/>
        </w:trPr>
        <w:tc>
          <w:tcPr>
            <w:tcW w:w="1041" w:type="dxa"/>
            <w:vAlign w:val="top"/>
          </w:tcPr>
          <w:p>
            <w:pPr>
              <w:spacing w:line="360" w:lineRule="auto"/>
              <w:rPr>
                <w:rFonts w:ascii="宋体" w:hAnsi="宋体" w:cs="宋体"/>
                <w:szCs w:val="21"/>
                <w:highlight w:val="none"/>
              </w:rPr>
            </w:pPr>
            <w:r>
              <w:rPr>
                <w:rFonts w:ascii="宋体" w:hAnsi="宋体" w:cs="宋体"/>
                <w:szCs w:val="21"/>
                <w:highlight w:val="none"/>
              </w:rPr>
              <w:t>（二）</w:t>
            </w:r>
          </w:p>
        </w:tc>
        <w:tc>
          <w:tcPr>
            <w:tcW w:w="3718" w:type="dxa"/>
            <w:vAlign w:val="top"/>
          </w:tcPr>
          <w:p>
            <w:pPr>
              <w:spacing w:line="360" w:lineRule="auto"/>
              <w:rPr>
                <w:rFonts w:hint="eastAsia" w:ascii="宋体" w:hAnsi="宋体" w:eastAsia="宋体" w:cs="宋体"/>
                <w:szCs w:val="21"/>
                <w:highlight w:val="none"/>
                <w:lang w:eastAsia="zh-CN"/>
              </w:rPr>
            </w:pPr>
            <w:r>
              <w:rPr>
                <w:rFonts w:ascii="宋体" w:hAnsi="宋体" w:cs="宋体"/>
                <w:szCs w:val="21"/>
                <w:highlight w:val="none"/>
              </w:rPr>
              <w:t>采购代理机构：</w:t>
            </w:r>
            <w:r>
              <w:rPr>
                <w:rFonts w:hint="eastAsia" w:ascii="宋体" w:hAnsi="宋体" w:cs="宋体"/>
                <w:highlight w:val="none"/>
                <w:lang w:eastAsia="zh-CN"/>
              </w:rPr>
              <w:t>广东良德工程咨询有限公司</w:t>
            </w:r>
          </w:p>
        </w:tc>
        <w:tc>
          <w:tcPr>
            <w:tcW w:w="4300" w:type="dxa"/>
            <w:vAlign w:val="top"/>
          </w:tcPr>
          <w:p>
            <w:pPr>
              <w:spacing w:line="360" w:lineRule="auto"/>
              <w:rPr>
                <w:rFonts w:ascii="宋体" w:hAnsi="宋体" w:cs="宋体"/>
                <w:szCs w:val="21"/>
                <w:highlight w:val="none"/>
              </w:rPr>
            </w:pPr>
            <w:r>
              <w:rPr>
                <w:rFonts w:ascii="宋体" w:hAnsi="宋体" w:cs="宋体"/>
                <w:szCs w:val="21"/>
                <w:highlight w:val="none"/>
              </w:rPr>
              <w:t>地址：佛山市南海区桂城街道夏东社区孔溪“五灯围”泓健综合楼B区六楼B601室</w:t>
            </w:r>
          </w:p>
        </w:tc>
      </w:tr>
      <w:tr>
        <w:tblPrEx>
          <w:tblCellMar>
            <w:top w:w="0" w:type="dxa"/>
            <w:left w:w="108" w:type="dxa"/>
            <w:bottom w:w="0" w:type="dxa"/>
            <w:right w:w="108" w:type="dxa"/>
          </w:tblCellMar>
        </w:tblPrEx>
        <w:trPr>
          <w:trHeight w:val="394" w:hRule="atLeast"/>
          <w:jc w:val="center"/>
        </w:trPr>
        <w:tc>
          <w:tcPr>
            <w:tcW w:w="1041" w:type="dxa"/>
            <w:vAlign w:val="top"/>
          </w:tcPr>
          <w:p>
            <w:pPr>
              <w:spacing w:line="360" w:lineRule="auto"/>
              <w:rPr>
                <w:rFonts w:ascii="宋体" w:hAnsi="宋体" w:cs="宋体"/>
                <w:szCs w:val="21"/>
                <w:highlight w:val="none"/>
              </w:rPr>
            </w:pPr>
          </w:p>
        </w:tc>
        <w:tc>
          <w:tcPr>
            <w:tcW w:w="3718" w:type="dxa"/>
            <w:vAlign w:val="top"/>
          </w:tcPr>
          <w:p>
            <w:pPr>
              <w:spacing w:line="360" w:lineRule="auto"/>
              <w:rPr>
                <w:rFonts w:hint="eastAsia" w:ascii="宋体" w:hAnsi="宋体" w:eastAsia="宋体" w:cs="宋体"/>
                <w:szCs w:val="21"/>
                <w:highlight w:val="none"/>
                <w:lang w:val="en-US" w:eastAsia="zh-CN"/>
              </w:rPr>
            </w:pPr>
            <w:r>
              <w:rPr>
                <w:rFonts w:ascii="宋体" w:hAnsi="宋体" w:cs="宋体"/>
                <w:szCs w:val="21"/>
                <w:highlight w:val="none"/>
              </w:rPr>
              <w:t xml:space="preserve">联系人： </w:t>
            </w:r>
            <w:r>
              <w:rPr>
                <w:rFonts w:hint="eastAsia" w:ascii="宋体" w:hAnsi="宋体" w:cs="宋体"/>
                <w:szCs w:val="21"/>
                <w:highlight w:val="none"/>
                <w:lang w:val="en-US" w:eastAsia="zh-CN"/>
              </w:rPr>
              <w:t>赵工</w:t>
            </w:r>
          </w:p>
        </w:tc>
        <w:tc>
          <w:tcPr>
            <w:tcW w:w="4300" w:type="dxa"/>
            <w:vAlign w:val="top"/>
          </w:tcPr>
          <w:p>
            <w:pPr>
              <w:spacing w:line="360" w:lineRule="auto"/>
              <w:rPr>
                <w:rFonts w:hint="default" w:ascii="宋体" w:hAnsi="宋体" w:eastAsia="宋体" w:cs="宋体"/>
                <w:szCs w:val="21"/>
                <w:highlight w:val="none"/>
                <w:lang w:val="en-US" w:eastAsia="zh-CN"/>
              </w:rPr>
            </w:pPr>
            <w:r>
              <w:rPr>
                <w:rFonts w:ascii="宋体" w:hAnsi="宋体" w:cs="宋体"/>
                <w:szCs w:val="21"/>
                <w:highlight w:val="none"/>
              </w:rPr>
              <w:t>联系电话：</w:t>
            </w:r>
            <w:r>
              <w:rPr>
                <w:rFonts w:hint="eastAsia" w:ascii="宋体" w:hAnsi="宋体" w:cs="宋体"/>
                <w:szCs w:val="21"/>
                <w:highlight w:val="none"/>
                <w:lang w:val="en-US" w:eastAsia="zh-CN"/>
              </w:rPr>
              <w:t>18934351634</w:t>
            </w:r>
          </w:p>
        </w:tc>
      </w:tr>
      <w:tr>
        <w:tblPrEx>
          <w:tblCellMar>
            <w:top w:w="0" w:type="dxa"/>
            <w:left w:w="108" w:type="dxa"/>
            <w:bottom w:w="0" w:type="dxa"/>
            <w:right w:w="108" w:type="dxa"/>
          </w:tblCellMar>
        </w:tblPrEx>
        <w:trPr>
          <w:trHeight w:val="394" w:hRule="atLeast"/>
          <w:jc w:val="center"/>
        </w:trPr>
        <w:tc>
          <w:tcPr>
            <w:tcW w:w="1041" w:type="dxa"/>
            <w:vAlign w:val="top"/>
          </w:tcPr>
          <w:p>
            <w:pPr>
              <w:spacing w:line="360" w:lineRule="auto"/>
              <w:rPr>
                <w:rFonts w:ascii="宋体" w:hAnsi="宋体" w:cs="宋体"/>
                <w:szCs w:val="21"/>
                <w:highlight w:val="none"/>
              </w:rPr>
            </w:pPr>
          </w:p>
        </w:tc>
        <w:tc>
          <w:tcPr>
            <w:tcW w:w="3718" w:type="dxa"/>
            <w:vAlign w:val="top"/>
          </w:tcPr>
          <w:p>
            <w:pPr>
              <w:spacing w:line="360" w:lineRule="auto"/>
              <w:rPr>
                <w:rFonts w:hint="eastAsia" w:ascii="宋体" w:hAnsi="宋体" w:eastAsia="宋体" w:cs="宋体"/>
                <w:szCs w:val="21"/>
                <w:highlight w:val="none"/>
                <w:lang w:val="en-US" w:eastAsia="zh-CN"/>
              </w:rPr>
            </w:pPr>
            <w:r>
              <w:rPr>
                <w:rFonts w:ascii="宋体" w:hAnsi="宋体" w:cs="宋体"/>
                <w:szCs w:val="21"/>
                <w:highlight w:val="none"/>
              </w:rPr>
              <w:t xml:space="preserve">传  真： </w:t>
            </w:r>
            <w:r>
              <w:rPr>
                <w:rFonts w:hint="eastAsia" w:ascii="宋体" w:hAnsi="宋体" w:cs="宋体"/>
                <w:szCs w:val="21"/>
                <w:highlight w:val="none"/>
                <w:lang w:val="en-US" w:eastAsia="zh-CN"/>
              </w:rPr>
              <w:t>/</w:t>
            </w:r>
          </w:p>
        </w:tc>
        <w:tc>
          <w:tcPr>
            <w:tcW w:w="4300" w:type="dxa"/>
            <w:vAlign w:val="top"/>
          </w:tcPr>
          <w:p>
            <w:pPr>
              <w:spacing w:line="360" w:lineRule="auto"/>
              <w:rPr>
                <w:rFonts w:ascii="宋体" w:hAnsi="宋体" w:cs="宋体"/>
                <w:szCs w:val="21"/>
                <w:highlight w:val="none"/>
              </w:rPr>
            </w:pPr>
            <w:r>
              <w:rPr>
                <w:rFonts w:ascii="宋体" w:hAnsi="宋体" w:cs="宋体"/>
                <w:szCs w:val="21"/>
                <w:highlight w:val="none"/>
              </w:rPr>
              <w:t>邮    编：528200</w:t>
            </w:r>
          </w:p>
        </w:tc>
      </w:tr>
      <w:tr>
        <w:tblPrEx>
          <w:tblCellMar>
            <w:top w:w="0" w:type="dxa"/>
            <w:left w:w="108" w:type="dxa"/>
            <w:bottom w:w="0" w:type="dxa"/>
            <w:right w:w="108" w:type="dxa"/>
          </w:tblCellMar>
        </w:tblPrEx>
        <w:trPr>
          <w:trHeight w:val="788" w:hRule="atLeast"/>
          <w:jc w:val="center"/>
        </w:trPr>
        <w:tc>
          <w:tcPr>
            <w:tcW w:w="1041" w:type="dxa"/>
            <w:vAlign w:val="top"/>
          </w:tcPr>
          <w:p>
            <w:pPr>
              <w:spacing w:line="360" w:lineRule="auto"/>
              <w:rPr>
                <w:rFonts w:ascii="宋体" w:hAnsi="宋体" w:cs="宋体"/>
                <w:szCs w:val="21"/>
                <w:highlight w:val="none"/>
              </w:rPr>
            </w:pPr>
            <w:r>
              <w:rPr>
                <w:rFonts w:ascii="宋体" w:hAnsi="宋体" w:cs="宋体"/>
                <w:szCs w:val="21"/>
                <w:highlight w:val="none"/>
              </w:rPr>
              <w:t>（三）</w:t>
            </w:r>
          </w:p>
        </w:tc>
        <w:tc>
          <w:tcPr>
            <w:tcW w:w="3718" w:type="dxa"/>
            <w:vAlign w:val="top"/>
          </w:tcPr>
          <w:p>
            <w:pPr>
              <w:spacing w:line="360" w:lineRule="auto"/>
              <w:rPr>
                <w:rFonts w:ascii="宋体" w:hAnsi="宋体" w:cs="宋体"/>
                <w:highlight w:val="none"/>
              </w:rPr>
            </w:pPr>
            <w:r>
              <w:rPr>
                <w:rFonts w:ascii="宋体" w:hAnsi="宋体" w:cs="宋体"/>
                <w:highlight w:val="none"/>
              </w:rPr>
              <w:t>采购人：佛山市南海区公交站场管理有限公司</w:t>
            </w:r>
          </w:p>
        </w:tc>
        <w:tc>
          <w:tcPr>
            <w:tcW w:w="4300" w:type="dxa"/>
            <w:vAlign w:val="top"/>
          </w:tcPr>
          <w:p>
            <w:pPr>
              <w:spacing w:line="360" w:lineRule="auto"/>
              <w:rPr>
                <w:rFonts w:ascii="宋体" w:hAnsi="宋体" w:cs="宋体"/>
                <w:szCs w:val="21"/>
                <w:highlight w:val="none"/>
              </w:rPr>
            </w:pPr>
            <w:r>
              <w:rPr>
                <w:rFonts w:ascii="宋体" w:hAnsi="宋体" w:cs="宋体"/>
                <w:highlight w:val="none"/>
              </w:rPr>
              <w:t>地址：广东省佛山市南海区桂城街道佛平二路南海公交站场</w:t>
            </w:r>
          </w:p>
        </w:tc>
      </w:tr>
      <w:tr>
        <w:tblPrEx>
          <w:tblCellMar>
            <w:top w:w="0" w:type="dxa"/>
            <w:left w:w="108" w:type="dxa"/>
            <w:bottom w:w="0" w:type="dxa"/>
            <w:right w:w="108" w:type="dxa"/>
          </w:tblCellMar>
        </w:tblPrEx>
        <w:trPr>
          <w:trHeight w:val="394" w:hRule="atLeast"/>
          <w:jc w:val="center"/>
        </w:trPr>
        <w:tc>
          <w:tcPr>
            <w:tcW w:w="1041" w:type="dxa"/>
            <w:vAlign w:val="top"/>
          </w:tcPr>
          <w:p>
            <w:pPr>
              <w:spacing w:line="360" w:lineRule="auto"/>
              <w:rPr>
                <w:rFonts w:ascii="宋体" w:hAnsi="宋体" w:cs="宋体"/>
                <w:szCs w:val="21"/>
                <w:highlight w:val="none"/>
              </w:rPr>
            </w:pPr>
          </w:p>
        </w:tc>
        <w:tc>
          <w:tcPr>
            <w:tcW w:w="3718" w:type="dxa"/>
            <w:vAlign w:val="top"/>
          </w:tcPr>
          <w:p>
            <w:pPr>
              <w:spacing w:line="360" w:lineRule="auto"/>
              <w:rPr>
                <w:rFonts w:ascii="宋体" w:hAnsi="宋体" w:cs="宋体"/>
                <w:highlight w:val="none"/>
              </w:rPr>
            </w:pPr>
            <w:r>
              <w:rPr>
                <w:rFonts w:ascii="宋体" w:hAnsi="宋体" w:cs="宋体"/>
                <w:highlight w:val="none"/>
              </w:rPr>
              <w:t>联系人：黄先生</w:t>
            </w:r>
          </w:p>
        </w:tc>
        <w:tc>
          <w:tcPr>
            <w:tcW w:w="4300" w:type="dxa"/>
            <w:vAlign w:val="top"/>
          </w:tcPr>
          <w:p>
            <w:pPr>
              <w:spacing w:line="360" w:lineRule="auto"/>
              <w:rPr>
                <w:rFonts w:hint="default" w:ascii="宋体" w:hAnsi="宋体" w:cs="宋体"/>
                <w:szCs w:val="21"/>
                <w:highlight w:val="none"/>
              </w:rPr>
            </w:pPr>
            <w:r>
              <w:rPr>
                <w:rFonts w:ascii="宋体" w:hAnsi="宋体" w:cs="宋体"/>
                <w:highlight w:val="none"/>
              </w:rPr>
              <w:t>联系电话：</w:t>
            </w:r>
            <w:r>
              <w:rPr>
                <w:rFonts w:ascii="宋体" w:hAnsi="宋体" w:cs="宋体"/>
                <w:szCs w:val="21"/>
                <w:highlight w:val="none"/>
              </w:rPr>
              <w:t>0757-86222581</w:t>
            </w:r>
          </w:p>
        </w:tc>
      </w:tr>
      <w:tr>
        <w:tblPrEx>
          <w:tblCellMar>
            <w:top w:w="0" w:type="dxa"/>
            <w:left w:w="108" w:type="dxa"/>
            <w:bottom w:w="0" w:type="dxa"/>
            <w:right w:w="108" w:type="dxa"/>
          </w:tblCellMar>
        </w:tblPrEx>
        <w:trPr>
          <w:trHeight w:val="394" w:hRule="atLeast"/>
          <w:jc w:val="center"/>
        </w:trPr>
        <w:tc>
          <w:tcPr>
            <w:tcW w:w="1041" w:type="dxa"/>
            <w:vAlign w:val="top"/>
          </w:tcPr>
          <w:p>
            <w:pPr>
              <w:spacing w:line="360" w:lineRule="auto"/>
              <w:rPr>
                <w:rFonts w:ascii="宋体" w:hAnsi="宋体" w:cs="宋体"/>
                <w:szCs w:val="21"/>
                <w:highlight w:val="none"/>
              </w:rPr>
            </w:pPr>
          </w:p>
        </w:tc>
        <w:tc>
          <w:tcPr>
            <w:tcW w:w="3718" w:type="dxa"/>
            <w:vAlign w:val="top"/>
          </w:tcPr>
          <w:p>
            <w:pPr>
              <w:spacing w:line="360" w:lineRule="auto"/>
              <w:rPr>
                <w:rFonts w:hint="default" w:ascii="宋体" w:hAnsi="宋体" w:cs="宋体"/>
                <w:highlight w:val="none"/>
              </w:rPr>
            </w:pPr>
            <w:r>
              <w:rPr>
                <w:rFonts w:ascii="宋体" w:hAnsi="宋体" w:cs="宋体"/>
                <w:highlight w:val="none"/>
              </w:rPr>
              <w:t>传真：</w:t>
            </w:r>
            <w:r>
              <w:rPr>
                <w:rFonts w:ascii="宋体" w:hAnsi="宋体" w:cs="宋体"/>
                <w:szCs w:val="21"/>
                <w:highlight w:val="none"/>
              </w:rPr>
              <w:t>0757-86222582</w:t>
            </w:r>
          </w:p>
        </w:tc>
        <w:tc>
          <w:tcPr>
            <w:tcW w:w="4300" w:type="dxa"/>
            <w:vAlign w:val="top"/>
          </w:tcPr>
          <w:p>
            <w:pPr>
              <w:spacing w:line="360" w:lineRule="auto"/>
              <w:rPr>
                <w:rFonts w:hint="default" w:ascii="宋体" w:hAnsi="宋体" w:cs="宋体"/>
                <w:szCs w:val="21"/>
                <w:highlight w:val="none"/>
              </w:rPr>
            </w:pPr>
            <w:r>
              <w:rPr>
                <w:rFonts w:ascii="宋体" w:hAnsi="宋体" w:cs="宋体"/>
                <w:highlight w:val="none"/>
              </w:rPr>
              <w:t>邮编：528200</w:t>
            </w:r>
          </w:p>
        </w:tc>
      </w:tr>
    </w:tbl>
    <w:p>
      <w:pPr>
        <w:spacing w:line="360" w:lineRule="auto"/>
        <w:jc w:val="both"/>
        <w:rPr>
          <w:rFonts w:ascii="宋体" w:hAnsi="宋体" w:cs="宋体"/>
          <w:highlight w:val="none"/>
        </w:rPr>
      </w:pPr>
    </w:p>
    <w:p>
      <w:pPr>
        <w:spacing w:line="360" w:lineRule="auto"/>
        <w:jc w:val="right"/>
        <w:rPr>
          <w:rFonts w:hint="eastAsia" w:ascii="宋体" w:hAnsi="宋体" w:eastAsia="宋体" w:cs="宋体"/>
          <w:szCs w:val="21"/>
          <w:highlight w:val="none"/>
          <w:lang w:eastAsia="zh-CN"/>
        </w:rPr>
      </w:pPr>
      <w:r>
        <w:rPr>
          <w:rFonts w:ascii="宋体" w:hAnsi="宋体" w:cs="宋体"/>
          <w:highlight w:val="none"/>
        </w:rPr>
        <w:t>发布人：</w:t>
      </w:r>
      <w:r>
        <w:rPr>
          <w:rFonts w:hint="eastAsia" w:ascii="宋体" w:hAnsi="宋体" w:cs="宋体"/>
          <w:highlight w:val="none"/>
          <w:lang w:eastAsia="zh-CN"/>
        </w:rPr>
        <w:t>广东良德工程咨询有限公司</w:t>
      </w:r>
    </w:p>
    <w:p>
      <w:pPr>
        <w:rPr>
          <w:rFonts w:ascii="宋体" w:hAnsi="宋体" w:cs="宋体"/>
          <w:highlight w:val="none"/>
        </w:rPr>
      </w:pPr>
      <w:r>
        <w:rPr>
          <w:rFonts w:ascii="宋体" w:hAnsi="宋体" w:cs="宋体"/>
          <w:highlight w:val="none"/>
        </w:rPr>
        <w:t xml:space="preserve">                                                          发布时间：2022年</w:t>
      </w:r>
      <w:r>
        <w:rPr>
          <w:rFonts w:hint="eastAsia" w:ascii="宋体" w:hAnsi="宋体" w:cs="宋体"/>
          <w:highlight w:val="none"/>
          <w:lang w:val="en-US" w:eastAsia="zh-CN"/>
        </w:rPr>
        <w:t xml:space="preserve"> </w:t>
      </w:r>
      <w:ins w:id="0" w:author="Kilig" w:date="2022-11-28T10:34:37Z">
        <w:r>
          <w:rPr>
            <w:rFonts w:hint="eastAsia" w:ascii="宋体" w:hAnsi="宋体" w:cs="宋体"/>
            <w:highlight w:val="none"/>
            <w:lang w:val="en-US" w:eastAsia="zh-CN"/>
          </w:rPr>
          <w:t>11</w:t>
        </w:r>
      </w:ins>
      <w:r>
        <w:rPr>
          <w:rFonts w:hint="eastAsia" w:ascii="宋体" w:hAnsi="宋体" w:cs="宋体"/>
          <w:highlight w:val="none"/>
          <w:lang w:val="en-US" w:eastAsia="zh-CN"/>
        </w:rPr>
        <w:t xml:space="preserve"> </w:t>
      </w:r>
      <w:r>
        <w:rPr>
          <w:rFonts w:ascii="宋体" w:hAnsi="宋体" w:cs="宋体"/>
          <w:highlight w:val="none"/>
        </w:rPr>
        <w:t>月</w:t>
      </w:r>
      <w:r>
        <w:rPr>
          <w:rFonts w:hint="eastAsia" w:ascii="宋体" w:hAnsi="宋体" w:eastAsia="宋体" w:cs="宋体"/>
          <w:highlight w:val="none"/>
          <w:lang w:val="en-US" w:eastAsia="zh-CN"/>
        </w:rPr>
        <w:t xml:space="preserve"> </w:t>
      </w:r>
      <w:ins w:id="1" w:author="Kilig" w:date="2022-11-28T10:34:39Z">
        <w:r>
          <w:rPr>
            <w:rFonts w:hint="eastAsia" w:ascii="宋体" w:hAnsi="宋体" w:cs="宋体"/>
            <w:highlight w:val="none"/>
            <w:lang w:val="en-US" w:eastAsia="zh-CN"/>
          </w:rPr>
          <w:t>29</w:t>
        </w:r>
      </w:ins>
      <w:r>
        <w:rPr>
          <w:rFonts w:hint="eastAsia" w:ascii="宋体" w:hAnsi="宋体" w:eastAsia="宋体" w:cs="宋体"/>
          <w:highlight w:val="none"/>
          <w:lang w:val="en-US" w:eastAsia="zh-CN"/>
        </w:rPr>
        <w:t xml:space="preserve"> </w:t>
      </w:r>
      <w:r>
        <w:rPr>
          <w:rFonts w:ascii="宋体" w:hAnsi="宋体" w:cs="宋体"/>
          <w:highlight w:val="none"/>
        </w:rPr>
        <w:t>日</w:t>
      </w:r>
    </w:p>
    <w:p>
      <w:pPr>
        <w:pStyle w:val="57"/>
        <w:spacing w:line="360" w:lineRule="auto"/>
        <w:jc w:val="both"/>
        <w:rPr>
          <w:rFonts w:ascii="宋体" w:hAnsi="宋体" w:cs="宋体"/>
          <w:highlight w:val="none"/>
        </w:rPr>
        <w:sectPr>
          <w:headerReference r:id="rId13" w:type="first"/>
          <w:pgSz w:w="11906" w:h="16838"/>
          <w:pgMar w:top="1440" w:right="1469" w:bottom="1440" w:left="1440" w:header="850" w:footer="992" w:gutter="0"/>
          <w:cols w:space="720" w:num="1"/>
          <w:docGrid w:linePitch="462" w:charSpace="0"/>
        </w:sectPr>
      </w:pPr>
    </w:p>
    <w:p>
      <w:pPr>
        <w:pStyle w:val="3"/>
        <w:spacing w:line="360" w:lineRule="auto"/>
        <w:rPr>
          <w:rFonts w:ascii="宋体" w:hAnsi="宋体" w:cs="宋体"/>
          <w:sz w:val="44"/>
          <w:highlight w:val="none"/>
        </w:rPr>
      </w:pPr>
      <w:bookmarkStart w:id="16" w:name="_Toc10027"/>
      <w:bookmarkStart w:id="17" w:name="_Toc10580"/>
      <w:bookmarkStart w:id="18" w:name="_Toc25793"/>
      <w:bookmarkStart w:id="19" w:name="_Toc20324"/>
      <w:bookmarkStart w:id="20" w:name="_Toc16895"/>
      <w:bookmarkStart w:id="21" w:name="_Toc27679"/>
      <w:bookmarkStart w:id="22" w:name="_Toc406136458"/>
      <w:bookmarkStart w:id="23" w:name="_Toc22915"/>
      <w:bookmarkStart w:id="24" w:name="_Toc30989"/>
      <w:bookmarkStart w:id="25" w:name="_Toc23596"/>
      <w:bookmarkStart w:id="26" w:name="_Toc7509"/>
      <w:bookmarkStart w:id="27" w:name="_Toc19403"/>
      <w:bookmarkStart w:id="28" w:name="_Toc27569"/>
      <w:bookmarkStart w:id="29" w:name="_Toc31542"/>
      <w:r>
        <w:rPr>
          <w:rFonts w:ascii="宋体" w:hAnsi="宋体" w:cs="宋体"/>
          <w:sz w:val="44"/>
          <w:highlight w:val="none"/>
        </w:rPr>
        <w:t>第二部分　采购项目内容</w:t>
      </w:r>
      <w:bookmarkEnd w:id="16"/>
      <w:bookmarkEnd w:id="17"/>
      <w:bookmarkEnd w:id="18"/>
      <w:bookmarkEnd w:id="19"/>
      <w:bookmarkEnd w:id="20"/>
      <w:bookmarkEnd w:id="21"/>
      <w:bookmarkEnd w:id="22"/>
      <w:bookmarkEnd w:id="23"/>
      <w:bookmarkEnd w:id="24"/>
      <w:bookmarkEnd w:id="25"/>
      <w:bookmarkEnd w:id="26"/>
      <w:bookmarkEnd w:id="27"/>
      <w:bookmarkEnd w:id="28"/>
      <w:bookmarkEnd w:id="29"/>
    </w:p>
    <w:p>
      <w:pPr>
        <w:autoSpaceDE w:val="0"/>
        <w:autoSpaceDN w:val="0"/>
        <w:spacing w:line="360" w:lineRule="auto"/>
        <w:ind w:left="560"/>
        <w:rPr>
          <w:rFonts w:ascii="宋体" w:hAnsi="宋体" w:cs="宋体"/>
          <w:b/>
          <w:sz w:val="28"/>
          <w:szCs w:val="28"/>
          <w:highlight w:val="none"/>
        </w:rPr>
      </w:pPr>
    </w:p>
    <w:p>
      <w:pPr>
        <w:autoSpaceDE w:val="0"/>
        <w:autoSpaceDN w:val="0"/>
        <w:spacing w:line="360" w:lineRule="auto"/>
        <w:ind w:left="560"/>
        <w:rPr>
          <w:rFonts w:ascii="宋体" w:hAnsi="宋体" w:cs="宋体"/>
          <w:b/>
          <w:sz w:val="24"/>
          <w:highlight w:val="none"/>
        </w:rPr>
      </w:pPr>
      <w:r>
        <w:rPr>
          <w:rFonts w:ascii="宋体" w:hAnsi="宋体" w:cs="宋体"/>
          <w:b/>
          <w:sz w:val="28"/>
          <w:szCs w:val="28"/>
          <w:highlight w:val="none"/>
        </w:rPr>
        <w:br w:type="page"/>
      </w:r>
      <w:r>
        <w:rPr>
          <w:rFonts w:ascii="宋体" w:hAnsi="宋体" w:cs="宋体"/>
          <w:b/>
          <w:sz w:val="24"/>
          <w:highlight w:val="none"/>
          <w:u w:val="single"/>
        </w:rPr>
        <w:t>(注：第二部分中所有内容均为不可负偏离条款，投标人如不响应或负偏离将导致投标无效。)</w:t>
      </w:r>
    </w:p>
    <w:p>
      <w:pPr>
        <w:pStyle w:val="4"/>
        <w:numPr>
          <w:ilvl w:val="0"/>
          <w:numId w:val="3"/>
        </w:numPr>
        <w:spacing w:before="0" w:after="0" w:line="360" w:lineRule="auto"/>
        <w:rPr>
          <w:rFonts w:ascii="宋体" w:hAnsi="宋体" w:eastAsia="宋体" w:cs="宋体"/>
          <w:sz w:val="28"/>
          <w:szCs w:val="28"/>
          <w:highlight w:val="none"/>
        </w:rPr>
      </w:pPr>
      <w:r>
        <w:rPr>
          <w:rFonts w:ascii="宋体" w:hAnsi="宋体" w:eastAsia="宋体" w:cs="宋体"/>
          <w:sz w:val="28"/>
          <w:szCs w:val="28"/>
          <w:highlight w:val="none"/>
        </w:rPr>
        <w:t>采购项目商务要求</w:t>
      </w:r>
      <w:bookmarkStart w:id="30" w:name="OLE_LINK27"/>
    </w:p>
    <w:p>
      <w:pPr>
        <w:pStyle w:val="4"/>
        <w:numPr>
          <w:ilvl w:val="0"/>
          <w:numId w:val="0"/>
        </w:numPr>
        <w:spacing w:before="0" w:after="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（一）报价要求</w:t>
      </w:r>
    </w:p>
    <w:p>
      <w:pPr>
        <w:spacing w:before="120" w:beforeLines="50" w:after="120" w:afterLines="50" w:line="400" w:lineRule="exact"/>
        <w:ind w:right="105" w:rightChars="50" w:firstLine="480" w:firstLineChars="200"/>
        <w:rPr>
          <w:rFonts w:ascii="宋体" w:hAnsi="宋体" w:cs="宋体"/>
          <w:sz w:val="24"/>
          <w:highlight w:val="none"/>
          <w:u w:val="none"/>
        </w:rPr>
      </w:pPr>
      <w:r>
        <w:rPr>
          <w:rFonts w:ascii="宋体" w:hAnsi="宋体" w:cs="宋体"/>
          <w:sz w:val="24"/>
          <w:highlight w:val="none"/>
        </w:rPr>
        <w:t>本项目以投标人每月按比例向采购人支付充电站产生的收益分成进行报价，</w:t>
      </w:r>
      <w:r>
        <w:rPr>
          <w:rFonts w:ascii="宋体" w:hAnsi="宋体" w:cs="宋体"/>
          <w:sz w:val="24"/>
          <w:highlight w:val="none"/>
          <w:u w:val="none"/>
        </w:rPr>
        <w:t>充电站收益分成比例报价下限为</w:t>
      </w:r>
      <w:r>
        <w:rPr>
          <w:rFonts w:hint="eastAsia" w:ascii="宋体" w:hAnsi="宋体" w:cs="宋体"/>
          <w:sz w:val="24"/>
          <w:highlight w:val="none"/>
          <w:u w:val="none"/>
          <w:lang w:val="en-US" w:eastAsia="zh-CN"/>
        </w:rPr>
        <w:t>20</w:t>
      </w:r>
      <w:r>
        <w:rPr>
          <w:rFonts w:ascii="宋体" w:hAnsi="宋体" w:cs="宋体"/>
          <w:sz w:val="24"/>
          <w:highlight w:val="none"/>
          <w:u w:val="none"/>
        </w:rPr>
        <w:t>%，</w:t>
      </w:r>
      <w:r>
        <w:rPr>
          <w:rFonts w:hint="eastAsia" w:ascii="宋体" w:hAnsi="宋体" w:cs="宋体"/>
          <w:sz w:val="24"/>
          <w:highlight w:val="none"/>
          <w:u w:val="none"/>
          <w:lang w:eastAsia="zh-CN"/>
        </w:rPr>
        <w:t>上限为</w:t>
      </w:r>
      <w:r>
        <w:rPr>
          <w:rFonts w:hint="eastAsia" w:ascii="宋体" w:hAnsi="宋体" w:cs="宋体"/>
          <w:sz w:val="24"/>
          <w:highlight w:val="none"/>
          <w:u w:val="none"/>
          <w:lang w:val="en-US" w:eastAsia="zh-CN"/>
        </w:rPr>
        <w:t>30%，</w:t>
      </w:r>
      <w:r>
        <w:rPr>
          <w:rFonts w:ascii="宋体" w:hAnsi="宋体" w:cs="宋体"/>
          <w:sz w:val="24"/>
          <w:highlight w:val="none"/>
          <w:u w:val="none"/>
        </w:rPr>
        <w:t>凡是报价低于</w:t>
      </w:r>
      <w:r>
        <w:rPr>
          <w:rFonts w:hint="eastAsia" w:ascii="宋体" w:hAnsi="宋体" w:cs="宋体"/>
          <w:sz w:val="24"/>
          <w:highlight w:val="none"/>
          <w:u w:val="none"/>
          <w:lang w:val="en-US" w:eastAsia="zh-CN"/>
        </w:rPr>
        <w:t>20</w:t>
      </w:r>
      <w:r>
        <w:rPr>
          <w:rFonts w:hint="default" w:ascii="宋体" w:hAnsi="宋体" w:cs="宋体"/>
          <w:sz w:val="24"/>
          <w:highlight w:val="none"/>
          <w:u w:val="none"/>
        </w:rPr>
        <w:t>%</w:t>
      </w:r>
      <w:r>
        <w:rPr>
          <w:rFonts w:ascii="宋体" w:hAnsi="宋体" w:cs="宋体"/>
          <w:sz w:val="24"/>
          <w:highlight w:val="none"/>
          <w:u w:val="none"/>
        </w:rPr>
        <w:t>的，按无效报价处理，取消其投标资格。</w:t>
      </w:r>
    </w:p>
    <w:p>
      <w:pPr>
        <w:spacing w:before="120" w:beforeLines="50" w:after="120" w:afterLines="50" w:line="400" w:lineRule="exact"/>
        <w:ind w:right="105" w:rightChars="50" w:firstLine="480" w:firstLineChars="200"/>
        <w:rPr>
          <w:rFonts w:ascii="宋体" w:hAnsi="宋体" w:cs="宋体"/>
          <w:sz w:val="24"/>
          <w:szCs w:val="24"/>
          <w:highlight w:val="none"/>
        </w:rPr>
      </w:pPr>
      <w:r>
        <w:rPr>
          <w:rFonts w:ascii="宋体" w:hAnsi="宋体" w:cs="宋体"/>
          <w:sz w:val="24"/>
          <w:szCs w:val="24"/>
          <w:highlight w:val="none"/>
        </w:rPr>
        <w:t>备注：</w:t>
      </w:r>
    </w:p>
    <w:p>
      <w:pPr>
        <w:numPr>
          <w:ilvl w:val="0"/>
          <w:numId w:val="4"/>
        </w:numPr>
        <w:spacing w:before="120" w:beforeLines="50" w:after="120" w:afterLines="50" w:line="400" w:lineRule="exact"/>
        <w:ind w:right="105" w:rightChars="50" w:firstLine="480" w:firstLineChars="200"/>
        <w:rPr>
          <w:rFonts w:ascii="宋体" w:hAnsi="宋体" w:cs="宋体"/>
          <w:sz w:val="24"/>
          <w:szCs w:val="24"/>
          <w:highlight w:val="none"/>
        </w:rPr>
      </w:pPr>
      <w:r>
        <w:rPr>
          <w:rFonts w:ascii="宋体" w:hAnsi="宋体" w:cs="宋体"/>
          <w:sz w:val="24"/>
          <w:szCs w:val="24"/>
          <w:highlight w:val="none"/>
        </w:rPr>
        <w:t>充电站产生的收益分成=充电站产生的充电服务费×实际投标分成比例，由中标人支付给采购人。</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投标人在填报实际投标分成比例时，应根据企业自身的成本核算情况，充分考虑市场价格的波动风险。一经投标，即认为该投标人已充分考虑有关风险，愿意承担因这些风险所造成的一切经济损失，并放弃因此造成的损失求偿权。中标后，实际投标分成比例在经营期内不得调整。</w:t>
      </w:r>
    </w:p>
    <w:p>
      <w:pPr>
        <w:numPr>
          <w:ilvl w:val="0"/>
          <w:numId w:val="0"/>
        </w:numPr>
        <w:spacing w:before="120" w:beforeLines="50" w:after="120" w:afterLines="50" w:line="400" w:lineRule="exact"/>
        <w:ind w:right="105" w:rightChars="50"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w:t>
      </w:r>
      <w:r>
        <w:rPr>
          <w:rFonts w:ascii="宋体" w:hAnsi="宋体" w:cs="宋体"/>
          <w:sz w:val="24"/>
          <w:szCs w:val="24"/>
          <w:highlight w:val="none"/>
        </w:rPr>
        <w:t>充电站产生的充电服务费</w:t>
      </w:r>
      <w:r>
        <w:rPr>
          <w:rFonts w:hint="eastAsia" w:ascii="宋体" w:hAnsi="宋体" w:cs="宋体"/>
          <w:sz w:val="24"/>
          <w:szCs w:val="24"/>
          <w:highlight w:val="none"/>
          <w:lang w:eastAsia="zh-CN"/>
        </w:rPr>
        <w:t>高于</w:t>
      </w:r>
      <w:r>
        <w:rPr>
          <w:rFonts w:hint="eastAsia" w:ascii="宋体" w:hAnsi="宋体" w:cs="宋体"/>
          <w:sz w:val="24"/>
          <w:szCs w:val="24"/>
          <w:highlight w:val="none"/>
          <w:lang w:val="en-US" w:eastAsia="zh-CN"/>
        </w:rPr>
        <w:t>0.25元/度时，</w:t>
      </w:r>
    </w:p>
    <w:p>
      <w:pPr>
        <w:numPr>
          <w:ilvl w:val="0"/>
          <w:numId w:val="0"/>
        </w:numPr>
        <w:spacing w:before="120" w:beforeLines="50" w:after="120" w:afterLines="50" w:line="400" w:lineRule="exact"/>
        <w:ind w:right="105" w:rightChars="50" w:firstLine="480" w:firstLineChars="200"/>
        <w:rPr>
          <w:rFonts w:hint="eastAsia" w:ascii="宋体" w:hAnsi="宋体" w:eastAsia="宋体" w:cs="宋体"/>
          <w:sz w:val="24"/>
          <w:szCs w:val="24"/>
          <w:highlight w:val="none"/>
          <w:lang w:eastAsia="zh-CN"/>
        </w:rPr>
      </w:pPr>
      <w:r>
        <w:rPr>
          <w:rFonts w:ascii="宋体" w:hAnsi="宋体" w:cs="宋体"/>
          <w:sz w:val="24"/>
          <w:szCs w:val="24"/>
          <w:highlight w:val="none"/>
        </w:rPr>
        <w:t>充电站产生的收益分成=充电站产生的充电服务费×实际投标分成比例，由中标人支付给采购人</w:t>
      </w:r>
      <w:r>
        <w:rPr>
          <w:rFonts w:hint="eastAsia" w:ascii="宋体" w:hAnsi="宋体" w:cs="宋体"/>
          <w:sz w:val="24"/>
          <w:szCs w:val="24"/>
          <w:highlight w:val="none"/>
          <w:lang w:eastAsia="zh-CN"/>
        </w:rPr>
        <w:t>；</w:t>
      </w:r>
    </w:p>
    <w:p>
      <w:pPr>
        <w:numPr>
          <w:ilvl w:val="0"/>
          <w:numId w:val="0"/>
        </w:numPr>
        <w:spacing w:before="120" w:beforeLines="50" w:after="120" w:afterLines="50" w:line="400" w:lineRule="exact"/>
        <w:ind w:leftChars="200" w:right="105" w:rightChars="50"/>
        <w:rPr>
          <w:rFonts w:hint="eastAsia" w:ascii="宋体" w:hAnsi="宋体" w:cs="宋体"/>
          <w:sz w:val="24"/>
          <w:szCs w:val="24"/>
          <w:highlight w:val="none"/>
          <w:lang w:val="en-US" w:eastAsia="zh-CN"/>
        </w:rPr>
      </w:pPr>
      <w:r>
        <w:rPr>
          <w:rFonts w:ascii="宋体" w:hAnsi="宋体" w:cs="宋体"/>
          <w:sz w:val="24"/>
          <w:szCs w:val="24"/>
          <w:highlight w:val="none"/>
        </w:rPr>
        <w:t>充电站产生的充电服务费</w:t>
      </w:r>
      <w:r>
        <w:rPr>
          <w:rFonts w:hint="eastAsia" w:ascii="宋体" w:hAnsi="宋体" w:cs="宋体"/>
          <w:sz w:val="24"/>
          <w:szCs w:val="24"/>
          <w:highlight w:val="none"/>
          <w:lang w:eastAsia="zh-CN"/>
        </w:rPr>
        <w:t>低于</w:t>
      </w:r>
      <w:r>
        <w:rPr>
          <w:rFonts w:hint="eastAsia" w:ascii="宋体" w:hAnsi="宋体" w:cs="宋体"/>
          <w:sz w:val="24"/>
          <w:szCs w:val="24"/>
          <w:highlight w:val="none"/>
          <w:lang w:val="en-US" w:eastAsia="zh-CN"/>
        </w:rPr>
        <w:t>0.25元/度（含）时，</w:t>
      </w:r>
    </w:p>
    <w:p>
      <w:pPr>
        <w:numPr>
          <w:ilvl w:val="0"/>
          <w:numId w:val="0"/>
        </w:numPr>
        <w:spacing w:before="120" w:beforeLines="50" w:after="120" w:afterLines="50" w:line="400" w:lineRule="exact"/>
        <w:ind w:right="105" w:rightChars="50" w:firstLine="480" w:firstLineChars="200"/>
        <w:rPr>
          <w:rFonts w:hint="eastAsia" w:ascii="宋体" w:hAnsi="宋体" w:cs="宋体"/>
          <w:sz w:val="24"/>
          <w:szCs w:val="24"/>
          <w:highlight w:val="none"/>
          <w:lang w:val="en-US" w:eastAsia="zh-CN"/>
        </w:rPr>
      </w:pPr>
      <w:r>
        <w:rPr>
          <w:rFonts w:ascii="宋体" w:hAnsi="宋体" w:cs="宋体"/>
          <w:sz w:val="24"/>
          <w:szCs w:val="24"/>
          <w:highlight w:val="none"/>
        </w:rPr>
        <w:t>充电站产生的收益分成=</w:t>
      </w:r>
      <w:r>
        <w:rPr>
          <w:rFonts w:hint="eastAsia" w:ascii="宋体" w:hAnsi="宋体" w:cs="宋体"/>
          <w:sz w:val="24"/>
          <w:szCs w:val="24"/>
          <w:highlight w:val="none"/>
          <w:lang w:val="en-US" w:eastAsia="zh-CN"/>
        </w:rPr>
        <w:t>0.25元/度</w:t>
      </w:r>
      <w:r>
        <w:rPr>
          <w:rFonts w:ascii="宋体" w:hAnsi="宋体" w:cs="宋体"/>
          <w:sz w:val="24"/>
          <w:szCs w:val="24"/>
          <w:highlight w:val="none"/>
        </w:rPr>
        <w:t>×</w:t>
      </w:r>
      <w:r>
        <w:rPr>
          <w:rFonts w:hint="eastAsia" w:ascii="宋体" w:hAnsi="宋体" w:cs="宋体"/>
          <w:sz w:val="24"/>
          <w:szCs w:val="24"/>
          <w:highlight w:val="none"/>
          <w:lang w:val="en-US" w:eastAsia="zh-CN"/>
        </w:rPr>
        <w:t>充电度数</w:t>
      </w:r>
      <w:r>
        <w:rPr>
          <w:rFonts w:ascii="宋体" w:hAnsi="宋体" w:cs="宋体"/>
          <w:sz w:val="24"/>
          <w:szCs w:val="24"/>
          <w:highlight w:val="none"/>
        </w:rPr>
        <w:t>×</w:t>
      </w:r>
      <w:r>
        <w:rPr>
          <w:rFonts w:hint="eastAsia" w:ascii="宋体" w:hAnsi="宋体" w:cs="宋体"/>
          <w:sz w:val="24"/>
          <w:szCs w:val="24"/>
          <w:highlight w:val="none"/>
          <w:lang w:val="en-US" w:eastAsia="zh-CN"/>
        </w:rPr>
        <w:t>实际投标分成比例，由中标人支付给采购人。</w:t>
      </w:r>
    </w:p>
    <w:p>
      <w:pPr>
        <w:spacing w:before="120" w:beforeLines="50" w:after="120" w:afterLines="50" w:line="400" w:lineRule="exact"/>
        <w:ind w:right="105" w:rightChars="50" w:firstLine="480" w:firstLineChars="200"/>
        <w:rPr>
          <w:rFonts w:hint="default" w:ascii="宋体" w:hAnsi="宋体" w:eastAsia="宋体" w:cs="宋体"/>
          <w:b w:val="0"/>
          <w:bCs w:val="0"/>
          <w:sz w:val="24"/>
          <w:highlight w:val="none"/>
          <w:u w:val="none"/>
          <w:lang w:val="en-US" w:eastAsia="zh-CN"/>
        </w:rPr>
      </w:pPr>
      <w:r>
        <w:rPr>
          <w:rFonts w:hint="eastAsia" w:ascii="宋体" w:hAnsi="宋体" w:cs="宋体"/>
          <w:sz w:val="24"/>
          <w:highlight w:val="none"/>
          <w:lang w:val="en-US" w:eastAsia="zh-CN"/>
        </w:rPr>
        <w:t>3、采购人享有保底收益权。若采购人每年度获得的收益分成金额少于保底金额，不足部分，由中标方负责补足，并在下一结算年度开始的第一个月内</w:t>
      </w:r>
      <w:r>
        <w:rPr>
          <w:rFonts w:hint="default" w:ascii="宋体" w:hAnsi="宋体" w:cs="宋体"/>
          <w:sz w:val="24"/>
          <w:highlight w:val="none"/>
          <w:lang w:val="en-US" w:eastAsia="zh-CN"/>
        </w:rPr>
        <w:t>一次性支付</w:t>
      </w:r>
      <w:r>
        <w:rPr>
          <w:rFonts w:hint="eastAsia" w:ascii="宋体" w:hAnsi="宋体" w:cs="宋体"/>
          <w:sz w:val="24"/>
          <w:highlight w:val="none"/>
          <w:lang w:val="en-US" w:eastAsia="zh-CN"/>
        </w:rPr>
        <w:t>完毕，采购人须开具相应发票，保底金额每两年递增3%，合计五期，即首期年度保底金额为</w:t>
      </w:r>
      <w:r>
        <w:rPr>
          <w:rFonts w:hint="eastAsia" w:ascii="宋体" w:hAnsi="宋体" w:cs="宋体"/>
          <w:sz w:val="24"/>
          <w:highlight w:val="none"/>
          <w:u w:val="single"/>
          <w:lang w:val="en-US" w:eastAsia="zh-CN"/>
        </w:rPr>
        <w:t>￥557988.00</w:t>
      </w:r>
      <w:r>
        <w:rPr>
          <w:rFonts w:hint="eastAsia" w:ascii="宋体" w:hAnsi="宋体" w:eastAsia="宋体" w:cs="宋体"/>
          <w:color w:val="auto"/>
          <w:kern w:val="2"/>
          <w:sz w:val="21"/>
          <w:szCs w:val="21"/>
          <w:highlight w:val="none"/>
          <w:u w:val="single"/>
          <w:lang w:val="en-US" w:eastAsia="zh-CN" w:bidi="ar-SA"/>
        </w:rPr>
        <w:t>元</w:t>
      </w:r>
      <w:r>
        <w:rPr>
          <w:rFonts w:hint="eastAsia" w:ascii="宋体" w:hAnsi="宋体" w:cs="宋体"/>
          <w:color w:val="auto"/>
          <w:kern w:val="2"/>
          <w:sz w:val="21"/>
          <w:szCs w:val="21"/>
          <w:highlight w:val="none"/>
          <w:u w:val="single"/>
          <w:lang w:val="en-US" w:eastAsia="zh-CN" w:bidi="ar-SA"/>
        </w:rPr>
        <w:t>【</w:t>
      </w:r>
      <w:r>
        <w:rPr>
          <w:rFonts w:hint="eastAsia" w:ascii="宋体" w:hAnsi="宋体" w:eastAsia="宋体" w:cs="宋体"/>
          <w:color w:val="auto"/>
          <w:kern w:val="2"/>
          <w:sz w:val="24"/>
          <w:szCs w:val="24"/>
          <w:highlight w:val="none"/>
          <w:u w:val="none"/>
          <w:lang w:val="en-US" w:eastAsia="zh-CN" w:bidi="ar-SA"/>
        </w:rPr>
        <w:t>建设期（三个月）不纳入</w:t>
      </w:r>
      <w:r>
        <w:rPr>
          <w:rFonts w:hint="eastAsia" w:ascii="宋体" w:hAnsi="宋体" w:cs="宋体"/>
          <w:color w:val="auto"/>
          <w:kern w:val="2"/>
          <w:sz w:val="24"/>
          <w:szCs w:val="24"/>
          <w:highlight w:val="none"/>
          <w:u w:val="none"/>
          <w:lang w:val="en-US" w:eastAsia="zh-CN" w:bidi="ar-SA"/>
        </w:rPr>
        <w:t>第一年的</w:t>
      </w:r>
      <w:r>
        <w:rPr>
          <w:rFonts w:hint="eastAsia" w:ascii="宋体" w:hAnsi="宋体" w:eastAsia="宋体" w:cs="宋体"/>
          <w:color w:val="auto"/>
          <w:kern w:val="2"/>
          <w:sz w:val="24"/>
          <w:szCs w:val="24"/>
          <w:highlight w:val="none"/>
          <w:u w:val="none"/>
          <w:lang w:val="en-US" w:eastAsia="zh-CN" w:bidi="ar-SA"/>
        </w:rPr>
        <w:t>年度计算时长，</w:t>
      </w:r>
      <w:r>
        <w:rPr>
          <w:rFonts w:hint="eastAsia" w:ascii="宋体" w:hAnsi="宋体" w:cs="宋体"/>
          <w:sz w:val="24"/>
          <w:highlight w:val="none"/>
          <w:lang w:val="en-US" w:eastAsia="zh-CN"/>
        </w:rPr>
        <w:t>即首期第一年保底金额为</w:t>
      </w:r>
      <w:r>
        <w:rPr>
          <w:rFonts w:hint="eastAsia" w:ascii="宋体" w:hAnsi="宋体" w:cs="宋体"/>
          <w:sz w:val="24"/>
          <w:highlight w:val="none"/>
          <w:u w:val="single"/>
          <w:lang w:val="en-US" w:eastAsia="zh-CN"/>
        </w:rPr>
        <w:t>￥418491.00元</w:t>
      </w:r>
      <w:r>
        <w:rPr>
          <w:rFonts w:hint="eastAsia" w:ascii="宋体" w:hAnsi="宋体" w:cs="宋体"/>
          <w:color w:val="auto"/>
          <w:kern w:val="2"/>
          <w:sz w:val="21"/>
          <w:szCs w:val="21"/>
          <w:highlight w:val="none"/>
          <w:u w:val="single"/>
          <w:lang w:val="en-US" w:eastAsia="zh-CN" w:bidi="ar-SA"/>
        </w:rPr>
        <w:t>】</w:t>
      </w:r>
      <w:r>
        <w:rPr>
          <w:rFonts w:hint="eastAsia" w:ascii="宋体" w:hAnsi="宋体" w:cs="宋体"/>
          <w:sz w:val="24"/>
          <w:highlight w:val="none"/>
          <w:lang w:val="en-US" w:eastAsia="zh-CN"/>
        </w:rPr>
        <w:t>，第二期年度保底金额为</w:t>
      </w:r>
      <w:r>
        <w:rPr>
          <w:rFonts w:hint="eastAsia" w:ascii="宋体" w:hAnsi="宋体" w:cs="宋体"/>
          <w:sz w:val="24"/>
          <w:highlight w:val="none"/>
          <w:u w:val="single"/>
          <w:lang w:val="en-US" w:eastAsia="zh-CN"/>
        </w:rPr>
        <w:t>￥574727.64</w:t>
      </w:r>
      <w:r>
        <w:rPr>
          <w:rFonts w:hint="eastAsia" w:ascii="宋体" w:hAnsi="宋体" w:eastAsia="宋体" w:cs="宋体"/>
          <w:color w:val="auto"/>
          <w:kern w:val="2"/>
          <w:sz w:val="21"/>
          <w:szCs w:val="21"/>
          <w:highlight w:val="none"/>
          <w:u w:val="single"/>
          <w:lang w:val="en-US" w:eastAsia="zh-CN" w:bidi="ar-SA"/>
        </w:rPr>
        <w:t>元</w:t>
      </w:r>
      <w:r>
        <w:rPr>
          <w:rFonts w:hint="eastAsia" w:ascii="宋体" w:hAnsi="宋体" w:eastAsia="宋体" w:cs="宋体"/>
          <w:color w:val="auto"/>
          <w:kern w:val="2"/>
          <w:sz w:val="21"/>
          <w:szCs w:val="21"/>
          <w:highlight w:val="none"/>
          <w:u w:val="none"/>
          <w:lang w:val="en-US" w:eastAsia="zh-CN" w:bidi="ar-SA"/>
        </w:rPr>
        <w:t>,</w:t>
      </w:r>
      <w:r>
        <w:rPr>
          <w:rFonts w:hint="eastAsia" w:ascii="宋体" w:hAnsi="宋体" w:cs="宋体"/>
          <w:sz w:val="24"/>
          <w:highlight w:val="none"/>
          <w:lang w:val="en-US" w:eastAsia="zh-CN"/>
        </w:rPr>
        <w:t>第三期年度保底金额为</w:t>
      </w:r>
      <w:r>
        <w:rPr>
          <w:rFonts w:hint="eastAsia" w:ascii="宋体" w:hAnsi="宋体" w:cs="宋体"/>
          <w:sz w:val="24"/>
          <w:highlight w:val="none"/>
          <w:u w:val="single"/>
          <w:lang w:val="en-US" w:eastAsia="zh-CN"/>
        </w:rPr>
        <w:t>￥591969.47</w:t>
      </w:r>
      <w:r>
        <w:rPr>
          <w:rFonts w:hint="eastAsia" w:ascii="宋体" w:hAnsi="宋体" w:eastAsia="宋体" w:cs="宋体"/>
          <w:color w:val="auto"/>
          <w:kern w:val="2"/>
          <w:sz w:val="21"/>
          <w:szCs w:val="21"/>
          <w:highlight w:val="none"/>
          <w:u w:val="single"/>
          <w:lang w:val="en-US" w:eastAsia="zh-CN" w:bidi="ar-SA"/>
        </w:rPr>
        <w:t>元</w:t>
      </w:r>
      <w:r>
        <w:rPr>
          <w:rFonts w:hint="eastAsia" w:ascii="宋体" w:hAnsi="宋体" w:eastAsia="宋体" w:cs="宋体"/>
          <w:color w:val="auto"/>
          <w:kern w:val="2"/>
          <w:sz w:val="21"/>
          <w:szCs w:val="21"/>
          <w:highlight w:val="none"/>
          <w:u w:val="none"/>
          <w:lang w:val="en-US" w:eastAsia="zh-CN" w:bidi="ar-SA"/>
        </w:rPr>
        <w:t>，</w:t>
      </w:r>
      <w:r>
        <w:rPr>
          <w:rFonts w:hint="eastAsia" w:ascii="宋体" w:hAnsi="宋体" w:cs="宋体"/>
          <w:sz w:val="24"/>
          <w:highlight w:val="none"/>
          <w:lang w:val="en-US" w:eastAsia="zh-CN"/>
        </w:rPr>
        <w:t>第四期年度保底金额为</w:t>
      </w:r>
      <w:r>
        <w:rPr>
          <w:rFonts w:hint="eastAsia" w:ascii="宋体" w:hAnsi="宋体" w:cs="宋体"/>
          <w:sz w:val="24"/>
          <w:highlight w:val="none"/>
          <w:u w:val="single"/>
          <w:lang w:val="en-US" w:eastAsia="zh-CN"/>
        </w:rPr>
        <w:t>￥609728.55</w:t>
      </w:r>
      <w:r>
        <w:rPr>
          <w:rFonts w:hint="eastAsia" w:ascii="宋体" w:hAnsi="宋体" w:eastAsia="宋体" w:cs="宋体"/>
          <w:color w:val="auto"/>
          <w:kern w:val="2"/>
          <w:sz w:val="21"/>
          <w:szCs w:val="21"/>
          <w:highlight w:val="none"/>
          <w:u w:val="single"/>
          <w:lang w:val="en-US" w:eastAsia="zh-CN" w:bidi="ar-SA"/>
        </w:rPr>
        <w:t>元</w:t>
      </w:r>
      <w:r>
        <w:rPr>
          <w:rFonts w:hint="eastAsia" w:ascii="宋体" w:hAnsi="宋体" w:eastAsia="宋体" w:cs="宋体"/>
          <w:color w:val="auto"/>
          <w:kern w:val="2"/>
          <w:sz w:val="21"/>
          <w:szCs w:val="21"/>
          <w:highlight w:val="none"/>
          <w:u w:val="none"/>
          <w:lang w:val="en-US" w:eastAsia="zh-CN" w:bidi="ar-SA"/>
        </w:rPr>
        <w:t>，</w:t>
      </w:r>
      <w:r>
        <w:rPr>
          <w:rFonts w:hint="eastAsia" w:ascii="宋体" w:hAnsi="宋体" w:cs="宋体"/>
          <w:sz w:val="24"/>
          <w:highlight w:val="none"/>
          <w:lang w:val="en-US" w:eastAsia="zh-CN"/>
        </w:rPr>
        <w:t>第五期年度保底金额为</w:t>
      </w:r>
      <w:r>
        <w:rPr>
          <w:rFonts w:hint="eastAsia" w:ascii="宋体" w:hAnsi="宋体" w:cs="宋体"/>
          <w:sz w:val="24"/>
          <w:highlight w:val="none"/>
          <w:u w:val="single"/>
          <w:lang w:val="en-US" w:eastAsia="zh-CN"/>
        </w:rPr>
        <w:t>￥628020.41</w:t>
      </w:r>
      <w:r>
        <w:rPr>
          <w:rFonts w:hint="eastAsia" w:ascii="宋体" w:hAnsi="宋体" w:eastAsia="宋体" w:cs="宋体"/>
          <w:color w:val="auto"/>
          <w:kern w:val="2"/>
          <w:sz w:val="21"/>
          <w:szCs w:val="21"/>
          <w:highlight w:val="none"/>
          <w:u w:val="single"/>
          <w:lang w:val="en-US" w:eastAsia="zh-CN" w:bidi="ar-SA"/>
        </w:rPr>
        <w:t>元</w:t>
      </w:r>
      <w:r>
        <w:rPr>
          <w:rFonts w:hint="eastAsia" w:ascii="宋体" w:hAnsi="宋体" w:eastAsia="宋体" w:cs="宋体"/>
          <w:color w:val="auto"/>
          <w:kern w:val="2"/>
          <w:sz w:val="21"/>
          <w:szCs w:val="21"/>
          <w:highlight w:val="none"/>
          <w:u w:val="none"/>
          <w:lang w:val="en-US" w:eastAsia="zh-CN" w:bidi="ar-SA"/>
        </w:rPr>
        <w:t>。</w:t>
      </w:r>
      <w:r>
        <w:rPr>
          <w:rFonts w:hint="eastAsia" w:ascii="宋体" w:hAnsi="宋体" w:eastAsia="宋体" w:cs="宋体"/>
          <w:b w:val="0"/>
          <w:bCs w:val="0"/>
          <w:sz w:val="24"/>
          <w:highlight w:val="none"/>
          <w:u w:val="none"/>
          <w:lang w:val="en-US" w:eastAsia="zh-CN"/>
        </w:rPr>
        <w:t>若十年</w:t>
      </w:r>
      <w:r>
        <w:rPr>
          <w:rFonts w:ascii="宋体" w:hAnsi="宋体" w:cs="宋体"/>
          <w:b w:val="0"/>
          <w:bCs w:val="0"/>
          <w:sz w:val="24"/>
          <w:highlight w:val="none"/>
          <w:u w:val="none"/>
        </w:rPr>
        <w:t>运营管理服务期</w:t>
      </w:r>
      <w:r>
        <w:rPr>
          <w:rFonts w:hint="eastAsia" w:ascii="宋体" w:hAnsi="宋体" w:cs="宋体"/>
          <w:b w:val="0"/>
          <w:bCs w:val="0"/>
          <w:sz w:val="24"/>
          <w:highlight w:val="none"/>
          <w:u w:val="none"/>
          <w:lang w:val="en-US" w:eastAsia="zh-CN"/>
        </w:rPr>
        <w:t>满，采购人</w:t>
      </w:r>
      <w:r>
        <w:rPr>
          <w:rFonts w:hint="eastAsia" w:ascii="宋体" w:hAnsi="宋体" w:cs="宋体"/>
          <w:b/>
          <w:bCs/>
          <w:sz w:val="24"/>
          <w:highlight w:val="none"/>
          <w:u w:val="none"/>
          <w:lang w:val="en-US" w:eastAsia="zh-CN"/>
        </w:rPr>
        <w:t>累计可享有保底收益总额为</w:t>
      </w:r>
      <w:r>
        <w:rPr>
          <w:rFonts w:hint="eastAsia" w:ascii="宋体" w:hAnsi="宋体" w:eastAsia="宋体" w:cs="宋体"/>
          <w:b/>
          <w:bCs/>
          <w:sz w:val="24"/>
          <w:highlight w:val="none"/>
          <w:u w:val="single"/>
          <w:lang w:val="en-US" w:eastAsia="zh-CN"/>
        </w:rPr>
        <w:t>￥</w:t>
      </w:r>
      <w:r>
        <w:rPr>
          <w:rFonts w:hint="eastAsia" w:ascii="宋体" w:hAnsi="宋体" w:cs="宋体"/>
          <w:b/>
          <w:bCs/>
          <w:sz w:val="24"/>
          <w:highlight w:val="none"/>
          <w:u w:val="single"/>
          <w:lang w:val="en-US" w:eastAsia="zh-CN"/>
        </w:rPr>
        <w:t>5785371.14元</w:t>
      </w:r>
      <w:r>
        <w:rPr>
          <w:rFonts w:hint="eastAsia" w:ascii="宋体" w:hAnsi="宋体" w:cs="宋体"/>
          <w:b w:val="0"/>
          <w:bCs w:val="0"/>
          <w:sz w:val="24"/>
          <w:highlight w:val="none"/>
          <w:u w:val="none"/>
          <w:lang w:val="en-US" w:eastAsia="zh-CN"/>
        </w:rPr>
        <w:t>。</w:t>
      </w:r>
    </w:p>
    <w:p>
      <w:pPr>
        <w:pStyle w:val="5"/>
        <w:spacing w:before="120" w:after="120" w:line="240" w:lineRule="auto"/>
        <w:rPr>
          <w:sz w:val="24"/>
          <w:szCs w:val="24"/>
          <w:highlight w:val="none"/>
        </w:rPr>
      </w:pPr>
      <w:r>
        <w:rPr>
          <w:sz w:val="24"/>
          <w:szCs w:val="24"/>
          <w:highlight w:val="none"/>
        </w:rPr>
        <w:t>（二）款项的支付</w:t>
      </w:r>
    </w:p>
    <w:p>
      <w:pPr>
        <w:spacing w:before="120" w:beforeLines="50" w:after="120" w:afterLines="50" w:line="400" w:lineRule="exact"/>
        <w:ind w:right="105" w:rightChars="50" w:firstLine="480" w:firstLineChars="200"/>
        <w:rPr>
          <w:rFonts w:ascii="宋体" w:hAnsi="宋体" w:cs="宋体"/>
          <w:sz w:val="24"/>
          <w:szCs w:val="24"/>
          <w:highlight w:val="none"/>
        </w:rPr>
      </w:pPr>
      <w:r>
        <w:rPr>
          <w:rFonts w:ascii="宋体" w:hAnsi="宋体" w:cs="宋体"/>
          <w:sz w:val="24"/>
          <w:highlight w:val="none"/>
        </w:rPr>
        <w:t>中标人按月</w:t>
      </w:r>
      <w:r>
        <w:rPr>
          <w:rFonts w:hint="eastAsia" w:ascii="宋体" w:hAnsi="宋体" w:cs="宋体"/>
          <w:sz w:val="24"/>
          <w:highlight w:val="none"/>
          <w:lang w:eastAsia="zh-CN"/>
        </w:rPr>
        <w:t>向</w:t>
      </w:r>
      <w:r>
        <w:rPr>
          <w:rFonts w:ascii="宋体" w:hAnsi="宋体" w:cs="宋体"/>
          <w:sz w:val="24"/>
          <w:highlight w:val="none"/>
        </w:rPr>
        <w:t>采购人</w:t>
      </w:r>
      <w:r>
        <w:rPr>
          <w:rFonts w:hint="eastAsia" w:ascii="宋体" w:hAnsi="宋体" w:cs="宋体"/>
          <w:sz w:val="24"/>
          <w:highlight w:val="none"/>
          <w:lang w:eastAsia="zh-CN"/>
        </w:rPr>
        <w:t>支付</w:t>
      </w:r>
      <w:r>
        <w:rPr>
          <w:rFonts w:ascii="宋体" w:hAnsi="宋体" w:cs="宋体"/>
          <w:sz w:val="24"/>
          <w:highlight w:val="none"/>
        </w:rPr>
        <w:t>充电站产生的收益分成（</w:t>
      </w:r>
      <w:r>
        <w:rPr>
          <w:rFonts w:ascii="宋体" w:hAnsi="宋体" w:cs="宋体"/>
          <w:sz w:val="24"/>
          <w:szCs w:val="24"/>
          <w:highlight w:val="none"/>
        </w:rPr>
        <w:t>充电站产生的收益分成=充电站产生的充电服务费×实际投标分成比例）。</w:t>
      </w:r>
    </w:p>
    <w:p>
      <w:pPr>
        <w:spacing w:before="120" w:beforeLines="50" w:after="120" w:afterLines="50" w:line="400" w:lineRule="exact"/>
        <w:ind w:right="105" w:rightChars="50" w:firstLine="480" w:firstLineChars="200"/>
        <w:rPr>
          <w:rFonts w:hint="eastAsia" w:ascii="宋体" w:hAnsi="宋体" w:eastAsia="宋体" w:cs="宋体"/>
          <w:sz w:val="24"/>
          <w:highlight w:val="none"/>
          <w:lang w:eastAsia="zh-CN"/>
        </w:rPr>
      </w:pPr>
      <w:r>
        <w:rPr>
          <w:rFonts w:ascii="宋体" w:hAnsi="宋体" w:cs="宋体"/>
          <w:sz w:val="24"/>
          <w:highlight w:val="none"/>
        </w:rPr>
        <w:t>运营管理服务期间，双方每月进行对账，中标人以月度为周期将</w:t>
      </w:r>
      <w:r>
        <w:rPr>
          <w:rFonts w:ascii="宋体" w:hAnsi="宋体" w:cs="宋体"/>
          <w:sz w:val="24"/>
          <w:szCs w:val="24"/>
          <w:highlight w:val="none"/>
        </w:rPr>
        <w:t>充电站产生的收益分成</w:t>
      </w:r>
      <w:r>
        <w:rPr>
          <w:rFonts w:ascii="宋体" w:hAnsi="宋体" w:cs="宋体"/>
          <w:sz w:val="24"/>
          <w:highlight w:val="none"/>
        </w:rPr>
        <w:t>支付给采购人；在缴费周期的次月2</w:t>
      </w:r>
      <w:r>
        <w:rPr>
          <w:rFonts w:hint="eastAsia" w:ascii="宋体" w:hAnsi="宋体" w:cs="宋体"/>
          <w:sz w:val="24"/>
          <w:highlight w:val="none"/>
          <w:lang w:val="en-US" w:eastAsia="zh-CN"/>
        </w:rPr>
        <w:t>5</w:t>
      </w:r>
      <w:r>
        <w:rPr>
          <w:rFonts w:ascii="宋体" w:hAnsi="宋体" w:cs="宋体"/>
          <w:sz w:val="24"/>
          <w:highlight w:val="none"/>
        </w:rPr>
        <w:t>日前，双方完成相关费用金额的核对、确认</w:t>
      </w:r>
      <w:r>
        <w:rPr>
          <w:rFonts w:hint="eastAsia" w:ascii="宋体" w:hAnsi="宋体" w:cs="宋体"/>
          <w:sz w:val="24"/>
          <w:highlight w:val="none"/>
          <w:lang w:eastAsia="zh-CN"/>
        </w:rPr>
        <w:t>；</w:t>
      </w:r>
      <w:r>
        <w:rPr>
          <w:rFonts w:ascii="宋体" w:hAnsi="宋体" w:cs="宋体"/>
          <w:sz w:val="24"/>
          <w:highlight w:val="none"/>
        </w:rPr>
        <w:t>双方确认无误后，中标人于</w:t>
      </w:r>
      <w:r>
        <w:rPr>
          <w:rFonts w:hint="eastAsia" w:ascii="宋体" w:hAnsi="宋体" w:cs="宋体"/>
          <w:sz w:val="24"/>
          <w:highlight w:val="none"/>
          <w:lang w:val="en-US" w:eastAsia="zh-CN"/>
        </w:rPr>
        <w:t>3</w:t>
      </w:r>
      <w:r>
        <w:rPr>
          <w:rFonts w:ascii="宋体" w:hAnsi="宋体" w:cs="宋体"/>
          <w:sz w:val="24"/>
          <w:highlight w:val="none"/>
        </w:rPr>
        <w:t>个工作日内</w:t>
      </w:r>
      <w:r>
        <w:rPr>
          <w:rFonts w:hint="eastAsia" w:ascii="宋体" w:hAnsi="宋体" w:cs="宋体"/>
          <w:sz w:val="24"/>
          <w:highlight w:val="none"/>
          <w:lang w:eastAsia="zh-CN"/>
        </w:rPr>
        <w:t>或</w:t>
      </w:r>
      <w:r>
        <w:rPr>
          <w:rFonts w:hint="eastAsia" w:ascii="宋体" w:hAnsi="宋体" w:cs="宋体"/>
          <w:sz w:val="24"/>
          <w:highlight w:val="none"/>
          <w:lang w:val="en-US" w:eastAsia="zh-CN"/>
        </w:rPr>
        <w:t>28日前（遇法定节假日顺延）</w:t>
      </w:r>
      <w:r>
        <w:rPr>
          <w:rFonts w:ascii="宋体" w:hAnsi="宋体" w:cs="宋体"/>
          <w:sz w:val="24"/>
          <w:highlight w:val="none"/>
        </w:rPr>
        <w:t>向采购人支付相应的费用，采购人收到相应款项后于7个工作日内提供发票给中标人。采购人对中标人的充电服务费总额核对工作中如发现漏报、少报等问题，中标人需补足差额部分</w:t>
      </w:r>
      <w:r>
        <w:rPr>
          <w:rFonts w:hint="eastAsia" w:ascii="宋体" w:hAnsi="宋体" w:cs="宋体"/>
          <w:sz w:val="24"/>
          <w:highlight w:val="none"/>
          <w:lang w:eastAsia="zh-CN"/>
        </w:rPr>
        <w:t>。</w:t>
      </w:r>
    </w:p>
    <w:p>
      <w:pPr>
        <w:pStyle w:val="5"/>
        <w:spacing w:before="120" w:after="120" w:line="240" w:lineRule="auto"/>
        <w:rPr>
          <w:sz w:val="24"/>
          <w:szCs w:val="24"/>
          <w:highlight w:val="none"/>
        </w:rPr>
      </w:pPr>
      <w:r>
        <w:rPr>
          <w:sz w:val="24"/>
          <w:szCs w:val="24"/>
          <w:highlight w:val="none"/>
        </w:rPr>
        <w:t>（三）运营管理服务期，运营管理服务的延续或重新招标</w:t>
      </w:r>
    </w:p>
    <w:p>
      <w:pPr>
        <w:spacing w:before="120" w:beforeLines="50" w:after="120" w:afterLines="50" w:line="400" w:lineRule="exact"/>
        <w:ind w:right="105" w:rightChars="50" w:firstLine="482" w:firstLineChars="200"/>
        <w:rPr>
          <w:rFonts w:ascii="宋体" w:hAnsi="宋体" w:cs="宋体"/>
          <w:b/>
          <w:bCs/>
          <w:sz w:val="24"/>
          <w:highlight w:val="none"/>
        </w:rPr>
      </w:pPr>
      <w:r>
        <w:rPr>
          <w:rFonts w:ascii="宋体" w:hAnsi="宋体" w:cs="宋体"/>
          <w:b/>
          <w:bCs/>
          <w:sz w:val="24"/>
          <w:highlight w:val="none"/>
        </w:rPr>
        <w:t>本项目运营管理服务期为</w:t>
      </w:r>
      <w:r>
        <w:rPr>
          <w:rFonts w:hint="eastAsia" w:ascii="宋体" w:hAnsi="宋体" w:cs="宋体"/>
          <w:b/>
          <w:bCs/>
          <w:sz w:val="24"/>
          <w:highlight w:val="none"/>
          <w:lang w:eastAsia="zh-CN"/>
        </w:rPr>
        <w:t>协议</w:t>
      </w:r>
      <w:r>
        <w:rPr>
          <w:rFonts w:ascii="宋体" w:hAnsi="宋体" w:cs="宋体"/>
          <w:b/>
          <w:bCs/>
          <w:sz w:val="24"/>
          <w:highlight w:val="none"/>
        </w:rPr>
        <w:t>签订生效之日起十年，中标人须每2年和采购人签订</w:t>
      </w:r>
      <w:r>
        <w:rPr>
          <w:rFonts w:hint="eastAsia" w:ascii="宋体" w:hAnsi="宋体" w:cs="宋体"/>
          <w:b/>
          <w:bCs/>
          <w:sz w:val="24"/>
          <w:highlight w:val="none"/>
          <w:lang w:eastAsia="zh-CN"/>
        </w:rPr>
        <w:t>服务协议</w:t>
      </w:r>
      <w:r>
        <w:rPr>
          <w:rFonts w:ascii="宋体" w:hAnsi="宋体" w:cs="宋体"/>
          <w:b/>
          <w:bCs/>
          <w:sz w:val="24"/>
          <w:highlight w:val="none"/>
        </w:rPr>
        <w:t>，一共五期。如中标人完成期内服务后，经服务质量考核，没有发生评分分值在75分（不含）以下的次数达到2次的情况，可续签下一期的</w:t>
      </w:r>
      <w:r>
        <w:rPr>
          <w:rFonts w:hint="eastAsia" w:ascii="宋体" w:hAnsi="宋体" w:cs="宋体"/>
          <w:b/>
          <w:bCs/>
          <w:sz w:val="24"/>
          <w:highlight w:val="none"/>
          <w:lang w:eastAsia="zh-CN"/>
        </w:rPr>
        <w:t>服务协议</w:t>
      </w:r>
      <w:r>
        <w:rPr>
          <w:rFonts w:ascii="宋体" w:hAnsi="宋体" w:cs="宋体"/>
          <w:b/>
          <w:bCs/>
          <w:sz w:val="24"/>
          <w:highlight w:val="none"/>
        </w:rPr>
        <w:t>；否则，采购人有权不再与中标人续签</w:t>
      </w:r>
      <w:r>
        <w:rPr>
          <w:rFonts w:hint="eastAsia" w:ascii="宋体" w:hAnsi="宋体" w:cs="宋体"/>
          <w:b/>
          <w:bCs/>
          <w:sz w:val="24"/>
          <w:highlight w:val="none"/>
          <w:lang w:eastAsia="zh-CN"/>
        </w:rPr>
        <w:t>协议</w:t>
      </w:r>
      <w:r>
        <w:rPr>
          <w:rFonts w:ascii="宋体" w:hAnsi="宋体" w:cs="宋体"/>
          <w:b/>
          <w:bCs/>
          <w:sz w:val="24"/>
          <w:highlight w:val="none"/>
        </w:rPr>
        <w:t>。</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运营管理期结束，采购人将对项目进行重新招标，中标人届时不得无故干预。如因特殊原因，运营管理服务终止后未有新的运营管理服务单位进行交接服务，采购人如有需要要求延长服务的，中标人必须无条件接受按原服务要求标准延长，相关过渡服务时间及费用由采购人与中标人协商并</w:t>
      </w:r>
      <w:r>
        <w:rPr>
          <w:rFonts w:hint="eastAsia" w:ascii="宋体" w:hAnsi="宋体" w:cs="宋体"/>
          <w:sz w:val="24"/>
          <w:highlight w:val="none"/>
          <w:lang w:val="en-US" w:eastAsia="zh-CN"/>
        </w:rPr>
        <w:t>重新</w:t>
      </w:r>
      <w:r>
        <w:rPr>
          <w:rFonts w:ascii="宋体" w:hAnsi="宋体" w:cs="宋体"/>
          <w:sz w:val="24"/>
          <w:highlight w:val="none"/>
        </w:rPr>
        <w:t>签署相关协议。</w:t>
      </w:r>
    </w:p>
    <w:p>
      <w:pPr>
        <w:pStyle w:val="5"/>
        <w:spacing w:before="120" w:after="120" w:line="240" w:lineRule="auto"/>
        <w:rPr>
          <w:sz w:val="24"/>
          <w:szCs w:val="24"/>
          <w:highlight w:val="none"/>
        </w:rPr>
      </w:pPr>
      <w:r>
        <w:rPr>
          <w:sz w:val="24"/>
          <w:szCs w:val="24"/>
          <w:highlight w:val="none"/>
        </w:rPr>
        <w:t>（四）运营管理服务的变更及终止</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1、中标人发生下列情况之一时，采购人发出整改通知限期改正，中标人超过指定期限仍无改善时，采购人有权解除本</w:t>
      </w:r>
      <w:r>
        <w:rPr>
          <w:rFonts w:hint="eastAsia" w:ascii="宋体" w:hAnsi="宋体" w:cs="宋体"/>
          <w:sz w:val="24"/>
          <w:highlight w:val="none"/>
          <w:lang w:eastAsia="zh-CN"/>
        </w:rPr>
        <w:t>协议</w:t>
      </w:r>
      <w:r>
        <w:rPr>
          <w:rFonts w:ascii="宋体" w:hAnsi="宋体" w:cs="宋体"/>
          <w:sz w:val="24"/>
          <w:highlight w:val="none"/>
        </w:rPr>
        <w:t>：</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（1）中标人在运营管理活动中出现严重安全隐患。</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（2）中标人不接受政府相关职能部门的检查、指导，不接受政府相关部门的应急指挥调动。</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（3）中标人不按采购人的相关管理规定对充电站进行管理和日常维护。</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（4）中标人未经</w:t>
      </w:r>
      <w:r>
        <w:rPr>
          <w:rFonts w:hint="eastAsia" w:ascii="宋体" w:hAnsi="宋体" w:cs="宋体"/>
          <w:sz w:val="24"/>
          <w:highlight w:val="none"/>
          <w:lang w:val="en-US" w:eastAsia="zh-CN"/>
        </w:rPr>
        <w:t>采购人</w:t>
      </w:r>
      <w:r>
        <w:rPr>
          <w:rFonts w:ascii="宋体" w:hAnsi="宋体" w:cs="宋体"/>
          <w:sz w:val="24"/>
          <w:highlight w:val="none"/>
        </w:rPr>
        <w:t>许可将本项目抵押、转让等。</w:t>
      </w:r>
    </w:p>
    <w:p>
      <w:pPr>
        <w:ind w:firstLine="480" w:firstLineChars="200"/>
        <w:rPr>
          <w:rFonts w:ascii="宋体" w:hAnsi="宋体" w:cs="宋体"/>
          <w:highlight w:val="none"/>
        </w:rPr>
      </w:pPr>
      <w:r>
        <w:rPr>
          <w:rFonts w:ascii="宋体" w:hAnsi="宋体" w:cs="宋体"/>
          <w:sz w:val="24"/>
          <w:highlight w:val="none"/>
        </w:rPr>
        <w:t>（5）中标人试运营期间所提供的服务未能满足采购人及招标文件的服务要求。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2</w:t>
      </w:r>
      <w:r>
        <w:rPr>
          <w:rFonts w:ascii="宋体" w:hAnsi="宋体" w:cs="宋体"/>
          <w:sz w:val="24"/>
          <w:highlight w:val="none"/>
        </w:rPr>
        <w:t>、中标人发生下列情形之一时，采购人可随时解除</w:t>
      </w:r>
      <w:r>
        <w:rPr>
          <w:rFonts w:hint="eastAsia" w:ascii="宋体" w:hAnsi="宋体" w:cs="宋体"/>
          <w:sz w:val="24"/>
          <w:highlight w:val="none"/>
          <w:lang w:eastAsia="zh-CN"/>
        </w:rPr>
        <w:t>协议</w:t>
      </w:r>
      <w:r>
        <w:rPr>
          <w:rFonts w:ascii="宋体" w:hAnsi="宋体" w:cs="宋体"/>
          <w:sz w:val="24"/>
          <w:highlight w:val="none"/>
        </w:rPr>
        <w:t>：</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（1）中标人在协议期内，运营中有违法、欺诈或犯罪性行为的。</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（2）破产或公司财产中主要部分被法院</w:t>
      </w:r>
      <w:r>
        <w:rPr>
          <w:rFonts w:hint="eastAsia" w:ascii="宋体" w:hAnsi="宋体" w:cs="宋体"/>
          <w:sz w:val="24"/>
          <w:highlight w:val="none"/>
          <w:lang w:val="en-US" w:eastAsia="zh-CN"/>
        </w:rPr>
        <w:t>查封、</w:t>
      </w:r>
      <w:r>
        <w:rPr>
          <w:rFonts w:ascii="宋体" w:hAnsi="宋体" w:cs="宋体"/>
          <w:sz w:val="24"/>
          <w:highlight w:val="none"/>
        </w:rPr>
        <w:t>强制执行</w:t>
      </w:r>
      <w:r>
        <w:rPr>
          <w:rFonts w:hint="eastAsia" w:ascii="宋体" w:hAnsi="宋体" w:cs="宋体"/>
          <w:sz w:val="24"/>
          <w:highlight w:val="none"/>
          <w:lang w:val="en-US" w:eastAsia="zh-CN"/>
        </w:rPr>
        <w:t>或受到</w:t>
      </w:r>
      <w:r>
        <w:rPr>
          <w:rFonts w:ascii="宋体" w:hAnsi="宋体" w:cs="宋体"/>
          <w:sz w:val="24"/>
          <w:highlight w:val="none"/>
        </w:rPr>
        <w:t>特别清产核资等处分。</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（3）中标人放弃服务经营权。</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（4）中标人有违反劳动法</w:t>
      </w:r>
      <w:r>
        <w:rPr>
          <w:rFonts w:hint="eastAsia" w:ascii="宋体" w:hAnsi="宋体" w:cs="宋体"/>
          <w:sz w:val="24"/>
          <w:highlight w:val="none"/>
          <w:lang w:val="en-US" w:eastAsia="zh-CN"/>
        </w:rPr>
        <w:t>情形</w:t>
      </w:r>
      <w:r>
        <w:rPr>
          <w:rFonts w:ascii="宋体" w:hAnsi="宋体" w:cs="宋体"/>
          <w:sz w:val="24"/>
          <w:highlight w:val="none"/>
        </w:rPr>
        <w:t>，损害劳动</w:t>
      </w:r>
      <w:r>
        <w:rPr>
          <w:rFonts w:hint="eastAsia" w:ascii="宋体" w:hAnsi="宋体" w:cs="宋体"/>
          <w:sz w:val="24"/>
          <w:highlight w:val="none"/>
          <w:lang w:val="en-US" w:eastAsia="zh-CN"/>
        </w:rPr>
        <w:t>者合法</w:t>
      </w:r>
      <w:r>
        <w:rPr>
          <w:rFonts w:ascii="宋体" w:hAnsi="宋体" w:cs="宋体"/>
          <w:sz w:val="24"/>
          <w:highlight w:val="none"/>
        </w:rPr>
        <w:t>权益，情节恶劣或中标人漠视工人权益造成怠工、罢工的；或有纵容、煽动员工怠工、罢工等过激行为的。</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（5）中标后出现分包、转包情况的。</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（6）服务质量考核评分分值在75分（不含）以下的次数达到2次的。</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、其他不可抗力致使本项目无法继续履行时，按国家法律、法规精神，协商处理。</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本项目运营管理期限结束或解除运营管理</w:t>
      </w:r>
      <w:r>
        <w:rPr>
          <w:rFonts w:hint="eastAsia" w:ascii="宋体" w:hAnsi="宋体" w:cs="宋体"/>
          <w:sz w:val="24"/>
          <w:highlight w:val="none"/>
          <w:lang w:eastAsia="zh-CN"/>
        </w:rPr>
        <w:t>协议</w:t>
      </w:r>
      <w:r>
        <w:rPr>
          <w:rFonts w:ascii="宋体" w:hAnsi="宋体" w:cs="宋体"/>
          <w:sz w:val="24"/>
          <w:highlight w:val="none"/>
        </w:rPr>
        <w:t>的，中标人必须将充电站管理的属于采购人所有的固定设施、设备及档案资料（包括充电站管理的所有文件、图纸及相关技术资料）等完好、无偿移交采购人。</w:t>
      </w:r>
    </w:p>
    <w:p>
      <w:pPr>
        <w:pStyle w:val="5"/>
        <w:spacing w:before="120" w:after="120" w:line="240" w:lineRule="auto"/>
        <w:rPr>
          <w:sz w:val="24"/>
          <w:szCs w:val="24"/>
          <w:highlight w:val="none"/>
        </w:rPr>
      </w:pPr>
      <w:r>
        <w:rPr>
          <w:sz w:val="24"/>
          <w:szCs w:val="24"/>
          <w:highlight w:val="none"/>
        </w:rPr>
        <w:t>（五）服务地点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采购人指定地点。</w:t>
      </w:r>
    </w:p>
    <w:p>
      <w:pPr>
        <w:pStyle w:val="5"/>
        <w:spacing w:before="120" w:after="120" w:line="240" w:lineRule="auto"/>
        <w:rPr>
          <w:sz w:val="24"/>
          <w:szCs w:val="24"/>
          <w:highlight w:val="none"/>
        </w:rPr>
      </w:pPr>
      <w:r>
        <w:rPr>
          <w:sz w:val="24"/>
          <w:szCs w:val="24"/>
          <w:highlight w:val="none"/>
        </w:rPr>
        <w:t>（六）履约保证金</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1、中标人必须在</w:t>
      </w:r>
      <w:r>
        <w:rPr>
          <w:rFonts w:hint="eastAsia" w:ascii="宋体" w:hAnsi="宋体" w:cs="宋体"/>
          <w:sz w:val="24"/>
          <w:highlight w:val="none"/>
          <w:lang w:eastAsia="zh-CN"/>
        </w:rPr>
        <w:t>协议</w:t>
      </w:r>
      <w:r>
        <w:rPr>
          <w:rFonts w:ascii="宋体" w:hAnsi="宋体" w:cs="宋体"/>
          <w:sz w:val="24"/>
          <w:highlight w:val="none"/>
        </w:rPr>
        <w:t>签订</w:t>
      </w:r>
      <w:r>
        <w:rPr>
          <w:rFonts w:hint="eastAsia" w:ascii="宋体" w:hAnsi="宋体" w:cs="宋体"/>
          <w:sz w:val="24"/>
          <w:highlight w:val="none"/>
          <w:lang w:eastAsia="zh-CN"/>
        </w:rPr>
        <w:t>之日，</w:t>
      </w:r>
      <w:r>
        <w:rPr>
          <w:rFonts w:ascii="宋体" w:hAnsi="宋体" w:cs="宋体"/>
          <w:sz w:val="24"/>
          <w:highlight w:val="none"/>
        </w:rPr>
        <w:t>向采购人</w:t>
      </w:r>
      <w:r>
        <w:rPr>
          <w:rFonts w:hint="eastAsia" w:ascii="宋体" w:hAnsi="宋体" w:cs="宋体"/>
          <w:sz w:val="24"/>
          <w:highlight w:val="none"/>
          <w:lang w:eastAsia="zh-CN"/>
        </w:rPr>
        <w:t>一次性交纳</w:t>
      </w:r>
      <w:r>
        <w:rPr>
          <w:rFonts w:hint="eastAsia" w:ascii="宋体" w:hAnsi="宋体" w:cs="宋体"/>
          <w:sz w:val="24"/>
          <w:highlight w:val="none"/>
          <w:u w:val="single"/>
        </w:rPr>
        <w:t>￥</w:t>
      </w:r>
      <w:r>
        <w:rPr>
          <w:rFonts w:hint="eastAsia" w:ascii="宋体" w:hAnsi="宋体" w:cs="宋体"/>
          <w:sz w:val="24"/>
          <w:highlight w:val="none"/>
          <w:u w:val="single"/>
          <w:lang w:val="en-US" w:eastAsia="zh-CN"/>
        </w:rPr>
        <w:t>139497.00</w:t>
      </w:r>
      <w:r>
        <w:rPr>
          <w:rFonts w:hint="eastAsia" w:ascii="宋体" w:hAnsi="宋体" w:cs="宋体"/>
          <w:sz w:val="24"/>
          <w:highlight w:val="none"/>
          <w:u w:val="single"/>
        </w:rPr>
        <w:t>元(大写：</w:t>
      </w:r>
      <w:r>
        <w:rPr>
          <w:rFonts w:hint="eastAsia" w:ascii="宋体" w:hAnsi="宋体" w:cs="宋体"/>
          <w:sz w:val="24"/>
          <w:highlight w:val="none"/>
          <w:u w:val="single"/>
          <w:lang w:eastAsia="zh-CN"/>
        </w:rPr>
        <w:t>壹拾叁万玖仟肆佰玖拾柒元整</w:t>
      </w:r>
      <w:r>
        <w:rPr>
          <w:rFonts w:hint="eastAsia" w:ascii="宋体" w:hAnsi="宋体" w:cs="宋体"/>
          <w:sz w:val="24"/>
          <w:highlight w:val="none"/>
          <w:u w:val="single"/>
        </w:rPr>
        <w:t>)</w:t>
      </w:r>
      <w:r>
        <w:rPr>
          <w:rFonts w:hint="eastAsia" w:ascii="宋体" w:hAnsi="宋体" w:cs="宋体"/>
          <w:sz w:val="24"/>
          <w:highlight w:val="none"/>
          <w:lang w:eastAsia="zh-CN"/>
        </w:rPr>
        <w:t>作为</w:t>
      </w:r>
      <w:r>
        <w:rPr>
          <w:rFonts w:ascii="宋体" w:hAnsi="宋体" w:cs="宋体"/>
          <w:sz w:val="24"/>
          <w:highlight w:val="none"/>
        </w:rPr>
        <w:t>履约保证金。</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2、履约保证金以银行转账形式提交。</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3、履约保证金的有效期自</w:t>
      </w:r>
      <w:r>
        <w:rPr>
          <w:rFonts w:hint="eastAsia" w:ascii="宋体" w:hAnsi="宋体" w:cs="宋体"/>
          <w:sz w:val="24"/>
          <w:highlight w:val="none"/>
          <w:lang w:eastAsia="zh-CN"/>
        </w:rPr>
        <w:t>协议</w:t>
      </w:r>
      <w:r>
        <w:rPr>
          <w:rFonts w:ascii="宋体" w:hAnsi="宋体" w:cs="宋体"/>
          <w:sz w:val="24"/>
          <w:highlight w:val="none"/>
        </w:rPr>
        <w:t>生效之日起至</w:t>
      </w:r>
      <w:r>
        <w:rPr>
          <w:rFonts w:hint="eastAsia" w:ascii="宋体" w:hAnsi="宋体" w:cs="宋体"/>
          <w:sz w:val="24"/>
          <w:highlight w:val="none"/>
          <w:lang w:eastAsia="zh-CN"/>
        </w:rPr>
        <w:t>协议</w:t>
      </w:r>
      <w:r>
        <w:rPr>
          <w:rFonts w:ascii="宋体" w:hAnsi="宋体" w:cs="宋体"/>
          <w:sz w:val="24"/>
          <w:highlight w:val="none"/>
        </w:rPr>
        <w:t>约定的中标人主要义务履行完毕止。</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4、中标人主要义务履行完毕</w:t>
      </w:r>
      <w:r>
        <w:rPr>
          <w:rFonts w:hint="eastAsia" w:ascii="宋体" w:hAnsi="宋体" w:cs="宋体"/>
          <w:sz w:val="24"/>
          <w:highlight w:val="none"/>
          <w:lang w:val="en-US" w:eastAsia="zh-CN"/>
        </w:rPr>
        <w:t>且无其他违约行为的</w:t>
      </w:r>
      <w:r>
        <w:rPr>
          <w:rFonts w:ascii="宋体" w:hAnsi="宋体" w:cs="宋体"/>
          <w:sz w:val="24"/>
          <w:highlight w:val="none"/>
        </w:rPr>
        <w:t>，采购人在履约保证金有效期满后30天内无息退还履约保证金。</w:t>
      </w:r>
    </w:p>
    <w:p>
      <w:pPr>
        <w:pStyle w:val="18"/>
        <w:adjustRightInd w:val="0"/>
        <w:snapToGrid w:val="0"/>
        <w:spacing w:before="120" w:beforeLines="50" w:after="120" w:afterLines="50" w:line="400" w:lineRule="exact"/>
        <w:ind w:left="-420" w:leftChars="-200" w:right="105" w:rightChars="50" w:firstLine="860" w:firstLineChars="306"/>
        <w:rPr>
          <w:rFonts w:hAnsi="宋体" w:cs="宋体"/>
          <w:b/>
          <w:sz w:val="28"/>
          <w:szCs w:val="28"/>
          <w:highlight w:val="none"/>
        </w:rPr>
      </w:pPr>
    </w:p>
    <w:p>
      <w:pPr>
        <w:pStyle w:val="4"/>
        <w:spacing w:before="0" w:after="0" w:line="360" w:lineRule="auto"/>
        <w:rPr>
          <w:rFonts w:ascii="宋体" w:hAnsi="宋体" w:eastAsia="宋体" w:cs="宋体"/>
          <w:sz w:val="28"/>
          <w:szCs w:val="28"/>
          <w:highlight w:val="none"/>
        </w:rPr>
      </w:pPr>
      <w:r>
        <w:rPr>
          <w:rFonts w:ascii="宋体" w:hAnsi="宋体" w:eastAsia="宋体" w:cs="宋体"/>
          <w:sz w:val="28"/>
          <w:szCs w:val="28"/>
          <w:highlight w:val="none"/>
        </w:rPr>
        <w:t>二、采购项目技术参数</w:t>
      </w:r>
    </w:p>
    <w:p>
      <w:pPr>
        <w:pStyle w:val="5"/>
        <w:spacing w:before="120" w:after="120" w:line="240" w:lineRule="auto"/>
        <w:rPr>
          <w:sz w:val="24"/>
          <w:szCs w:val="24"/>
          <w:highlight w:val="none"/>
        </w:rPr>
      </w:pPr>
      <w:r>
        <w:rPr>
          <w:sz w:val="24"/>
          <w:szCs w:val="24"/>
          <w:highlight w:val="none"/>
        </w:rPr>
        <w:t xml:space="preserve">（一）合规性要求 </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充电设施应当符合充电设备、接口、安全等国家标准或行业标准，无国家标准、行业标准或国家标准不明确的，应符合地方相关标准，包括但不限于以下标准：</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1.1.GB/T18487.1-2015 电动车辆传导充电系统一般要求；</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1.2.GB/T20234.1-2015 电动汽车传导充电用连接装置(第一部分 通用要求）；</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1.3.GB/T20234.2-2015 电动汽车传导充电用连接装置（第二部分 交流充电接口）；</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1.4.GB/T20234.3-2015 电动汽车传导充电用连接装置（第三部分 直流充电接口）；</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1.5.GB/T27930-2015 电动汽车非车载传导式充电机与电池管理系统之间的通信协议；</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1.6.GB/T29781-2013 电动汽车充电站通用要求；</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1.7.Q/CSG 11516.1-2010 电动汽车充电设施通用技术要求；</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1.8.Q/CSG 11516.2-2010 电动汽车充电站及充电桩设计规范；</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1.9.Q/CSG 11516.3-2016 电动汽车非车载充电机技术规范；</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1.10.Q/CSG 11516.4-2016 电动汽车交流充电桩技术规范；</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1.11.Q/CSG 11516.5-2010 电动汽车非车载充电机充电接口规范；</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1.12.Q/CSG 11516.6-2010 电动汽车非车载充电机监控单元与电池管理系统通信协议；</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1.13.Q/CSG 11516.7-2010 电动汽车充电站监控系统技术规范。</w:t>
      </w:r>
    </w:p>
    <w:p>
      <w:pPr>
        <w:pStyle w:val="5"/>
        <w:spacing w:before="120" w:after="120" w:line="240" w:lineRule="auto"/>
        <w:rPr>
          <w:sz w:val="24"/>
          <w:szCs w:val="24"/>
          <w:highlight w:val="none"/>
        </w:rPr>
      </w:pPr>
      <w:r>
        <w:rPr>
          <w:sz w:val="24"/>
          <w:szCs w:val="24"/>
          <w:highlight w:val="none"/>
        </w:rPr>
        <w:t xml:space="preserve">（二）总体需求 </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2.1.充电站建设概要</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2.1.1中标人在采购人提供的</w:t>
      </w:r>
      <w:r>
        <w:rPr>
          <w:rFonts w:hint="eastAsia" w:ascii="宋体" w:hAnsi="宋体" w:cs="宋体"/>
          <w:sz w:val="24"/>
          <w:highlight w:val="none"/>
          <w:lang w:eastAsia="zh-CN"/>
        </w:rPr>
        <w:t>两</w:t>
      </w:r>
      <w:r>
        <w:rPr>
          <w:rFonts w:ascii="宋体" w:hAnsi="宋体" w:cs="宋体"/>
          <w:sz w:val="24"/>
          <w:highlight w:val="none"/>
        </w:rPr>
        <w:t>处公交站场建设充电站</w:t>
      </w:r>
      <w:r>
        <w:rPr>
          <w:rFonts w:hint="eastAsia" w:ascii="宋体" w:hAnsi="宋体" w:cs="宋体"/>
          <w:sz w:val="24"/>
          <w:highlight w:val="none"/>
          <w:lang w:eastAsia="zh-CN"/>
        </w:rPr>
        <w:t>，充电设备工作时排放的噪声限值须符合《社会生活环境噪声排放标准》(GB-22337—2008)和声环境质量标准。</w:t>
      </w:r>
    </w:p>
    <w:p>
      <w:pPr>
        <w:ind w:firstLine="480" w:firstLineChars="200"/>
        <w:jc w:val="left"/>
        <w:rPr>
          <w:rFonts w:ascii="宋体" w:hAnsi="宋体" w:cs="宋体"/>
          <w:sz w:val="24"/>
          <w:highlight w:val="none"/>
        </w:rPr>
      </w:pPr>
      <w:r>
        <w:rPr>
          <w:rFonts w:ascii="宋体" w:hAnsi="宋体" w:cs="宋体"/>
          <w:sz w:val="24"/>
          <w:highlight w:val="none"/>
        </w:rPr>
        <w:t>2.1.2中标人自行出资完成充电站建设，包括建设充电站需要的电力变压器、充电桩等相关设备、工程施工、设备安装和调试等等；</w:t>
      </w:r>
      <w:r>
        <w:rPr>
          <w:rFonts w:hint="eastAsia" w:ascii="宋体" w:hAnsi="宋体" w:cs="宋体"/>
          <w:sz w:val="24"/>
          <w:highlight w:val="none"/>
          <w:lang w:eastAsia="zh-CN"/>
        </w:rPr>
        <w:t>中标人</w:t>
      </w:r>
      <w:r>
        <w:rPr>
          <w:rFonts w:hint="eastAsia" w:ascii="宋体" w:hAnsi="宋体" w:cs="宋体"/>
          <w:sz w:val="24"/>
          <w:highlight w:val="none"/>
          <w:lang w:val="en-US" w:eastAsia="zh-CN"/>
        </w:rPr>
        <w:t>须为充电站购买财产险和公众责任险，相关保险单送采购人备案，公众责任险保险的年累计赔偿限额不低于1000万，每次事故赔偿限额不低于600万，每次事故财产损失赔偿限额不低于200万，每次事故人身伤害赔偿限额不低于200万，每人每次人身伤害赔偿限额不低于100万。</w:t>
      </w:r>
    </w:p>
    <w:p>
      <w:pPr>
        <w:ind w:firstLine="480" w:firstLineChars="200"/>
        <w:rPr>
          <w:rFonts w:hint="eastAsia" w:ascii="宋体" w:hAnsi="宋体" w:cs="宋体"/>
          <w:sz w:val="24"/>
          <w:highlight w:val="none"/>
          <w:lang w:val="en-US" w:eastAsia="zh-CN"/>
        </w:rPr>
      </w:pPr>
      <w:r>
        <w:rPr>
          <w:rFonts w:ascii="宋体" w:hAnsi="宋体" w:cs="宋体"/>
          <w:sz w:val="24"/>
          <w:highlight w:val="none"/>
        </w:rPr>
        <w:t>2.1.3</w:t>
      </w:r>
      <w:r>
        <w:rPr>
          <w:rFonts w:hint="eastAsia" w:ascii="宋体" w:hAnsi="宋体" w:cs="宋体"/>
          <w:sz w:val="24"/>
          <w:highlight w:val="none"/>
          <w:lang w:val="en-US" w:eastAsia="zh-CN"/>
        </w:rPr>
        <w:t>中标人负责充电站的运营管理，按充电量收取充电费,充电费=充电服务费+电费,</w:t>
      </w:r>
      <w:r>
        <w:rPr>
          <w:rFonts w:hint="eastAsia" w:ascii="宋体" w:hAnsi="宋体" w:cs="宋体"/>
          <w:sz w:val="24"/>
          <w:highlight w:val="none"/>
          <w:lang w:eastAsia="zh-CN"/>
        </w:rPr>
        <w:t>公交车辆充电</w:t>
      </w:r>
      <w:r>
        <w:rPr>
          <w:rFonts w:hint="eastAsia" w:ascii="宋体" w:hAnsi="宋体" w:cs="宋体"/>
          <w:sz w:val="24"/>
          <w:highlight w:val="none"/>
        </w:rPr>
        <w:t>服务费按照采购人设定</w:t>
      </w:r>
      <w:r>
        <w:rPr>
          <w:rFonts w:hint="eastAsia" w:ascii="宋体" w:hAnsi="宋体" w:cs="宋体"/>
          <w:sz w:val="24"/>
          <w:highlight w:val="none"/>
          <w:lang w:eastAsia="zh-CN"/>
        </w:rPr>
        <w:t>的价格</w:t>
      </w:r>
      <w:r>
        <w:rPr>
          <w:rFonts w:hint="eastAsia" w:ascii="宋体" w:hAnsi="宋体" w:cs="宋体"/>
          <w:sz w:val="24"/>
          <w:highlight w:val="none"/>
        </w:rPr>
        <w:t>执行</w:t>
      </w:r>
      <w:r>
        <w:rPr>
          <w:rFonts w:hint="eastAsia" w:ascii="宋体" w:hAnsi="宋体" w:cs="宋体"/>
          <w:sz w:val="24"/>
          <w:highlight w:val="none"/>
          <w:lang w:eastAsia="zh-CN"/>
        </w:rPr>
        <w:t>，社会车辆充电服务费由中标人自行设定执行，</w:t>
      </w:r>
      <w:r>
        <w:rPr>
          <w:rFonts w:hint="eastAsia" w:ascii="宋体" w:hAnsi="宋体" w:cs="宋体"/>
          <w:sz w:val="24"/>
          <w:highlight w:val="none"/>
          <w:lang w:val="en-US" w:eastAsia="zh-CN"/>
        </w:rPr>
        <w:t>电费单价按国家规定的电价政策收取，充电量以充电桩读数为准，若上级对上述收费有新规定的，从其规定执行；按公共（益）性单位配套停车场收费标准收取停车费，有公交线路进站运营的，中标人需优先服务公交车辆，并委派足够的相关运营服务人员进驻充电站提供运营管理服务，按照行业主管部门规定收取管理费；为停车场提供配套服务的商业行为（包括但不仅限于清洗车辆、零售、汽车维修、汽车装饰用品的销售等）按照市场定价收取相应费用。如需开展其他经营业务，须经采购人审批同意后方可实施。</w:t>
      </w:r>
    </w:p>
    <w:p>
      <w:pPr>
        <w:spacing w:before="120" w:beforeLines="50" w:after="120" w:afterLines="50" w:line="400" w:lineRule="exact"/>
        <w:ind w:right="105" w:rightChars="50"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在协议生效之日起90日内须按政府有关部门要求办理营业相关证照。</w:t>
      </w:r>
    </w:p>
    <w:p>
      <w:pPr>
        <w:spacing w:before="120" w:beforeLines="50" w:after="120" w:afterLines="50" w:line="400" w:lineRule="exact"/>
        <w:ind w:right="105" w:rightChars="50" w:firstLine="482" w:firstLineChars="200"/>
        <w:rPr>
          <w:rFonts w:ascii="宋体" w:hAnsi="宋体" w:cs="宋体"/>
          <w:sz w:val="24"/>
          <w:highlight w:val="none"/>
        </w:rPr>
      </w:pPr>
      <w:r>
        <w:rPr>
          <w:rFonts w:ascii="宋体" w:hAnsi="宋体" w:cs="宋体"/>
          <w:b/>
          <w:bCs/>
          <w:sz w:val="24"/>
          <w:highlight w:val="none"/>
        </w:rPr>
        <w:t>2.1.4招标文件未提及但实际需要发生的其他一切费用需由中标人负责，投标人需自行考虑综合成本</w:t>
      </w:r>
      <w:r>
        <w:rPr>
          <w:rFonts w:ascii="宋体" w:hAnsi="宋体" w:cs="宋体"/>
          <w:sz w:val="24"/>
          <w:highlight w:val="none"/>
        </w:rPr>
        <w:t>。</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2.2.充电站建设内容</w:t>
      </w:r>
    </w:p>
    <w:p>
      <w:pPr>
        <w:spacing w:before="120" w:beforeLines="50" w:after="120" w:afterLines="50" w:line="400" w:lineRule="exact"/>
        <w:ind w:right="105" w:rightChars="50" w:firstLine="480" w:firstLineChars="200"/>
        <w:rPr>
          <w:rFonts w:hint="default" w:ascii="宋体" w:hAnsi="宋体" w:cs="宋体"/>
          <w:sz w:val="24"/>
          <w:highlight w:val="none"/>
        </w:rPr>
      </w:pPr>
      <w:r>
        <w:rPr>
          <w:rFonts w:ascii="宋体" w:hAnsi="宋体" w:cs="宋体"/>
          <w:sz w:val="24"/>
          <w:highlight w:val="none"/>
        </w:rPr>
        <w:t>2.2.1充电桩数量及功率等参数由中标人自行决定并编制充电站建设方案</w:t>
      </w:r>
      <w:r>
        <w:rPr>
          <w:rFonts w:hint="eastAsia" w:ascii="宋体" w:hAnsi="宋体" w:cs="宋体"/>
          <w:sz w:val="24"/>
          <w:highlight w:val="none"/>
          <w:lang w:eastAsia="zh-CN"/>
        </w:rPr>
        <w:t>，充电站需预留不少于</w:t>
      </w:r>
      <w:r>
        <w:rPr>
          <w:rFonts w:hint="eastAsia" w:ascii="宋体" w:hAnsi="宋体" w:cs="宋体"/>
          <w:sz w:val="24"/>
          <w:highlight w:val="none"/>
          <w:lang w:val="en-US" w:eastAsia="zh-CN"/>
        </w:rPr>
        <w:t>400</w:t>
      </w:r>
      <w:r>
        <w:rPr>
          <w:rFonts w:hint="eastAsia" w:ascii="宋体" w:hAnsi="宋体" w:eastAsia="宋体" w:cs="宋体"/>
          <w:sz w:val="24"/>
          <w:highlight w:val="none"/>
          <w:lang w:val="en-US" w:eastAsia="zh-CN"/>
        </w:rPr>
        <w:t>㎡</w:t>
      </w:r>
      <w:r>
        <w:rPr>
          <w:rFonts w:hint="eastAsia" w:ascii="宋体" w:hAnsi="宋体" w:cs="宋体"/>
          <w:sz w:val="24"/>
          <w:highlight w:val="none"/>
          <w:lang w:val="en-US" w:eastAsia="zh-CN"/>
        </w:rPr>
        <w:t>的场地用于公交运营</w:t>
      </w:r>
      <w:r>
        <w:rPr>
          <w:rFonts w:hint="eastAsia" w:ascii="宋体" w:hAnsi="宋体" w:cs="宋体"/>
          <w:sz w:val="24"/>
          <w:highlight w:val="none"/>
          <w:lang w:eastAsia="zh-CN"/>
        </w:rPr>
        <w:t>。为</w:t>
      </w:r>
      <w:r>
        <w:rPr>
          <w:rFonts w:hint="eastAsia" w:ascii="宋体" w:hAnsi="宋体" w:cs="宋体"/>
          <w:sz w:val="24"/>
          <w:highlight w:val="none"/>
        </w:rPr>
        <w:t>满足后续车辆更新及扩容的需求</w:t>
      </w:r>
      <w:r>
        <w:rPr>
          <w:rFonts w:hint="eastAsia" w:ascii="宋体" w:hAnsi="宋体" w:cs="宋体"/>
          <w:sz w:val="24"/>
          <w:highlight w:val="none"/>
          <w:lang w:eastAsia="zh-CN"/>
        </w:rPr>
        <w:t>，可</w:t>
      </w:r>
      <w:r>
        <w:rPr>
          <w:rFonts w:hint="eastAsia" w:ascii="宋体" w:hAnsi="宋体" w:cs="宋体"/>
          <w:sz w:val="24"/>
          <w:highlight w:val="none"/>
        </w:rPr>
        <w:t>采用“适度超前，能建尽建”的方式确定具体的建桩数量，</w:t>
      </w:r>
      <w:r>
        <w:rPr>
          <w:rFonts w:hint="eastAsia" w:ascii="宋体" w:hAnsi="宋体" w:cs="宋体"/>
          <w:sz w:val="24"/>
          <w:highlight w:val="none"/>
          <w:lang w:eastAsia="zh-CN"/>
        </w:rPr>
        <w:t>中标人主要</w:t>
      </w:r>
      <w:r>
        <w:rPr>
          <w:rFonts w:ascii="宋体" w:hAnsi="宋体" w:cs="宋体"/>
          <w:sz w:val="24"/>
          <w:highlight w:val="none"/>
        </w:rPr>
        <w:t>采用分体式</w:t>
      </w:r>
      <w:r>
        <w:rPr>
          <w:rFonts w:hint="eastAsia" w:ascii="宋体" w:hAnsi="宋体" w:cs="宋体"/>
          <w:sz w:val="24"/>
          <w:highlight w:val="none"/>
          <w:lang w:eastAsia="zh-CN"/>
        </w:rPr>
        <w:t>直流</w:t>
      </w:r>
      <w:r>
        <w:rPr>
          <w:rFonts w:ascii="宋体" w:hAnsi="宋体" w:cs="宋体"/>
          <w:sz w:val="24"/>
          <w:highlight w:val="none"/>
        </w:rPr>
        <w:t>充电桩</w:t>
      </w:r>
      <w:r>
        <w:rPr>
          <w:rFonts w:hint="eastAsia" w:ascii="宋体" w:hAnsi="宋体" w:cs="宋体"/>
          <w:sz w:val="24"/>
          <w:highlight w:val="none"/>
          <w:lang w:eastAsia="zh-CN"/>
        </w:rPr>
        <w:t>建设充电站</w:t>
      </w:r>
      <w:r>
        <w:rPr>
          <w:rFonts w:ascii="宋体" w:hAnsi="宋体" w:cs="宋体"/>
          <w:sz w:val="24"/>
          <w:highlight w:val="none"/>
        </w:rPr>
        <w:t>，</w:t>
      </w:r>
      <w:r>
        <w:rPr>
          <w:rFonts w:hint="eastAsia" w:ascii="宋体" w:hAnsi="宋体" w:cs="宋体"/>
          <w:sz w:val="24"/>
          <w:highlight w:val="none"/>
          <w:lang w:eastAsia="zh-CN"/>
        </w:rPr>
        <w:t>且充电站</w:t>
      </w:r>
      <w:r>
        <w:rPr>
          <w:rFonts w:ascii="宋体" w:hAnsi="宋体" w:cs="宋体"/>
          <w:sz w:val="24"/>
          <w:highlight w:val="none"/>
        </w:rPr>
        <w:t>的总装机功率不得低于下表</w:t>
      </w:r>
      <w:r>
        <w:rPr>
          <w:rFonts w:hint="eastAsia" w:ascii="宋体" w:hAnsi="宋体" w:cs="宋体"/>
          <w:sz w:val="24"/>
          <w:highlight w:val="none"/>
          <w:lang w:eastAsia="zh-CN"/>
        </w:rPr>
        <w:t>，单枪最低功率不低于</w:t>
      </w:r>
      <w:r>
        <w:rPr>
          <w:rFonts w:hint="eastAsia" w:ascii="宋体" w:hAnsi="宋体" w:cs="宋体"/>
          <w:sz w:val="24"/>
          <w:highlight w:val="none"/>
          <w:lang w:val="en-US" w:eastAsia="zh-CN"/>
        </w:rPr>
        <w:t>60KW</w:t>
      </w:r>
      <w:r>
        <w:rPr>
          <w:rFonts w:ascii="宋体" w:hAnsi="宋体" w:cs="宋体"/>
          <w:sz w:val="24"/>
          <w:highlight w:val="none"/>
        </w:rPr>
        <w:t>：</w:t>
      </w:r>
    </w:p>
    <w:tbl>
      <w:tblPr>
        <w:tblStyle w:val="35"/>
        <w:tblW w:w="8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268"/>
        <w:gridCol w:w="2693"/>
        <w:gridCol w:w="1661"/>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Align w:val="center"/>
          </w:tcPr>
          <w:p>
            <w:pPr>
              <w:jc w:val="center"/>
              <w:rPr>
                <w:rFonts w:ascii="宋体" w:hAnsi="宋体"/>
                <w:sz w:val="24"/>
                <w:szCs w:val="24"/>
                <w:highlight w:val="none"/>
              </w:rPr>
            </w:pPr>
            <w:r>
              <w:rPr>
                <w:rFonts w:ascii="宋体" w:hAnsi="宋体"/>
                <w:sz w:val="24"/>
                <w:szCs w:val="24"/>
                <w:highlight w:val="none"/>
              </w:rPr>
              <w:t>序号</w:t>
            </w:r>
          </w:p>
        </w:tc>
        <w:tc>
          <w:tcPr>
            <w:tcW w:w="2268" w:type="dxa"/>
            <w:vAlign w:val="center"/>
          </w:tcPr>
          <w:p>
            <w:pPr>
              <w:jc w:val="center"/>
              <w:rPr>
                <w:rFonts w:ascii="宋体" w:hAnsi="宋体"/>
                <w:sz w:val="24"/>
                <w:szCs w:val="24"/>
                <w:highlight w:val="none"/>
              </w:rPr>
            </w:pPr>
            <w:r>
              <w:rPr>
                <w:rFonts w:ascii="宋体" w:hAnsi="宋体"/>
                <w:sz w:val="24"/>
                <w:szCs w:val="24"/>
                <w:highlight w:val="none"/>
              </w:rPr>
              <w:t>站场名称</w:t>
            </w:r>
          </w:p>
        </w:tc>
        <w:tc>
          <w:tcPr>
            <w:tcW w:w="2693" w:type="dxa"/>
            <w:vAlign w:val="center"/>
          </w:tcPr>
          <w:p>
            <w:pPr>
              <w:jc w:val="center"/>
              <w:rPr>
                <w:rFonts w:ascii="宋体" w:hAnsi="宋体"/>
                <w:sz w:val="24"/>
                <w:szCs w:val="24"/>
                <w:highlight w:val="none"/>
              </w:rPr>
            </w:pPr>
            <w:r>
              <w:rPr>
                <w:rFonts w:ascii="宋体" w:hAnsi="宋体"/>
                <w:sz w:val="24"/>
                <w:szCs w:val="24"/>
                <w:highlight w:val="none"/>
              </w:rPr>
              <w:t>站场地址</w:t>
            </w:r>
          </w:p>
        </w:tc>
        <w:tc>
          <w:tcPr>
            <w:tcW w:w="1661" w:type="dxa"/>
            <w:vAlign w:val="center"/>
          </w:tcPr>
          <w:p>
            <w:pPr>
              <w:jc w:val="center"/>
              <w:rPr>
                <w:rFonts w:ascii="宋体" w:hAnsi="宋体"/>
                <w:sz w:val="24"/>
                <w:szCs w:val="24"/>
                <w:highlight w:val="none"/>
              </w:rPr>
            </w:pPr>
            <w:r>
              <w:rPr>
                <w:rFonts w:ascii="宋体" w:hAnsi="宋体"/>
                <w:sz w:val="24"/>
                <w:szCs w:val="24"/>
                <w:highlight w:val="none"/>
              </w:rPr>
              <w:t>站场面积（㎡）</w:t>
            </w:r>
          </w:p>
        </w:tc>
        <w:tc>
          <w:tcPr>
            <w:tcW w:w="1490" w:type="dxa"/>
            <w:vAlign w:val="center"/>
          </w:tcPr>
          <w:p>
            <w:pPr>
              <w:jc w:val="center"/>
              <w:rPr>
                <w:rFonts w:ascii="宋体" w:hAnsi="宋体"/>
                <w:sz w:val="24"/>
                <w:szCs w:val="24"/>
                <w:highlight w:val="none"/>
              </w:rPr>
            </w:pPr>
            <w:r>
              <w:rPr>
                <w:rFonts w:ascii="宋体" w:hAnsi="宋体"/>
                <w:sz w:val="24"/>
                <w:szCs w:val="24"/>
                <w:highlight w:val="none"/>
              </w:rPr>
              <w:t>装机功率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Align w:val="center"/>
          </w:tcPr>
          <w:p>
            <w:pPr>
              <w:jc w:val="center"/>
              <w:rPr>
                <w:rFonts w:hint="default" w:ascii="宋体" w:hAnsi="宋体"/>
                <w:sz w:val="24"/>
                <w:szCs w:val="24"/>
                <w:highlight w:val="none"/>
              </w:rPr>
            </w:pPr>
            <w:r>
              <w:rPr>
                <w:rFonts w:ascii="宋体" w:hAnsi="宋体"/>
                <w:sz w:val="24"/>
                <w:szCs w:val="24"/>
                <w:highlight w:val="none"/>
              </w:rPr>
              <w:t>1</w:t>
            </w:r>
          </w:p>
        </w:tc>
        <w:tc>
          <w:tcPr>
            <w:tcW w:w="2268" w:type="dxa"/>
            <w:vAlign w:val="center"/>
          </w:tcPr>
          <w:p>
            <w:pPr>
              <w:jc w:val="center"/>
              <w:rPr>
                <w:rFonts w:ascii="宋体" w:hAnsi="宋体"/>
                <w:sz w:val="24"/>
                <w:szCs w:val="24"/>
                <w:highlight w:val="none"/>
              </w:rPr>
            </w:pPr>
            <w:r>
              <w:rPr>
                <w:rFonts w:ascii="宋体" w:hAnsi="宋体"/>
                <w:sz w:val="24"/>
                <w:szCs w:val="24"/>
                <w:highlight w:val="none"/>
              </w:rPr>
              <w:t>景裕豪园</w:t>
            </w:r>
          </w:p>
        </w:tc>
        <w:tc>
          <w:tcPr>
            <w:tcW w:w="2693" w:type="dxa"/>
            <w:vAlign w:val="center"/>
          </w:tcPr>
          <w:p>
            <w:pPr>
              <w:jc w:val="center"/>
              <w:rPr>
                <w:rFonts w:ascii="宋体" w:hAnsi="宋体"/>
                <w:sz w:val="24"/>
                <w:szCs w:val="24"/>
                <w:highlight w:val="none"/>
              </w:rPr>
            </w:pPr>
            <w:r>
              <w:rPr>
                <w:rFonts w:ascii="宋体" w:hAnsi="宋体"/>
                <w:sz w:val="24"/>
                <w:szCs w:val="24"/>
                <w:highlight w:val="none"/>
              </w:rPr>
              <w:t>桂城街道南一路76号</w:t>
            </w:r>
          </w:p>
        </w:tc>
        <w:tc>
          <w:tcPr>
            <w:tcW w:w="1661" w:type="dxa"/>
            <w:vAlign w:val="center"/>
          </w:tcPr>
          <w:p>
            <w:pPr>
              <w:jc w:val="center"/>
              <w:rPr>
                <w:rFonts w:ascii="宋体" w:hAnsi="宋体"/>
                <w:sz w:val="24"/>
                <w:szCs w:val="24"/>
                <w:highlight w:val="none"/>
              </w:rPr>
            </w:pPr>
            <w:r>
              <w:rPr>
                <w:rFonts w:ascii="宋体" w:hAnsi="宋体"/>
                <w:sz w:val="24"/>
                <w:szCs w:val="24"/>
                <w:highlight w:val="none"/>
              </w:rPr>
              <w:t>2320.18</w:t>
            </w:r>
          </w:p>
        </w:tc>
        <w:tc>
          <w:tcPr>
            <w:tcW w:w="1490" w:type="dxa"/>
            <w:vAlign w:val="center"/>
          </w:tcPr>
          <w:p>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2000KW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Align w:val="center"/>
          </w:tcPr>
          <w:p>
            <w:pPr>
              <w:jc w:val="center"/>
              <w:rPr>
                <w:rFonts w:hint="default" w:ascii="宋体" w:hAnsi="宋体"/>
                <w:sz w:val="24"/>
                <w:szCs w:val="24"/>
                <w:highlight w:val="none"/>
              </w:rPr>
            </w:pPr>
            <w:r>
              <w:rPr>
                <w:rFonts w:ascii="宋体" w:hAnsi="宋体"/>
                <w:sz w:val="24"/>
                <w:szCs w:val="24"/>
                <w:highlight w:val="none"/>
              </w:rPr>
              <w:t>2</w:t>
            </w:r>
          </w:p>
        </w:tc>
        <w:tc>
          <w:tcPr>
            <w:tcW w:w="2268" w:type="dxa"/>
            <w:vAlign w:val="center"/>
          </w:tcPr>
          <w:p>
            <w:pPr>
              <w:jc w:val="center"/>
              <w:rPr>
                <w:rFonts w:hint="eastAsia" w:ascii="宋体" w:hAnsi="宋体" w:eastAsia="宋体"/>
                <w:sz w:val="24"/>
                <w:szCs w:val="24"/>
                <w:highlight w:val="none"/>
                <w:lang w:eastAsia="zh-CN"/>
              </w:rPr>
            </w:pPr>
            <w:r>
              <w:rPr>
                <w:rFonts w:hint="eastAsia" w:ascii="宋体" w:hAnsi="宋体"/>
                <w:sz w:val="24"/>
                <w:szCs w:val="24"/>
                <w:highlight w:val="none"/>
                <w:lang w:eastAsia="zh-CN"/>
              </w:rPr>
              <w:t>宇佳水岸新都花园</w:t>
            </w:r>
          </w:p>
        </w:tc>
        <w:tc>
          <w:tcPr>
            <w:tcW w:w="2693" w:type="dxa"/>
            <w:vAlign w:val="center"/>
          </w:tcPr>
          <w:p>
            <w:pPr>
              <w:jc w:val="center"/>
              <w:rPr>
                <w:rFonts w:ascii="宋体" w:hAnsi="宋体"/>
                <w:sz w:val="24"/>
                <w:szCs w:val="24"/>
                <w:highlight w:val="none"/>
              </w:rPr>
            </w:pPr>
            <w:r>
              <w:rPr>
                <w:rFonts w:ascii="宋体" w:hAnsi="宋体"/>
                <w:sz w:val="24"/>
                <w:szCs w:val="24"/>
                <w:highlight w:val="none"/>
              </w:rPr>
              <w:t>桂城街道金科路2号</w:t>
            </w:r>
          </w:p>
        </w:tc>
        <w:tc>
          <w:tcPr>
            <w:tcW w:w="1661" w:type="dxa"/>
            <w:vAlign w:val="center"/>
          </w:tcPr>
          <w:p>
            <w:pPr>
              <w:jc w:val="center"/>
              <w:rPr>
                <w:rFonts w:ascii="宋体" w:hAnsi="宋体"/>
                <w:sz w:val="24"/>
                <w:szCs w:val="24"/>
                <w:highlight w:val="none"/>
              </w:rPr>
            </w:pPr>
            <w:r>
              <w:rPr>
                <w:rFonts w:ascii="宋体" w:hAnsi="宋体"/>
                <w:sz w:val="24"/>
                <w:szCs w:val="24"/>
                <w:highlight w:val="none"/>
              </w:rPr>
              <w:t>2008.39</w:t>
            </w:r>
          </w:p>
        </w:tc>
        <w:tc>
          <w:tcPr>
            <w:tcW w:w="1490" w:type="dxa"/>
            <w:vAlign w:val="center"/>
          </w:tcPr>
          <w:p>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1200KW</w:t>
            </w:r>
          </w:p>
        </w:tc>
      </w:tr>
    </w:tbl>
    <w:p>
      <w:pPr>
        <w:spacing w:before="120" w:beforeLines="50" w:after="120" w:afterLines="50" w:line="400" w:lineRule="exact"/>
        <w:ind w:right="105" w:rightChars="50" w:firstLine="480" w:firstLineChars="200"/>
        <w:rPr>
          <w:highlight w:val="none"/>
        </w:rPr>
      </w:pPr>
      <w:r>
        <w:rPr>
          <w:rFonts w:hint="eastAsia" w:ascii="宋体" w:hAnsi="宋体" w:cs="宋体"/>
          <w:sz w:val="24"/>
          <w:highlight w:val="none"/>
          <w:lang w:val="en-US" w:eastAsia="zh-CN"/>
        </w:rPr>
        <w:t>2.2.2</w:t>
      </w:r>
      <w:r>
        <w:rPr>
          <w:rFonts w:ascii="宋体" w:hAnsi="宋体" w:cs="宋体"/>
          <w:sz w:val="24"/>
          <w:highlight w:val="none"/>
        </w:rPr>
        <w:t>采购人须协助中标人开展充电站建设方案制定、电力报装以及施工建设等相关工作。</w:t>
      </w:r>
    </w:p>
    <w:bookmarkEnd w:id="30"/>
    <w:p>
      <w:pPr>
        <w:spacing w:before="120" w:beforeLines="50" w:after="120" w:afterLines="50" w:line="400" w:lineRule="exact"/>
        <w:ind w:right="105" w:rightChars="50"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.3.收益分成结算</w:t>
      </w:r>
    </w:p>
    <w:p>
      <w:pPr>
        <w:spacing w:before="120" w:beforeLines="50" w:after="120" w:afterLines="50" w:line="400" w:lineRule="exact"/>
        <w:ind w:right="105" w:rightChars="50" w:firstLine="480" w:firstLineChars="200"/>
        <w:rPr>
          <w:rFonts w:hint="default" w:ascii="宋体" w:hAnsi="宋体" w:cs="宋体"/>
          <w:sz w:val="24"/>
          <w:highlight w:val="none"/>
          <w:lang w:val="en-US" w:eastAsia="zh-CN"/>
        </w:rPr>
      </w:pPr>
      <w:r>
        <w:rPr>
          <w:rFonts w:hint="eastAsia" w:ascii="宋体" w:hAnsi="宋体" w:cs="宋体"/>
          <w:sz w:val="24"/>
          <w:highlight w:val="none"/>
        </w:rPr>
        <w:t>充电站产生的收益分成=充电站产生的充电服务费×实际投标分成比例，由</w:t>
      </w:r>
      <w:r>
        <w:rPr>
          <w:rFonts w:hint="eastAsia" w:ascii="宋体" w:hAnsi="宋体" w:cs="宋体"/>
          <w:sz w:val="24"/>
          <w:highlight w:val="none"/>
          <w:lang w:eastAsia="zh-CN"/>
        </w:rPr>
        <w:t>中标人</w:t>
      </w:r>
      <w:r>
        <w:rPr>
          <w:rFonts w:hint="eastAsia" w:ascii="宋体" w:hAnsi="宋体" w:cs="宋体"/>
          <w:sz w:val="24"/>
          <w:highlight w:val="none"/>
        </w:rPr>
        <w:t>支付给</w:t>
      </w:r>
      <w:r>
        <w:rPr>
          <w:rFonts w:hint="eastAsia" w:ascii="宋体" w:hAnsi="宋体" w:cs="宋体"/>
          <w:sz w:val="24"/>
          <w:highlight w:val="none"/>
          <w:lang w:eastAsia="zh-CN"/>
        </w:rPr>
        <w:t>采购人。</w:t>
      </w:r>
    </w:p>
    <w:p>
      <w:pPr>
        <w:spacing w:before="120" w:beforeLines="50" w:after="120" w:afterLines="50" w:line="400" w:lineRule="exact"/>
        <w:ind w:right="105" w:rightChars="50"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.4.运营收费定价方式</w:t>
      </w:r>
    </w:p>
    <w:p>
      <w:pPr>
        <w:spacing w:before="120" w:beforeLines="50" w:after="120" w:afterLines="50" w:line="400" w:lineRule="exact"/>
        <w:ind w:right="105" w:rightChars="50" w:firstLine="480" w:firstLineChars="200"/>
        <w:rPr>
          <w:rFonts w:hint="eastAsia" w:ascii="宋体" w:hAnsi="宋体" w:cs="宋体"/>
          <w:sz w:val="24"/>
          <w:highlight w:val="none"/>
        </w:rPr>
      </w:pPr>
      <w:r>
        <w:rPr>
          <w:rFonts w:hint="eastAsia" w:ascii="宋体" w:hAnsi="宋体" w:cs="宋体"/>
          <w:sz w:val="24"/>
          <w:highlight w:val="none"/>
          <w:lang w:val="en-US" w:eastAsia="zh-CN"/>
        </w:rPr>
        <w:t>2.4.1</w:t>
      </w:r>
      <w:r>
        <w:rPr>
          <w:rFonts w:hint="eastAsia" w:ascii="宋体" w:hAnsi="宋体" w:cs="宋体"/>
          <w:sz w:val="24"/>
          <w:highlight w:val="none"/>
        </w:rPr>
        <w:t>充电费=</w:t>
      </w:r>
      <w:r>
        <w:rPr>
          <w:rFonts w:hint="eastAsia" w:ascii="宋体" w:hAnsi="宋体" w:cs="宋体"/>
          <w:sz w:val="24"/>
          <w:highlight w:val="none"/>
          <w:lang w:eastAsia="zh-CN"/>
        </w:rPr>
        <w:t>充电服务费+电费</w:t>
      </w:r>
      <w:r>
        <w:rPr>
          <w:rFonts w:hint="eastAsia" w:ascii="宋体" w:hAnsi="宋体" w:cs="宋体"/>
          <w:sz w:val="24"/>
          <w:highlight w:val="none"/>
        </w:rPr>
        <w:t>。</w:t>
      </w:r>
      <w:r>
        <w:rPr>
          <w:rFonts w:hint="eastAsia" w:ascii="宋体" w:hAnsi="宋体" w:cs="宋体"/>
          <w:sz w:val="24"/>
          <w:highlight w:val="none"/>
          <w:lang w:eastAsia="zh-CN"/>
        </w:rPr>
        <w:t>公交车辆充电</w:t>
      </w:r>
      <w:r>
        <w:rPr>
          <w:rFonts w:hint="eastAsia" w:ascii="宋体" w:hAnsi="宋体" w:cs="宋体"/>
          <w:sz w:val="24"/>
          <w:highlight w:val="none"/>
        </w:rPr>
        <w:t>服务费按照采购人设定</w:t>
      </w:r>
      <w:r>
        <w:rPr>
          <w:rFonts w:hint="eastAsia" w:ascii="宋体" w:hAnsi="宋体" w:cs="宋体"/>
          <w:sz w:val="24"/>
          <w:highlight w:val="none"/>
          <w:lang w:eastAsia="zh-CN"/>
        </w:rPr>
        <w:t>的价格</w:t>
      </w:r>
      <w:r>
        <w:rPr>
          <w:rFonts w:hint="eastAsia" w:ascii="宋体" w:hAnsi="宋体" w:cs="宋体"/>
          <w:sz w:val="24"/>
          <w:highlight w:val="none"/>
        </w:rPr>
        <w:t>执行</w:t>
      </w:r>
      <w:r>
        <w:rPr>
          <w:rFonts w:hint="eastAsia" w:ascii="宋体" w:hAnsi="宋体" w:cs="宋体"/>
          <w:sz w:val="24"/>
          <w:highlight w:val="none"/>
          <w:lang w:eastAsia="zh-CN"/>
        </w:rPr>
        <w:t>，社会车辆充电服务费由中标人自行设定执行</w:t>
      </w:r>
      <w:r>
        <w:rPr>
          <w:rFonts w:hint="eastAsia" w:ascii="宋体" w:hAnsi="宋体" w:cs="宋体"/>
          <w:sz w:val="24"/>
          <w:highlight w:val="none"/>
        </w:rPr>
        <w:t>；电费按国家规定的电价政策收取；若政府价格主管部门对电动汽车充电服务相关费用有新规定的，从其规定执行。</w:t>
      </w:r>
    </w:p>
    <w:p>
      <w:pPr>
        <w:spacing w:before="120" w:beforeLines="50" w:after="120" w:afterLines="50" w:line="400" w:lineRule="exact"/>
        <w:ind w:right="105" w:rightChars="50" w:firstLine="480" w:firstLineChars="200"/>
        <w:rPr>
          <w:rFonts w:hint="eastAsia" w:ascii="宋体" w:hAnsi="宋体" w:cs="宋体"/>
          <w:sz w:val="24"/>
          <w:highlight w:val="none"/>
        </w:rPr>
      </w:pPr>
      <w:r>
        <w:rPr>
          <w:rFonts w:hint="eastAsia" w:ascii="宋体" w:hAnsi="宋体" w:cs="宋体"/>
          <w:sz w:val="24"/>
          <w:highlight w:val="none"/>
          <w:lang w:val="en-US" w:eastAsia="zh-CN"/>
        </w:rPr>
        <w:t>2.4.2</w:t>
      </w:r>
      <w:r>
        <w:rPr>
          <w:rFonts w:hint="eastAsia" w:ascii="宋体" w:hAnsi="宋体" w:cs="宋体"/>
          <w:sz w:val="24"/>
          <w:highlight w:val="none"/>
        </w:rPr>
        <w:t>停车费</w:t>
      </w:r>
      <w:r>
        <w:rPr>
          <w:rFonts w:hint="eastAsia" w:ascii="宋体" w:hAnsi="宋体" w:cs="宋体"/>
          <w:sz w:val="24"/>
          <w:highlight w:val="none"/>
          <w:lang w:eastAsia="zh-CN"/>
        </w:rPr>
        <w:t>按照《政府定价、政府指导价管理的机动车停放设施服务收费标准》（</w:t>
      </w:r>
      <w:r>
        <w:rPr>
          <w:rFonts w:hint="eastAsia" w:ascii="宋体" w:hAnsi="宋体" w:cs="宋体"/>
          <w:sz w:val="24"/>
          <w:highlight w:val="none"/>
          <w:lang w:val="en-US" w:eastAsia="zh-CN"/>
        </w:rPr>
        <w:t>2022年版）</w:t>
      </w:r>
      <w:r>
        <w:rPr>
          <w:rFonts w:hint="eastAsia" w:ascii="宋体" w:hAnsi="宋体" w:cs="宋体"/>
          <w:sz w:val="24"/>
          <w:highlight w:val="none"/>
          <w:lang w:eastAsia="zh-CN"/>
        </w:rPr>
        <w:t>规定执行，</w:t>
      </w:r>
      <w:r>
        <w:rPr>
          <w:rFonts w:hint="eastAsia" w:ascii="宋体" w:hAnsi="宋体" w:cs="宋体"/>
          <w:sz w:val="24"/>
          <w:highlight w:val="none"/>
        </w:rPr>
        <w:t>若政府价格主管部门对</w:t>
      </w:r>
      <w:r>
        <w:rPr>
          <w:rFonts w:hint="eastAsia" w:ascii="宋体" w:hAnsi="宋体" w:cs="宋体"/>
          <w:sz w:val="24"/>
          <w:highlight w:val="none"/>
          <w:lang w:eastAsia="zh-CN"/>
        </w:rPr>
        <w:t>停车</w:t>
      </w:r>
      <w:r>
        <w:rPr>
          <w:rFonts w:hint="eastAsia" w:ascii="宋体" w:hAnsi="宋体" w:cs="宋体"/>
          <w:sz w:val="24"/>
          <w:highlight w:val="none"/>
        </w:rPr>
        <w:t>费用有新规定的，从其规定执行。</w:t>
      </w:r>
    </w:p>
    <w:p>
      <w:pPr>
        <w:spacing w:before="120" w:beforeLines="50" w:after="120" w:afterLines="50" w:line="400" w:lineRule="exact"/>
        <w:ind w:right="105" w:rightChars="50"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2.4.3公交车辆进站运营管理费按照行业主管部门规定收取。</w:t>
      </w:r>
    </w:p>
    <w:p>
      <w:pPr>
        <w:spacing w:before="120" w:beforeLines="50" w:after="120" w:afterLines="50" w:line="400" w:lineRule="exact"/>
        <w:ind w:right="105" w:rightChars="50" w:firstLine="480" w:firstLineChars="200"/>
        <w:rPr>
          <w:rFonts w:hint="eastAsia" w:ascii="宋体" w:hAnsi="宋体" w:eastAsia="宋体" w:cs="宋体"/>
          <w:sz w:val="24"/>
          <w:highlight w:val="none"/>
          <w:lang w:eastAsia="zh-CN"/>
        </w:rPr>
      </w:pPr>
    </w:p>
    <w:p>
      <w:pPr>
        <w:pStyle w:val="5"/>
        <w:spacing w:before="120" w:after="120" w:line="240" w:lineRule="auto"/>
        <w:rPr>
          <w:sz w:val="24"/>
          <w:szCs w:val="24"/>
          <w:highlight w:val="none"/>
        </w:rPr>
      </w:pPr>
      <w:r>
        <w:rPr>
          <w:sz w:val="24"/>
          <w:szCs w:val="24"/>
          <w:highlight w:val="none"/>
        </w:rPr>
        <w:t>（三）服务要求</w:t>
      </w:r>
    </w:p>
    <w:p>
      <w:pPr>
        <w:spacing w:before="120" w:beforeLines="50" w:after="120" w:afterLines="50" w:line="400" w:lineRule="exact"/>
        <w:ind w:left="420" w:right="105" w:rightChars="5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1.电动汽车充电站运行维护的基本要求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中标人应根据充电站情况制订合理的运行维护工作计划，运行维护工作计划分年度维护工作计划和定期维护工作计划。制订运行维护工作计划要具体、全面、有针对性，列入工作计划的维护项目必须全面，不留死角，不漏项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1.2运行操作人员必须按照运行维护工作计划进行运行维护工作，并做好记录。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1.3维护过程中发现的问题应及时处理，不能处理的应及时汇报上级有关部门并督促有关部门尽快处理。</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2.电动汽车充电站的定期维护应至少包含以下内容：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(1)安全用具、仪表的检查、试验。</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(2)备品备件的检查、试验。</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(3)消防器材的检查。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(4)安防设备的检查。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(5)防汛设施的检查。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(6)照明设施检查更换。</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(7)各种机械锁加油。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(8)设备标志的检查、完善。</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(9)电缆层、电缆室的定期清扫，防小动物措施的检查。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(10)站内给、排水设施的检查维护。</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(11)交、直流充电桩防潮设施的维护等。</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(12)直流电源系统的维护与检查。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(13)充电计费设施的维护与检查。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(14)监控系统、继电保护和自动装置的维护与检查。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(15)站用电系统所属的高低压设备（包含电房托管）的维护与检查。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(16)火灾报警设施的检查。</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(17)新设备投入运行需要增加运行维护项目时要及时增补定期维护计划。</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3.电动汽车充电站的年度维护工作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3.1除定期维护项目外，应结合充电站的设备情况、环境、气候、运行规律等制订年度维护工作计划。年度维护工作计划可按全年的月份进行编排。</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3.2年度维护工作计划中至少应</w:t>
      </w:r>
      <w:r>
        <w:rPr>
          <w:rFonts w:hint="eastAsia" w:ascii="宋体" w:hAnsi="宋体" w:cs="宋体"/>
          <w:sz w:val="24"/>
          <w:highlight w:val="none"/>
          <w:lang w:val="en-US" w:eastAsia="zh-CN"/>
        </w:rPr>
        <w:t>具备</w:t>
      </w:r>
      <w:r>
        <w:rPr>
          <w:rFonts w:ascii="宋体" w:hAnsi="宋体" w:cs="宋体"/>
          <w:sz w:val="24"/>
          <w:highlight w:val="none"/>
        </w:rPr>
        <w:t>以下内容：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(1)汛期前全面仔细检查防汛设施及设备应完好。</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(2)干燥的秋、冬季前应全面详细检查防火设施。</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(3)寒冬季节前应详细检查设备的保温装置，并在气温下降时投入保温装置。</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(4)寒冬季节应做好室外设备的防冻工作，如给水管包扎保温层等。</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(5)春、秋季安全大检查之前应做好自查准备工作。</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(6)</w:t>
      </w:r>
      <w:r>
        <w:rPr>
          <w:rFonts w:hint="eastAsia" w:ascii="宋体" w:hAnsi="宋体" w:cs="宋体"/>
          <w:sz w:val="24"/>
          <w:highlight w:val="none"/>
          <w:lang w:val="en-US" w:eastAsia="zh-CN"/>
        </w:rPr>
        <w:t>台风、</w:t>
      </w:r>
      <w:r>
        <w:rPr>
          <w:rFonts w:ascii="宋体" w:hAnsi="宋体" w:cs="宋体"/>
          <w:sz w:val="24"/>
          <w:highlight w:val="none"/>
        </w:rPr>
        <w:t>雷雨季节到来之前，应检查防雷设施的完好性</w:t>
      </w:r>
      <w:r>
        <w:rPr>
          <w:rFonts w:hint="eastAsia" w:ascii="宋体" w:hAnsi="宋体" w:cs="宋体"/>
          <w:sz w:val="24"/>
          <w:highlight w:val="none"/>
          <w:lang w:val="en-US" w:eastAsia="zh-CN"/>
        </w:rPr>
        <w:t>及基础设备的牢固性</w:t>
      </w:r>
      <w:r>
        <w:rPr>
          <w:rFonts w:ascii="宋体" w:hAnsi="宋体" w:cs="宋体"/>
          <w:sz w:val="24"/>
          <w:highlight w:val="none"/>
        </w:rPr>
        <w:t>。</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(7)按季节做好设备评级工作。</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(8)高温季节前做好空调设备的检查维修工作。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4.中标人应建立健全的安全管理制度、环境管理制度、人员管理制度、设备管理制度，各项责任落实到人，确保充电设备正常使用。</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5.环境管理要求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 站内卫生</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5.1.1 充电站作业场所应整洁、干净、卫生，无明显污垢。</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5.1.2 充电设备、消防器材、标识标牌等设施设备保持整洁干净。</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5.1.3 充电站内应设置垃圾箱。</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5.1.4 员工的交通工具应按指定地方停放，整齐有序。</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5.1.5 卫生用具应按指定地方摆放整齐，保持清洁。</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5.1.6 营业室内布置整洁，窗明几净。</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5.1.7 厕所设施、设备完好，整洁，卫生、无异味。</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5.1.8 在不影响经营及安全的前提下，因地制宜开展绿化工作。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5.2 照明</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5.2.1 工作环境明亮，营业间照度均匀。</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5.2.2 保持照明灯具及商标灯箱完好。</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5.3 标识标志</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5.3.1 充电站应设置进出口标识、安全警示标识、设备标识、服务项目牌、监督投诉电话号码牌等，并进行定期检查。</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5.3.2 发现标识内容缺损、位置不正、表面不洁时，及时维修、清洁。</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6.人员管理要求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6.1 一般要求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6.1.1 管理人员和作业人员应接受安全生产教育和岗位技能培训、掌握电动汽车安全知识、用电安全规范、电动汽车发生紧急情况的处理方法和触电急救法，考核合格后上岗。</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6.1.2 作业人员应按照操作流程和岗位规范进行操作。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6.1.3 作业人员应统一着装，并佩戴易识别的服务标志。</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6.1.4 作业人员应对所从事的工作负责，履行服务承诺，使用文明规范用语。</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6.2 岗位职责</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6.2.1 中标人应在每个</w:t>
      </w:r>
      <w:r>
        <w:rPr>
          <w:rFonts w:hint="eastAsia" w:ascii="宋体" w:hAnsi="宋体" w:cs="宋体"/>
          <w:sz w:val="24"/>
          <w:highlight w:val="none"/>
          <w:lang w:eastAsia="zh-CN"/>
        </w:rPr>
        <w:t>充电站</w:t>
      </w:r>
      <w:r>
        <w:rPr>
          <w:rFonts w:ascii="宋体" w:hAnsi="宋体" w:cs="宋体"/>
          <w:sz w:val="24"/>
          <w:highlight w:val="none"/>
        </w:rPr>
        <w:t>设置三个岗位：站长、安全监控员、设备维修员，如有公交车辆夜间停场充电，按需</w:t>
      </w:r>
      <w:r>
        <w:rPr>
          <w:rFonts w:hint="eastAsia" w:ascii="宋体" w:hAnsi="宋体" w:cs="宋体"/>
          <w:sz w:val="24"/>
          <w:highlight w:val="none"/>
          <w:lang w:eastAsia="zh-CN"/>
        </w:rPr>
        <w:t>配置</w:t>
      </w:r>
      <w:r>
        <w:rPr>
          <w:rFonts w:ascii="宋体" w:hAnsi="宋体" w:cs="宋体"/>
          <w:sz w:val="24"/>
          <w:highlight w:val="none"/>
        </w:rPr>
        <w:t>充电移车员。中标人应根据充电站运营实际及采购人需求，依照各岗位要求</w:t>
      </w:r>
      <w:r>
        <w:rPr>
          <w:rFonts w:hint="eastAsia" w:ascii="宋体" w:hAnsi="宋体" w:cs="宋体"/>
          <w:sz w:val="24"/>
          <w:highlight w:val="none"/>
          <w:lang w:val="en-US" w:eastAsia="zh-CN"/>
        </w:rPr>
        <w:t>配备</w:t>
      </w:r>
      <w:r>
        <w:rPr>
          <w:rFonts w:ascii="宋体" w:hAnsi="宋体" w:cs="宋体"/>
          <w:sz w:val="24"/>
          <w:highlight w:val="none"/>
        </w:rPr>
        <w:t>足够的人员。与采购人签订</w:t>
      </w:r>
      <w:r>
        <w:rPr>
          <w:rFonts w:hint="eastAsia" w:ascii="宋体" w:hAnsi="宋体" w:cs="宋体"/>
          <w:sz w:val="24"/>
          <w:highlight w:val="none"/>
          <w:lang w:eastAsia="zh-CN"/>
        </w:rPr>
        <w:t>服务协议</w:t>
      </w:r>
      <w:r>
        <w:rPr>
          <w:rFonts w:ascii="宋体" w:hAnsi="宋体" w:cs="宋体"/>
          <w:sz w:val="24"/>
          <w:highlight w:val="none"/>
        </w:rPr>
        <w:t>时，须列出投入本项目服务人员的人员名单、岗位及联系方式，投入本项目服务人员信息须与投标时提供的人员名单信息一致。</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6.2.2 站长：是充电站的第一安全责任人，应全面负责充电站的安全及日常运营管理工作。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6.2.3 安全监控员：负责充电站的安全宣传教育和监督工作，协助站长进行安全管理。负责充电监控设备及通信网络的正常运转，对充电过程进行实时、有效地监控。</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6.2.4 设备维修员：负责充电设备的检测和维修工作，保障设备正常运营。</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6.2.5 充电移车员：负责驾驶公交车往返公交站场指定停车位与充电站场指定充电桩位置，为客户提供充电服务。</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6.3 岗位技能要求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6.3.1 充电站站长：应了解电动汽车的结构，熟悉充电设施的工作原理，熟练掌握充电站的运行和服务规范。</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6.3.2 安全监控员：应了解电动汽车的构造、充电设备的工作原理，掌握充电操作规程、安全知识和现场应急处理方法。了解动力蓄电池电化学性能和动力蓄电池应用的基本知识，掌握监控系统使用方法。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6.3.3 设备维修员：应掌握充电设备的工作原理，动力蓄电池的基本知识、电动汽车构造，掌握本岗位操作流程，设备检测及维修的方法。</w:t>
      </w:r>
    </w:p>
    <w:p>
      <w:pPr>
        <w:spacing w:before="120" w:beforeLines="50" w:after="120" w:afterLines="50" w:line="400" w:lineRule="exact"/>
        <w:ind w:right="105" w:rightChars="50" w:firstLine="480" w:firstLineChars="200"/>
        <w:rPr>
          <w:rFonts w:ascii="宋体" w:hAnsi="宋体" w:cs="宋体"/>
          <w:highlight w:val="none"/>
        </w:rPr>
      </w:pPr>
      <w:r>
        <w:rPr>
          <w:rFonts w:hint="eastAsia" w:ascii="宋体" w:hAnsi="宋体" w:cs="宋体"/>
          <w:sz w:val="24"/>
          <w:highlight w:val="none"/>
          <w:lang w:val="en-US" w:eastAsia="zh-CN"/>
        </w:rPr>
        <w:t>3.</w:t>
      </w:r>
      <w:r>
        <w:rPr>
          <w:rFonts w:ascii="宋体" w:hAnsi="宋体" w:cs="宋体"/>
          <w:sz w:val="24"/>
          <w:highlight w:val="none"/>
        </w:rPr>
        <w:t>6.3.4 充电移车员：提供充电移车服务。应了解电动汽车蓄电池的基本常识，掌握电动汽车充电安全知识、本岗位操作规程和现场应急处理方法。了解电动公交车的基本知识，交通安全意识强。必须持有效的准驾车型代号为A1或A3的机动车驾驶证。</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7.设备管理要求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 充电站设备管理应包括配电设备、充电设备、充电监控设备、消防器材、安防设备、防汛设施、照明设施等的管理。</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7.2 中标人进场前，须在采购人监督下，与充电站的建设单位对站内的所有设备(包括设备的备品备件)进行核对并交接。运营服务期间，中标人与充电站的建设单位在采购人监督下对所有设备(包括设备的备品备件)进行清点核对，以便对设备进行管理，便于及时补充备品备件。</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7.3 充电站应定期对设备进行清洁、检测、维护和保养，并形成记录。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7.4 充电站应制定充电设备操作规范，并严格按照操作规范执行。</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7.5 充电站应建立并完善设备缺陷管理制度，确保设备处于长期安全运行。</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7.6 充电站应建立设备巡视管理制度，及时发现设备运行过程中的异常情况并解决。</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7.7 充电站应建立工器具和备品备件的管理制度。</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7.8电气设备运维服务要求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7.8.1定期对服务范围内电气设备进行巡视检査，抄录运行数据。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7.8.2定期抄录一次有功电度、无功电度，计算功率因数，及时跟踪力率考核情况，对不合格的提出建议。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7.8.3巡视检查中发现的故障或隐患，及时通知采购人，按其紧急级别有计划检修。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7.8.4每年向采购人提交《电气设备月度运行情况报告》，分析用电情况，提出用电建议。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7.8.5每月检查配电房防小动物措施情况、通风情况、照明情况以及绝缘工器具试验情况。</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7.8.6其他情况</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(1)变压器巡视、换干燥器、加变压器油、测量电压、电流和接地电阻。</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(2)更换负荷开关、空气开关、断路器、接触器和熔芯，窗和门锁检修，清扫灰尘等，更换损坏、老化的避雷器。</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u w:val="single"/>
          <w:lang w:eastAsia="zh-CN"/>
        </w:rPr>
        <w:t>（</w:t>
      </w:r>
      <w:r>
        <w:rPr>
          <w:rFonts w:ascii="宋体" w:hAnsi="宋体" w:cs="宋体"/>
          <w:sz w:val="24"/>
          <w:highlight w:val="none"/>
        </w:rPr>
        <w:t>3)变配电设施的日常维护调试:更换损坏的接地设施:检查进出线、定期检查电气设</w:t>
      </w:r>
      <w:r>
        <w:rPr>
          <w:rFonts w:hint="eastAsia" w:ascii="宋体" w:hAnsi="宋体" w:cs="宋体"/>
          <w:sz w:val="24"/>
          <w:highlight w:val="none"/>
          <w:lang w:val="en-US" w:eastAsia="zh-CN"/>
        </w:rPr>
        <w:t>备</w:t>
      </w:r>
      <w:r>
        <w:rPr>
          <w:rFonts w:ascii="宋体" w:hAnsi="宋体" w:cs="宋体"/>
          <w:sz w:val="24"/>
          <w:highlight w:val="none"/>
        </w:rPr>
        <w:t>的绝缘、接触可靠性，动触点的灵敏度、保护设备的灵敏度。</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(4)定期进行预防性试验，并将有关试验数据报相关部门。</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7.9.对服务范围内电气设备进行日常巡检的主要内容</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7.9.1变压器日常巡检的主要内容: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(1)检查变压器发出的声响是否正常。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(2)检查变压器是否</w:t>
      </w:r>
      <w:r>
        <w:rPr>
          <w:rFonts w:hint="eastAsia" w:ascii="宋体" w:hAnsi="宋体" w:cs="宋体"/>
          <w:sz w:val="24"/>
          <w:highlight w:val="none"/>
          <w:lang w:val="en-US" w:eastAsia="zh-CN"/>
        </w:rPr>
        <w:t>渗</w:t>
      </w:r>
      <w:r>
        <w:rPr>
          <w:rFonts w:ascii="宋体" w:hAnsi="宋体" w:cs="宋体"/>
          <w:sz w:val="24"/>
          <w:highlight w:val="none"/>
        </w:rPr>
        <w:t>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(3)检查变压器吸湿器是否破裂，干燥剂是否正常。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(4)测量并记录变压器的最高温度及位置。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7.9.2高压配电设备日常巡检的主要内容：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(1)检查高压柜信号灯是否正常。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(2)检查高压柜柜内照明是否正常。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(3)检查高压开关是否正常工作，少油开关油位是否正常。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(4)检查高压PT柜的电压表指示是否正常。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(5)检查高压PT柜计量监测装置是否显示故障。</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(6)对可视的高压电缆头进行外观检查。</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7.9.3低压配电设备日常巡检的主要内容：</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(1)根据采购人电容柜电容投切转换开关情况，检查电容投切转换开关是否设定在“自投”位置。</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(2)检查电容柜无功补偿控制器是否正常工作。</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(3)检查电容柜电容器的外壳是否有鼓胀、漏油等异常现象。</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(4)检查电容柜刀开关动、静触头接触是否良好。</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(5)检查交流接触器、热继电器是否工作正常。</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(6)检查电容柜熔刀的熔断器芯是否熔断。</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(7)检查低压计量柜计量装置是否铅封，电表转向是否正确。</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(8)检查各柜的开关是否有异响、异味。</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(9)检查各柜电流表、电压表指示是否正常，并记录电流值和电压值。</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(10)测量并记录各柜内各元件的温度。</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(11)检查各柜的信号灯是否正常。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7.10.服务范围内电气设备进行一次巡检和维护的主要内容：</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7.10.1检查带电夹、跌落式熔断器的上下卡位是否有发热或电弧现象。</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7.10.2检查接地线是否齐全并符合要求。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7.10.3检查变压器的油色、油位是否正常。</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7.10.4检查刀开关的灭弧罩是否松脱。</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7.10.5检查电容器投切转换开关是否正常工作。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7.10.6检查无功补偿自动控制器的参数设置是否在正常范围内。</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7.10.7检查电压转换开关是否能正常工作。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7.10.8测量每组电容器的电流。</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7.11.年度/停电对服务范围内电气设备进行一次维护和检修的主要内容。</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7.11.1检查变压器高、低压套管是否有裂痕。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7.11.2检查变压器高、低压套管是否有渗油。</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7.11.3紧固变压器10KV、0.4KV侧接线柱螺栓。(此项停电维护)</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7.11.4检查变压器台架、高低压柜金属架是否接地。</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7.11.5对刀开关进行分合阐操作，检查分合闻情况，对损坏的刀开关进行维修或更换。</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7.11.6检查一次、二次线路的搭接处的螺栓是否紧固。</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7.11.7对设备带电时不能粘贴时示温片的部位补贴示温片。</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7.11.8对设备带电时不能检査的高压电缆头进行外观检查。</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7.11.9完成高、低压柜内外及电房的清洁。</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8.安全管理要求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8.1中标人应制定和落实安全教育培训，增强安全防范意识。</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8.2 组织与人员</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8.2.1 充电站应设置安全管理组织，配备专职或兼职的安全员，各环节的安全应明确责任人将运营服务安全管理贯穿于运营服务的全员和全方位。</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8.2.2 应定期对作业人员进行安全教育和培训。</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8.2.3 作业人员应遵守岗位安全管理制度，应在规定区域内进行作业，不应操作与岗位无关的机械电气设备。</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8.2.4 作业人员应负责岗位范围内的安全管理，发现安全隐患应立即报告并处理。</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8.3 安全巡查</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8.3.1 工作人员应对充电站进行巡查，并检查站内设备完好性，保障安全，纠正违规操作，发现安全隐患，及时采取措施。</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8.3.2 应明确巡查的时间、次数和内容。</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8.3.3 充电站工作人员应对管理范围内发生的灾害事故及时报告管理部门和相关政府单位，并妥善做好现场保护工作。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8.4 设备安全管理</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8.4.1 充电站应安全用电，规范使用电气设备。</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 xml:space="preserve">8.4.2 作业人员应对设备定期进行巡视、维护与检修，不应使用故障设备提供充电服务。 </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8.4.3 电气设备的检修、测试及维修应由专业技术人员进行，非专业人员</w:t>
      </w:r>
      <w:r>
        <w:rPr>
          <w:rFonts w:hint="eastAsia" w:ascii="宋体" w:hAnsi="宋体" w:cs="宋体"/>
          <w:sz w:val="24"/>
          <w:highlight w:val="none"/>
          <w:lang w:val="en-US" w:eastAsia="zh-CN"/>
        </w:rPr>
        <w:t>禁止</w:t>
      </w:r>
      <w:r>
        <w:rPr>
          <w:rFonts w:ascii="宋体" w:hAnsi="宋体" w:cs="宋体"/>
          <w:sz w:val="24"/>
          <w:highlight w:val="none"/>
        </w:rPr>
        <w:t>从事电气设备和电气装置的维修，设备维修前应切断电源。</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8.4.4 如需带电检修设备时须有专人看守。</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8.4.5 设备故障、设备检修时应挂</w:t>
      </w:r>
      <w:r>
        <w:rPr>
          <w:rFonts w:hint="eastAsia" w:ascii="宋体" w:hAnsi="宋体" w:cs="宋体"/>
          <w:sz w:val="24"/>
          <w:highlight w:val="none"/>
          <w:lang w:val="en-US" w:eastAsia="zh-CN"/>
        </w:rPr>
        <w:t>警示</w:t>
      </w:r>
      <w:r>
        <w:rPr>
          <w:rFonts w:ascii="宋体" w:hAnsi="宋体" w:cs="宋体"/>
          <w:sz w:val="24"/>
          <w:highlight w:val="none"/>
        </w:rPr>
        <w:t>牌。</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8.4.6 应定期检查设备安全标志，发现有变形、破损或褪色，应进行整修或更换。</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8.5 车辆安全管理</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充电站内，电动汽车应按照规定的限速在允许的范围内行驶，并停靠在指定的区域内。</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8.6 消防安全</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8.6.1 充电站的消防安全管理应符合有关法律法规和标准的规定。</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8.6.2 充电站应检查消防设施完善性和有效性。消防设施标志应明显、清晰。</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8.6.3 应定期对消防设施和监控器材进行维护，消防系统应处于完好状态。</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8.6.4 充电站应定期进行消防培训和应急演练，全体人员应掌握消防知识，熟知消防器材的位置、性能和使用方法。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8.6.5 充电站内各紧急出入口、通道应保持畅通。火灾发生时，应能采取有效的处置措施，及时疏散人员，并报告有关部门。</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9.应急管理要求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9.1 充电站应设置应急组织，建立突发事件（如火灾、爆炸、电击、水灾、环境污染、车辆事故、设备事故、人身伤害等）应急预案。</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9.2 应急预案应满足统一指挥，分级负责。</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9.3 应急设备应在指定场所存放，专人负责，并定期检查所需物资有效性。</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9.4 每半年应至少进行一次应急预案的全员培训和演练，并针对演练中的问题，修改和完善应急预案。</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10.安全教育培训要求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10.1新入职充电作业人员必须经过公司、运营部的安全教育培训才可以分到各个场站，到场站后应当进行场站安全教育培训。</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凡从事充电作业的人员，须取得特种作业操作资格证书后，方能上岗作业，并按期参加继续教育培训。</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凡脱离工作岗位半年以上，又回到原工作岗位的，须重新进行安全教育培训。</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10.2中标人定期进行安全常识、劳动纪律和安全法律法规教育等内容的培训，并保存安全教育培训记录。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10.3对年度计划基础设施的大修、改造、拆除、新建等作业，重大危险性电气设备设施检修，中标人应对施工作业人员提出必要的安全措施和要求，进行专门安全教育培训，并督促、检查各项安全措施落实情况，确保安全作业。</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10.4发生重大事故或恶性未遂事故时，应及时组织有关人员进行事故现场教育，分析事故原因，吸取经验教训，制订防范措施，防止类似事故重复发生。</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11.客户服务要求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 充电服务要求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11.1.1中标人须提供日常维护和技术支持，提供24小时热线电话服务，提供区域负责人员名单及联系电话。</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11.1.2充电桩故障无法正常充电时，中标人的维修人员应在4小时内响应并安排技术人员赶赴现场处理故障，原则上要求12小时内排除故障。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11.1.3故障发生后，中标人应及时向</w:t>
      </w:r>
      <w:r>
        <w:rPr>
          <w:rFonts w:hint="eastAsia" w:ascii="宋体" w:hAnsi="宋体" w:cs="宋体"/>
          <w:sz w:val="24"/>
          <w:highlight w:val="none"/>
          <w:lang w:val="en-US" w:eastAsia="zh-CN"/>
        </w:rPr>
        <w:t>公交公司</w:t>
      </w:r>
      <w:r>
        <w:rPr>
          <w:rFonts w:ascii="宋体" w:hAnsi="宋体" w:cs="宋体"/>
          <w:sz w:val="24"/>
          <w:highlight w:val="none"/>
        </w:rPr>
        <w:t>反馈处理情况，双方根据实际情况协调公交车辆分流，避免影响车辆发班运营。因充电桩故障影响车辆正常发班运营，采购人按200元/班次向中标人扣罚。</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11.1.4中标人负责安排工作人员为公交车辆进行夜间停场充电，公交车驾驶员负责将车辆停放在相应的位置，具体充电操作由中标人工作人员负责。</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11.1.5中标人在运营的充电车位大于或等于停场充电车数的充电站，须提供停场充电车辆充满电后关闭车辆电源总开关的服务，凡公交车驾驶员发现充满电后超过30分钟未关闭车辆电源总开关的情况，驾驶员将通知采购人，采购人按50元/车次向中标人扣罚；因未拔充电枪或未关闭车辆电源总开关造成公交车公司或采购人的一切损失由中标人负责。（公交车公司或采购人向中标人提供查询电源关闭情况的查询系统及手段，否则本条款不成立。）</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11.1.6中标人在充电车位少于停场充电车数的充电站，须提供停场车辆移车充电服务（服务时间22:00-次日6:00）。服务时间内，</w:t>
      </w:r>
      <w:r>
        <w:rPr>
          <w:rFonts w:hint="eastAsia" w:ascii="宋体" w:hAnsi="宋体" w:cs="宋体"/>
          <w:sz w:val="24"/>
          <w:highlight w:val="none"/>
          <w:lang w:val="en-US" w:eastAsia="zh-CN"/>
        </w:rPr>
        <w:t>公交公司非约定</w:t>
      </w:r>
      <w:r>
        <w:rPr>
          <w:rFonts w:ascii="宋体" w:hAnsi="宋体" w:cs="宋体"/>
          <w:sz w:val="24"/>
          <w:highlight w:val="none"/>
        </w:rPr>
        <w:t>车辆禁止停放在中标人充电车位。</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11.1.7采购人与</w:t>
      </w:r>
      <w:r>
        <w:rPr>
          <w:rFonts w:hint="eastAsia" w:ascii="宋体" w:hAnsi="宋体" w:cs="宋体"/>
          <w:sz w:val="24"/>
          <w:highlight w:val="none"/>
          <w:lang w:eastAsia="zh-CN"/>
        </w:rPr>
        <w:t>公交公司</w:t>
      </w:r>
      <w:r>
        <w:rPr>
          <w:rFonts w:ascii="宋体" w:hAnsi="宋体" w:cs="宋体"/>
          <w:sz w:val="24"/>
          <w:highlight w:val="none"/>
        </w:rPr>
        <w:t>应提前协调好相关充电站的充电任务安排，在充电站服务能力承受范围内的，中标人必须保证夜间</w:t>
      </w:r>
      <w:r>
        <w:rPr>
          <w:rFonts w:hint="eastAsia" w:ascii="宋体" w:hAnsi="宋体" w:cs="宋体"/>
          <w:sz w:val="24"/>
          <w:highlight w:val="none"/>
          <w:lang w:eastAsia="zh-CN"/>
        </w:rPr>
        <w:t>停场充电的公交车辆</w:t>
      </w:r>
      <w:r>
        <w:rPr>
          <w:rFonts w:ascii="宋体" w:hAnsi="宋体" w:cs="宋体"/>
          <w:sz w:val="24"/>
          <w:highlight w:val="none"/>
        </w:rPr>
        <w:t>的SOC值在每日6:00前达90%以上，如</w:t>
      </w:r>
      <w:r>
        <w:rPr>
          <w:rFonts w:hint="eastAsia" w:ascii="宋体" w:hAnsi="宋体" w:cs="宋体"/>
          <w:sz w:val="24"/>
          <w:highlight w:val="none"/>
          <w:lang w:val="en-US" w:eastAsia="zh-CN"/>
        </w:rPr>
        <w:t>公交公司</w:t>
      </w:r>
      <w:r>
        <w:rPr>
          <w:rFonts w:ascii="宋体" w:hAnsi="宋体" w:cs="宋体"/>
          <w:sz w:val="24"/>
          <w:highlight w:val="none"/>
        </w:rPr>
        <w:t>发现SOC值小于90%的车辆，将通知采购人，采购人按200元/车次在中标人扣罚（因车辆原因无法达到SOC值要求或经双方协调可允许不充满电车辆除外）。</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11.1.8中标人根据采购人的需求，于每月对账时提供车辆充电的数据记录（电子版）。</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11.1.9中标人需配合公交车公司及采购人关于“一车一卡，对号充电”或VIN码充电的管理规定，充电前需核对车辆与充电卡是否一致方可充电。无充电卡的车辆或者充电卡不对应车牌号的车辆原则上不允许充电，如遇特殊情况必须充电，需经采购人同意后方可充电。</w:t>
      </w:r>
    </w:p>
    <w:p>
      <w:pPr>
        <w:spacing w:before="120" w:beforeLines="50" w:after="120" w:afterLines="50" w:line="400" w:lineRule="exact"/>
        <w:ind w:right="105" w:rightChars="50" w:firstLine="480" w:firstLineChars="200"/>
        <w:rPr>
          <w:rFonts w:ascii="宋体" w:hAnsi="宋体" w:cs="宋体"/>
          <w:highlight w:val="none"/>
        </w:rPr>
      </w:pPr>
      <w:r>
        <w:rPr>
          <w:rFonts w:hint="eastAsia" w:ascii="宋体" w:hAnsi="宋体" w:cs="宋体"/>
          <w:sz w:val="24"/>
          <w:highlight w:val="none"/>
          <w:lang w:val="en-US" w:eastAsia="zh-CN"/>
        </w:rPr>
        <w:t>3.</w:t>
      </w:r>
      <w:r>
        <w:rPr>
          <w:rFonts w:ascii="宋体" w:hAnsi="宋体" w:cs="宋体"/>
          <w:sz w:val="24"/>
          <w:highlight w:val="none"/>
        </w:rPr>
        <w:t>11.1.10中标人应配合做好夜间停场充电车辆的挂“充电牌”及充电卡位置统一放置工作。</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11.2 中标人接到投诉后，应记录投诉工单。调查投诉事件及责任人，确定投诉事件的处理方式及处理时限并回复客户。跟踪投诉事件处理进度，保证在承诺时间内处理完毕。投诉处理完毕，回访客户满意度并收集投诉处理通知单存档。</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11.3中标人应建立事故纠纷处理办法，明确责任人、处理程序和时限要求等。</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11.4中标人应对运行和服务过程进行记录，包括巡查记录、工作日志、交接班记录等。运行和服务过程应保留原始记录。记录应及时、准确、真实、完整。</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12.服务质量考核</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12.1采购人每年至少对中标人进行服务质量考核评价一次，主要内容包括但不限于核查、分析服务项目相关资料；检查和评估规章制度、操作规范的执行情况；询问作业人员操作规范、规章制度的落实情况；检查作业人员的现场记录；检查有关投诉、表扬记录和处理记录。</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12.2中标人应根据服务质量考核评价结果，对不符合标准要求的项目制定纠正和预防措施，并跟踪实施和改进。在服务过程中随时收集有关不合格信息，确定信息来源，分析不合格原因，制定纠正措施，对过程或管理机构进行调整，避免不合格再发生。</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13.配合公交运行要求</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中标人须充分考虑采购人指定的公交车运行班次间隔、发车和充电时间安排、充电时间等要求的前提下，设计合理高效的车辆充电服务方案。运营期间的公交运行班次信息由采购人提供。</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14.其他要求</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14.1中标人须配套建设充电站运行监控系统与运营管理系统，并按要求接入政府监管平台，以实现各充电场站的充电操作、充电站运行状态监控、充电服务运营收费等功能。中标人享有在充电系统设施上发布宣传、推广信息的权利，投放内容需符合政府相关规定。</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14.2中标人无条件配合采购人安排的参观、展示或人员培训，并向来访者讲明场站内安全注意事项，允许采购人接入运行平台展示实时运行数据。</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14.3中标人要提供</w:t>
      </w:r>
      <w:r>
        <w:rPr>
          <w:rFonts w:hint="eastAsia" w:ascii="宋体" w:hAnsi="宋体" w:cs="宋体"/>
          <w:sz w:val="24"/>
          <w:highlight w:val="none"/>
          <w:lang w:eastAsia="zh-CN"/>
        </w:rPr>
        <w:t>全年全天候</w:t>
      </w:r>
      <w:r>
        <w:rPr>
          <w:rFonts w:ascii="宋体" w:hAnsi="宋体" w:cs="宋体"/>
          <w:sz w:val="24"/>
          <w:highlight w:val="none"/>
        </w:rPr>
        <w:t>24小时充电服务。</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14.4因政策原因（如充电站场移交失败）、政府规划、“三旧”改造或者国家建设需要征收土地及配套附着物时，中标人须无条件服从。</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采购人将提前30天通知中标人并在征得中标人同意的情况下，另外选取合适的场地进行充电站代运营，中标人重新进行充电站代运营并承担由此产生的所有费用。</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如因站场搬迁导致中标人营运期限的减少，采购人与中标人双方将签订补充协议约定营运期的补偿问题或者直接赔偿中标人因电站搬迁导致的一切经济损失，主</w:t>
      </w:r>
      <w:r>
        <w:rPr>
          <w:rFonts w:hint="eastAsia" w:ascii="宋体" w:hAnsi="宋体" w:cs="宋体"/>
          <w:sz w:val="24"/>
          <w:highlight w:val="none"/>
          <w:lang w:eastAsia="zh-CN"/>
        </w:rPr>
        <w:t>协议</w:t>
      </w:r>
      <w:r>
        <w:rPr>
          <w:rFonts w:ascii="宋体" w:hAnsi="宋体" w:cs="宋体"/>
          <w:sz w:val="24"/>
          <w:highlight w:val="none"/>
        </w:rPr>
        <w:t>与补充协议同时具备法律效力。</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如采购人无法提供新的运营场地，双方解除</w:t>
      </w:r>
      <w:r>
        <w:rPr>
          <w:rFonts w:hint="eastAsia" w:ascii="宋体" w:hAnsi="宋体" w:cs="宋体"/>
          <w:sz w:val="24"/>
          <w:highlight w:val="none"/>
          <w:lang w:eastAsia="zh-CN"/>
        </w:rPr>
        <w:t>协议</w:t>
      </w:r>
      <w:r>
        <w:rPr>
          <w:rFonts w:ascii="宋体" w:hAnsi="宋体" w:cs="宋体"/>
          <w:sz w:val="24"/>
          <w:highlight w:val="none"/>
        </w:rPr>
        <w:t>。如变化情况只影响部分站场的运营，则</w:t>
      </w:r>
      <w:r>
        <w:rPr>
          <w:rFonts w:hint="eastAsia" w:ascii="宋体" w:hAnsi="宋体" w:cs="宋体"/>
          <w:sz w:val="24"/>
          <w:highlight w:val="none"/>
          <w:lang w:eastAsia="zh-CN"/>
        </w:rPr>
        <w:t>协议</w:t>
      </w:r>
      <w:r>
        <w:rPr>
          <w:rFonts w:ascii="宋体" w:hAnsi="宋体" w:cs="宋体"/>
          <w:sz w:val="24"/>
          <w:highlight w:val="none"/>
        </w:rPr>
        <w:t>中涉及影响部分的内容失效，</w:t>
      </w:r>
      <w:r>
        <w:rPr>
          <w:rFonts w:hint="eastAsia" w:ascii="宋体" w:hAnsi="宋体" w:cs="宋体"/>
          <w:sz w:val="24"/>
          <w:highlight w:val="none"/>
          <w:lang w:eastAsia="zh-CN"/>
        </w:rPr>
        <w:t>协议</w:t>
      </w:r>
      <w:r>
        <w:rPr>
          <w:rFonts w:ascii="宋体" w:hAnsi="宋体" w:cs="宋体"/>
          <w:sz w:val="24"/>
          <w:highlight w:val="none"/>
        </w:rPr>
        <w:t>不需要解除。</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14.5中标人在服务期间必须按照《广东省电动汽车充电基础设施建设运营管理办法》及相关管理规定执行，有违反相关规定运营带来的法律责任和带来的经济损失由中标人自行承担。</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14.6中标人需定期进行充电设备的平台操作培训、设备维修培训，采购人需监督投标人针对充电桩的相应配件（充电枪、模块、设备主部件等）提供建设总量的50%作为储备，并按需求时进行及时补充。</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14.7因非中标人原因造成的充电设备损坏，中标人有权要求责任者承担维修费用（差旅费、劳务费、工料费等）。由不可抗力造成的损坏，由中标人负责维护。</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14.8服务期内，未征得采购人书面同意，中标人不得将本</w:t>
      </w:r>
      <w:r>
        <w:rPr>
          <w:rFonts w:hint="eastAsia" w:ascii="宋体" w:hAnsi="宋体" w:cs="宋体"/>
          <w:sz w:val="24"/>
          <w:highlight w:val="none"/>
          <w:lang w:eastAsia="zh-CN"/>
        </w:rPr>
        <w:t>协议</w:t>
      </w:r>
      <w:r>
        <w:rPr>
          <w:rFonts w:ascii="宋体" w:hAnsi="宋体" w:cs="宋体"/>
          <w:sz w:val="24"/>
          <w:highlight w:val="none"/>
        </w:rPr>
        <w:t>项下的权利和义务转让给第三方，中标人须承担充电站内的经济责任、法律责任。</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14.9如注册地在佛山市外的机构符合供应商资格要求参与本项目的，必须承诺在中标通知书发出之日起一个月内在佛山市范围内设立为本项目服务的办公地点。中标后须提交以下相关证明材料给采购人备案：办公场所地址、负责人简历、投入本项目服务人员名单。如不能按时提供以上证明材料，</w:t>
      </w:r>
      <w:r>
        <w:rPr>
          <w:rFonts w:hint="eastAsia" w:ascii="宋体" w:hAnsi="宋体" w:cs="宋体"/>
          <w:sz w:val="24"/>
          <w:highlight w:val="none"/>
          <w:lang w:eastAsia="zh-CN"/>
        </w:rPr>
        <w:t>协议</w:t>
      </w:r>
      <w:r>
        <w:rPr>
          <w:rFonts w:ascii="宋体" w:hAnsi="宋体" w:cs="宋体"/>
          <w:sz w:val="24"/>
          <w:highlight w:val="none"/>
        </w:rPr>
        <w:t>将自动作废，中标人因此赔偿采购人的损失。</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15.服务质量考核标准</w:t>
      </w:r>
    </w:p>
    <w:p>
      <w:pPr>
        <w:spacing w:before="120" w:beforeLines="50" w:after="120" w:afterLines="50" w:line="400" w:lineRule="exact"/>
        <w:ind w:right="105" w:rightChars="50" w:firstLine="480" w:firstLineChars="200"/>
        <w:rPr>
          <w:rFonts w:ascii="宋体" w:hAnsi="宋体" w:cs="宋体"/>
          <w:sz w:val="24"/>
          <w:highlight w:val="none"/>
        </w:rPr>
      </w:pPr>
      <w:r>
        <w:rPr>
          <w:rFonts w:ascii="宋体" w:hAnsi="宋体" w:cs="宋体"/>
          <w:sz w:val="24"/>
          <w:highlight w:val="none"/>
        </w:rPr>
        <w:t>采购人在服务期内</w:t>
      </w:r>
      <w:r>
        <w:rPr>
          <w:rFonts w:hint="eastAsia" w:ascii="宋体" w:hAnsi="宋体" w:cs="宋体"/>
          <w:sz w:val="24"/>
          <w:highlight w:val="none"/>
          <w:lang w:eastAsia="zh-CN"/>
        </w:rPr>
        <w:t>，</w:t>
      </w:r>
      <w:r>
        <w:rPr>
          <w:rFonts w:hint="eastAsia" w:ascii="宋体" w:hAnsi="宋体" w:cs="宋体"/>
          <w:sz w:val="24"/>
          <w:highlight w:val="none"/>
          <w:lang w:val="en-US" w:eastAsia="zh-CN"/>
        </w:rPr>
        <w:t>应</w:t>
      </w:r>
      <w:r>
        <w:rPr>
          <w:rFonts w:ascii="宋体" w:hAnsi="宋体" w:cs="宋体"/>
          <w:sz w:val="24"/>
          <w:highlight w:val="none"/>
        </w:rPr>
        <w:t>每</w:t>
      </w:r>
      <w:r>
        <w:rPr>
          <w:rFonts w:hint="eastAsia" w:ascii="宋体" w:hAnsi="宋体" w:cs="宋体"/>
          <w:sz w:val="24"/>
          <w:highlight w:val="none"/>
          <w:lang w:eastAsia="zh-CN"/>
        </w:rPr>
        <w:t>月</w:t>
      </w:r>
      <w:r>
        <w:rPr>
          <w:rFonts w:ascii="宋体" w:hAnsi="宋体" w:cs="宋体"/>
          <w:sz w:val="24"/>
          <w:highlight w:val="none"/>
        </w:rPr>
        <w:t>不少于一次组织相关部门对充电站进行检查和监管，并根据检查情况对中标人进行服务质量考核，考核评分每年为一次统计周期（详见《服务质量考核评分表》）。当评分分值在75分（不含）以下的次数达到2次的，采购人有权终止</w:t>
      </w:r>
      <w:r>
        <w:rPr>
          <w:rFonts w:hint="eastAsia" w:ascii="宋体" w:hAnsi="宋体" w:cs="宋体"/>
          <w:sz w:val="24"/>
          <w:highlight w:val="none"/>
          <w:lang w:eastAsia="zh-CN"/>
        </w:rPr>
        <w:t>协议</w:t>
      </w:r>
      <w:r>
        <w:rPr>
          <w:rFonts w:ascii="宋体" w:hAnsi="宋体" w:cs="宋体"/>
          <w:sz w:val="24"/>
          <w:highlight w:val="none"/>
        </w:rPr>
        <w:t>。</w:t>
      </w:r>
    </w:p>
    <w:p>
      <w:pPr>
        <w:jc w:val="center"/>
        <w:rPr>
          <w:rFonts w:ascii="宋体" w:hAnsi="宋体" w:cs="宋体"/>
          <w:highlight w:val="none"/>
        </w:rPr>
      </w:pPr>
      <w:r>
        <w:rPr>
          <w:rFonts w:ascii="宋体" w:hAnsi="宋体" w:cs="宋体"/>
          <w:b/>
          <w:bCs/>
          <w:sz w:val="24"/>
          <w:highlight w:val="none"/>
        </w:rPr>
        <w:t>服务质量考核评分表</w:t>
      </w:r>
    </w:p>
    <w:tbl>
      <w:tblPr>
        <w:tblStyle w:val="35"/>
        <w:tblW w:w="94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6946"/>
        <w:gridCol w:w="850"/>
        <w:gridCol w:w="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9418" w:type="dxa"/>
            <w:gridSpan w:val="4"/>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Align w:val="center"/>
          </w:tcPr>
          <w:p>
            <w:pPr>
              <w:autoSpaceDE w:val="0"/>
              <w:autoSpaceDN w:val="0"/>
              <w:adjustRightInd w:val="0"/>
              <w:ind w:left="-21" w:leftChars="-67" w:right="-107" w:rightChars="-51" w:hanging="120" w:hangingChars="50"/>
              <w:jc w:val="center"/>
              <w:rPr>
                <w:rFonts w:ascii="宋体" w:hAnsi="宋体" w:cs="宋体"/>
                <w:sz w:val="24"/>
                <w:highlight w:val="none"/>
              </w:rPr>
            </w:pPr>
            <w:r>
              <w:rPr>
                <w:rFonts w:ascii="宋体" w:hAnsi="宋体" w:cs="宋体"/>
                <w:sz w:val="24"/>
                <w:highlight w:val="none"/>
              </w:rPr>
              <w:t>序号</w:t>
            </w:r>
          </w:p>
        </w:tc>
        <w:tc>
          <w:tcPr>
            <w:tcW w:w="6946"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评分内容</w:t>
            </w:r>
          </w:p>
        </w:tc>
        <w:tc>
          <w:tcPr>
            <w:tcW w:w="850"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总分</w:t>
            </w:r>
          </w:p>
        </w:tc>
        <w:tc>
          <w:tcPr>
            <w:tcW w:w="805"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1</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对中标人的运营管理情况进行评价（包括但不限于工作岗位分配、工作流程、规章制度、职责、责任人等）；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优秀：6-7分；良好：3-5分；一般：1-2分；差：0分。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7分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2</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对工作人员的评价（包括但不限于仪容仪表、文明用语、服务态度、服务效率、服务人员配备情况等）；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优秀：4-5分；良好：2-3分；一般：1分；差：0分。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5分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3</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对充电站的管理（包括但不限于清洁卫生、环境安全、安全标识、车辆充电停放管理、站内交通等）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优秀：6-8分；良好：3-5分；一般：1-2分；差：0分。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8分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4</w:t>
            </w:r>
          </w:p>
        </w:tc>
        <w:tc>
          <w:tcPr>
            <w:tcW w:w="6946" w:type="dxa"/>
            <w:vAlign w:val="center"/>
          </w:tcPr>
          <w:p>
            <w:pPr>
              <w:ind w:left="-13" w:leftChars="-6" w:right="10" w:firstLine="12" w:firstLineChars="5"/>
              <w:rPr>
                <w:rFonts w:ascii="宋体" w:hAnsi="宋体" w:cs="宋体"/>
                <w:sz w:val="24"/>
                <w:highlight w:val="none"/>
              </w:rPr>
            </w:pPr>
            <w:r>
              <w:rPr>
                <w:rFonts w:ascii="宋体" w:hAnsi="宋体" w:cs="宋体"/>
                <w:sz w:val="24"/>
                <w:highlight w:val="none"/>
              </w:rPr>
              <w:t>对充电设施的管理（包括但不限于计量器具的准确、充电设施的维护、系统管理、软件升级、设施使用情况等）</w:t>
            </w:r>
          </w:p>
          <w:p>
            <w:pPr>
              <w:ind w:left="-13" w:leftChars="-6" w:right="10" w:firstLine="12" w:firstLineChars="5"/>
              <w:jc w:val="left"/>
              <w:rPr>
                <w:rFonts w:ascii="宋体" w:hAnsi="宋体" w:cs="宋体"/>
                <w:sz w:val="24"/>
                <w:highlight w:val="none"/>
              </w:rPr>
            </w:pPr>
            <w:r>
              <w:rPr>
                <w:rFonts w:ascii="宋体" w:hAnsi="宋体" w:cs="宋体"/>
                <w:sz w:val="24"/>
                <w:highlight w:val="none"/>
              </w:rPr>
              <w:t>优秀：8-10分；良好：5-7分；一般：1-4分；差：0分。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5</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对日常维护和技术支持的服务质量（包括但不限于快速响应程度、日常维修和故障抢修效率、设备正常使用率、维修人员配备情况等）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优秀：15-20分；良好：10-14分；一般：1-9分；差：0分。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20分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6</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每发生一次安全事故，扣5分；发生安全事故是否及时处理和处理得当；</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优秀：15-20分；良好：10-14分；一般：1-9分；差：0分。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20分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7</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充电服务费收费、充电量计量是否按相关标准；</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每发现一次不符合标准扣5分。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8</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每收到一个真实、合理的投诉扣2分，最高扣10分。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9</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如有违反招标文件及</w:t>
            </w:r>
            <w:r>
              <w:rPr>
                <w:rFonts w:hint="eastAsia" w:ascii="宋体" w:hAnsi="宋体" w:cs="宋体"/>
                <w:sz w:val="24"/>
                <w:highlight w:val="none"/>
                <w:lang w:eastAsia="zh-CN"/>
              </w:rPr>
              <w:t>协议</w:t>
            </w:r>
            <w:r>
              <w:rPr>
                <w:rFonts w:ascii="宋体" w:hAnsi="宋体" w:cs="宋体"/>
                <w:sz w:val="24"/>
                <w:highlight w:val="none"/>
              </w:rPr>
              <w:t>规定的条款，根据违约性质进行评分：</w:t>
            </w:r>
          </w:p>
          <w:p>
            <w:pPr>
              <w:autoSpaceDE w:val="0"/>
              <w:autoSpaceDN w:val="0"/>
              <w:adjustRightInd w:val="0"/>
              <w:ind w:left="-13" w:leftChars="-6" w:right="10" w:firstLine="12" w:firstLineChars="5"/>
              <w:jc w:val="left"/>
              <w:rPr>
                <w:rFonts w:hint="default" w:ascii="宋体" w:hAnsi="宋体" w:eastAsia="宋体" w:cs="宋体"/>
                <w:sz w:val="24"/>
                <w:highlight w:val="none"/>
                <w:lang w:val="en-US" w:eastAsia="zh-CN"/>
              </w:rPr>
            </w:pPr>
            <w:r>
              <w:rPr>
                <w:rFonts w:hint="eastAsia" w:ascii="宋体" w:hAnsi="宋体" w:cs="宋体"/>
                <w:sz w:val="24"/>
                <w:highlight w:val="none"/>
              </w:rPr>
              <w:t>严重违反约定条款，扣8-10</w:t>
            </w:r>
            <w:r>
              <w:rPr>
                <w:rFonts w:hint="eastAsia" w:ascii="宋体" w:hAnsi="宋体" w:cs="宋体"/>
                <w:sz w:val="24"/>
                <w:highlight w:val="none"/>
                <w:lang w:eastAsia="zh-CN"/>
              </w:rPr>
              <w:t>分；</w:t>
            </w:r>
            <w:r>
              <w:rPr>
                <w:rFonts w:hint="eastAsia" w:ascii="宋体" w:hAnsi="宋体" w:cs="宋体"/>
                <w:sz w:val="24"/>
                <w:highlight w:val="none"/>
              </w:rPr>
              <w:t>偏离约定条款，扣5-7</w:t>
            </w:r>
            <w:r>
              <w:rPr>
                <w:rFonts w:hint="eastAsia" w:ascii="宋体" w:hAnsi="宋体" w:cs="宋体"/>
                <w:sz w:val="24"/>
                <w:highlight w:val="none"/>
                <w:lang w:eastAsia="zh-CN"/>
              </w:rPr>
              <w:t>分；</w:t>
            </w:r>
            <w:r>
              <w:rPr>
                <w:rFonts w:hint="eastAsia" w:ascii="宋体" w:hAnsi="宋体" w:cs="宋体"/>
                <w:sz w:val="24"/>
                <w:highlight w:val="none"/>
              </w:rPr>
              <w:t>基本履行条款，扣</w:t>
            </w:r>
            <w:r>
              <w:rPr>
                <w:rFonts w:hint="eastAsia" w:ascii="宋体" w:hAnsi="宋体" w:cs="宋体"/>
                <w:sz w:val="24"/>
                <w:highlight w:val="none"/>
                <w:lang w:val="en-US" w:eastAsia="zh-CN"/>
              </w:rPr>
              <w:t>0-4分。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763" w:type="dxa"/>
            <w:gridSpan w:val="2"/>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合计</w:t>
            </w:r>
          </w:p>
        </w:tc>
        <w:tc>
          <w:tcPr>
            <w:tcW w:w="850" w:type="dxa"/>
            <w:vAlign w:val="center"/>
          </w:tcPr>
          <w:p>
            <w:pPr>
              <w:autoSpaceDE w:val="0"/>
              <w:autoSpaceDN w:val="0"/>
              <w:adjustRightInd w:val="0"/>
              <w:ind w:right="-107" w:rightChars="-51"/>
              <w:jc w:val="center"/>
              <w:rPr>
                <w:rFonts w:ascii="宋体" w:hAnsi="宋体" w:cs="宋体"/>
                <w:sz w:val="24"/>
                <w:highlight w:val="none"/>
              </w:rPr>
            </w:pPr>
            <w:r>
              <w:rPr>
                <w:rFonts w:ascii="宋体" w:hAnsi="宋体" w:cs="宋体"/>
                <w:sz w:val="24"/>
                <w:highlight w:val="none"/>
              </w:rPr>
              <w:t>100分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418" w:type="dxa"/>
            <w:gridSpan w:val="4"/>
            <w:vAlign w:val="center"/>
          </w:tcPr>
          <w:p>
            <w:pPr>
              <w:autoSpaceDE w:val="0"/>
              <w:autoSpaceDN w:val="0"/>
              <w:adjustRightInd w:val="0"/>
              <w:ind w:left="720" w:hanging="720" w:hangingChars="300"/>
              <w:jc w:val="left"/>
              <w:rPr>
                <w:rFonts w:hint="eastAsia" w:ascii="宋体" w:hAnsi="宋体" w:cs="宋体"/>
                <w:sz w:val="24"/>
                <w:highlight w:val="none"/>
                <w:lang w:eastAsia="zh-CN"/>
              </w:rPr>
            </w:pPr>
            <w:r>
              <w:rPr>
                <w:rFonts w:hint="eastAsia" w:ascii="宋体" w:hAnsi="宋体" w:cs="宋体"/>
                <w:sz w:val="24"/>
                <w:highlight w:val="none"/>
                <w:lang w:eastAsia="zh-CN"/>
              </w:rPr>
              <w:t>备注：</w:t>
            </w:r>
          </w:p>
          <w:p>
            <w:pPr>
              <w:numPr>
                <w:ilvl w:val="0"/>
                <w:numId w:val="5"/>
              </w:numPr>
              <w:autoSpaceDE w:val="0"/>
              <w:autoSpaceDN w:val="0"/>
              <w:adjustRightInd w:val="0"/>
              <w:ind w:left="720" w:hanging="720" w:hangingChars="300"/>
              <w:jc w:val="left"/>
              <w:rPr>
                <w:rFonts w:hint="eastAsia" w:ascii="宋体" w:hAnsi="宋体" w:cs="宋体"/>
                <w:sz w:val="24"/>
                <w:highlight w:val="none"/>
                <w:lang w:val="en-US" w:eastAsia="zh-CN"/>
              </w:rPr>
            </w:pPr>
            <w:r>
              <w:rPr>
                <w:rFonts w:ascii="宋体" w:hAnsi="宋体" w:cs="宋体"/>
                <w:sz w:val="24"/>
                <w:highlight w:val="none"/>
              </w:rPr>
              <w:t>当评分分值在75分（不含）以下</w:t>
            </w:r>
            <w:r>
              <w:rPr>
                <w:rFonts w:hint="eastAsia" w:ascii="宋体" w:hAnsi="宋体" w:cs="宋体"/>
                <w:sz w:val="24"/>
                <w:highlight w:val="none"/>
                <w:lang w:eastAsia="zh-CN"/>
              </w:rPr>
              <w:t>，采购人可对中标人进行罚款，每扣减一分，相应扣罚</w:t>
            </w:r>
            <w:r>
              <w:rPr>
                <w:rFonts w:hint="eastAsia" w:ascii="宋体" w:hAnsi="宋体" w:cs="宋体"/>
                <w:sz w:val="24"/>
                <w:highlight w:val="none"/>
                <w:lang w:val="en-US" w:eastAsia="zh-CN"/>
              </w:rPr>
              <w:t>100元。（例如：评分分值为60分时，可扣罚4000元）</w:t>
            </w:r>
          </w:p>
          <w:p>
            <w:pPr>
              <w:numPr>
                <w:ilvl w:val="0"/>
                <w:numId w:val="5"/>
              </w:numPr>
              <w:autoSpaceDE w:val="0"/>
              <w:autoSpaceDN w:val="0"/>
              <w:adjustRightInd w:val="0"/>
              <w:ind w:left="720" w:hanging="720" w:hangingChars="300"/>
              <w:jc w:val="left"/>
              <w:rPr>
                <w:rFonts w:hint="default" w:ascii="宋体" w:hAnsi="宋体" w:cs="宋体"/>
                <w:sz w:val="24"/>
                <w:highlight w:val="none"/>
                <w:lang w:val="en-US" w:eastAsia="zh-CN"/>
              </w:rPr>
            </w:pPr>
            <w:r>
              <w:rPr>
                <w:rFonts w:hint="eastAsia" w:ascii="宋体" w:hAnsi="宋体"/>
                <w:sz w:val="24"/>
                <w:highlight w:val="none"/>
                <w:lang w:eastAsia="zh-CN"/>
              </w:rPr>
              <w:t>对充电站存在的问题，中标人</w:t>
            </w:r>
            <w:r>
              <w:rPr>
                <w:rFonts w:hint="eastAsia" w:ascii="宋体" w:hAnsi="宋体"/>
                <w:sz w:val="24"/>
                <w:highlight w:val="none"/>
              </w:rPr>
              <w:t>逾期不</w:t>
            </w:r>
            <w:r>
              <w:rPr>
                <w:rFonts w:hint="eastAsia" w:ascii="宋体" w:hAnsi="宋体"/>
                <w:sz w:val="24"/>
                <w:highlight w:val="none"/>
                <w:lang w:eastAsia="zh-CN"/>
              </w:rPr>
              <w:t>处理的</w:t>
            </w:r>
            <w:r>
              <w:rPr>
                <w:rFonts w:hint="eastAsia" w:ascii="宋体" w:hAnsi="宋体"/>
                <w:sz w:val="24"/>
                <w:highlight w:val="none"/>
              </w:rPr>
              <w:t>，</w:t>
            </w:r>
            <w:r>
              <w:rPr>
                <w:rFonts w:hint="eastAsia" w:ascii="宋体" w:hAnsi="宋体"/>
                <w:sz w:val="24"/>
                <w:highlight w:val="none"/>
                <w:lang w:eastAsia="zh-CN"/>
              </w:rPr>
              <w:t>采购人可先行处理</w:t>
            </w:r>
            <w:r>
              <w:rPr>
                <w:rFonts w:hint="eastAsia" w:ascii="宋体" w:hAnsi="宋体"/>
                <w:sz w:val="24"/>
                <w:highlight w:val="none"/>
              </w:rPr>
              <w:t>，所有费用由</w:t>
            </w:r>
            <w:r>
              <w:rPr>
                <w:rFonts w:hint="eastAsia" w:ascii="宋体" w:hAnsi="宋体"/>
                <w:sz w:val="24"/>
                <w:highlight w:val="none"/>
                <w:lang w:eastAsia="zh-CN"/>
              </w:rPr>
              <w:t>中标人</w:t>
            </w:r>
            <w:r>
              <w:rPr>
                <w:rFonts w:hint="eastAsia" w:ascii="宋体" w:hAnsi="宋体"/>
                <w:sz w:val="24"/>
                <w:highlight w:val="none"/>
              </w:rPr>
              <w:t>承担。</w:t>
            </w:r>
            <w:r>
              <w:rPr>
                <w:rFonts w:hint="eastAsia" w:ascii="宋体" w:hAnsi="宋体"/>
                <w:sz w:val="24"/>
                <w:highlight w:val="none"/>
                <w:lang w:eastAsia="zh-CN"/>
              </w:rPr>
              <w:t>采购人可根据相应的考核内容</w:t>
            </w:r>
            <w:r>
              <w:rPr>
                <w:rFonts w:hint="eastAsia" w:ascii="宋体" w:hAnsi="宋体" w:cs="宋体"/>
                <w:sz w:val="24"/>
                <w:highlight w:val="none"/>
                <w:lang w:eastAsia="zh-CN"/>
              </w:rPr>
              <w:t>对中标人进行罚款，每扣减一分，相应扣罚</w:t>
            </w:r>
            <w:r>
              <w:rPr>
                <w:rFonts w:hint="eastAsia" w:ascii="宋体" w:hAnsi="宋体" w:cs="宋体"/>
                <w:sz w:val="24"/>
                <w:highlight w:val="none"/>
                <w:lang w:val="en-US" w:eastAsia="zh-CN"/>
              </w:rPr>
              <w:t>100元。</w:t>
            </w:r>
          </w:p>
        </w:tc>
      </w:tr>
    </w:tbl>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16.违约责任</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16.1.如果本</w:t>
      </w:r>
      <w:r>
        <w:rPr>
          <w:rFonts w:hint="eastAsia" w:ascii="宋体" w:hAnsi="宋体" w:cs="宋体"/>
          <w:sz w:val="24"/>
          <w:highlight w:val="none"/>
          <w:lang w:eastAsia="zh-CN"/>
        </w:rPr>
        <w:t>协议</w:t>
      </w:r>
      <w:r>
        <w:rPr>
          <w:rFonts w:ascii="宋体" w:hAnsi="宋体" w:cs="宋体"/>
          <w:sz w:val="24"/>
          <w:highlight w:val="none"/>
        </w:rPr>
        <w:t>双方中的任何一方未按照本</w:t>
      </w:r>
      <w:r>
        <w:rPr>
          <w:rFonts w:hint="eastAsia" w:ascii="宋体" w:hAnsi="宋体" w:cs="宋体"/>
          <w:sz w:val="24"/>
          <w:highlight w:val="none"/>
          <w:lang w:eastAsia="zh-CN"/>
        </w:rPr>
        <w:t>协议</w:t>
      </w:r>
      <w:r>
        <w:rPr>
          <w:rFonts w:ascii="宋体" w:hAnsi="宋体" w:cs="宋体"/>
          <w:sz w:val="24"/>
          <w:highlight w:val="none"/>
        </w:rPr>
        <w:t>的约定履行义务，则构成违约，违约方应赔偿对方因其违约行为而受到的全部损失。</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16.2.本</w:t>
      </w:r>
      <w:r>
        <w:rPr>
          <w:rFonts w:hint="eastAsia" w:ascii="宋体" w:hAnsi="宋体" w:cs="宋体"/>
          <w:sz w:val="24"/>
          <w:highlight w:val="none"/>
          <w:lang w:eastAsia="zh-CN"/>
        </w:rPr>
        <w:t>协议</w:t>
      </w:r>
      <w:r>
        <w:rPr>
          <w:rFonts w:ascii="宋体" w:hAnsi="宋体" w:cs="宋体"/>
          <w:sz w:val="24"/>
          <w:highlight w:val="none"/>
        </w:rPr>
        <w:t>一方就另一方的任何违约行为给予的任何宽限或延缓行使根据法律</w:t>
      </w:r>
      <w:r>
        <w:rPr>
          <w:rFonts w:hint="eastAsia" w:ascii="宋体" w:hAnsi="宋体" w:cs="宋体"/>
          <w:sz w:val="24"/>
          <w:highlight w:val="none"/>
          <w:lang w:val="en-US" w:eastAsia="zh-CN"/>
        </w:rPr>
        <w:t>规定</w:t>
      </w:r>
      <w:r>
        <w:rPr>
          <w:rFonts w:ascii="宋体" w:hAnsi="宋体" w:cs="宋体"/>
          <w:sz w:val="24"/>
          <w:highlight w:val="none"/>
        </w:rPr>
        <w:t>或本</w:t>
      </w:r>
      <w:r>
        <w:rPr>
          <w:rFonts w:hint="eastAsia" w:ascii="宋体" w:hAnsi="宋体" w:cs="宋体"/>
          <w:sz w:val="24"/>
          <w:highlight w:val="none"/>
          <w:lang w:eastAsia="zh-CN"/>
        </w:rPr>
        <w:t>协议</w:t>
      </w:r>
      <w:r>
        <w:rPr>
          <w:rFonts w:hint="eastAsia" w:ascii="宋体" w:hAnsi="宋体" w:cs="宋体"/>
          <w:sz w:val="24"/>
          <w:highlight w:val="none"/>
          <w:lang w:val="en-US" w:eastAsia="zh-CN"/>
        </w:rPr>
        <w:t>约定</w:t>
      </w:r>
      <w:r>
        <w:rPr>
          <w:rFonts w:ascii="宋体" w:hAnsi="宋体" w:cs="宋体"/>
          <w:sz w:val="24"/>
          <w:highlight w:val="none"/>
        </w:rPr>
        <w:t>享有的权利，不被视为该方对自身权利的放弃。</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16.3</w:t>
      </w:r>
      <w:r>
        <w:rPr>
          <w:rFonts w:hint="eastAsia" w:ascii="宋体" w:hAnsi="宋体" w:cs="宋体"/>
          <w:sz w:val="24"/>
          <w:highlight w:val="none"/>
          <w:lang w:val="en-US" w:eastAsia="zh-CN"/>
        </w:rPr>
        <w:t>采购</w:t>
      </w:r>
      <w:r>
        <w:rPr>
          <w:rFonts w:ascii="宋体" w:hAnsi="宋体" w:cs="宋体"/>
          <w:sz w:val="24"/>
          <w:highlight w:val="none"/>
        </w:rPr>
        <w:t>人对</w:t>
      </w:r>
      <w:r>
        <w:rPr>
          <w:rFonts w:hint="eastAsia" w:ascii="宋体" w:hAnsi="宋体" w:cs="宋体"/>
          <w:sz w:val="24"/>
          <w:highlight w:val="none"/>
          <w:lang w:val="en-US" w:eastAsia="zh-CN"/>
        </w:rPr>
        <w:t>中标</w:t>
      </w:r>
      <w:r>
        <w:rPr>
          <w:rFonts w:ascii="宋体" w:hAnsi="宋体" w:cs="宋体"/>
          <w:sz w:val="24"/>
          <w:highlight w:val="none"/>
        </w:rPr>
        <w:t>人的充电服务费</w:t>
      </w:r>
      <w:r>
        <w:rPr>
          <w:rFonts w:hint="eastAsia" w:ascii="宋体" w:hAnsi="宋体" w:cs="宋体"/>
          <w:sz w:val="24"/>
          <w:highlight w:val="none"/>
          <w:lang w:eastAsia="zh-CN"/>
        </w:rPr>
        <w:t>总额</w:t>
      </w:r>
      <w:r>
        <w:rPr>
          <w:rFonts w:ascii="宋体" w:hAnsi="宋体" w:cs="宋体"/>
          <w:sz w:val="24"/>
          <w:highlight w:val="none"/>
        </w:rPr>
        <w:t>核对工作中如发现</w:t>
      </w:r>
      <w:r>
        <w:rPr>
          <w:rFonts w:hint="eastAsia" w:ascii="宋体" w:hAnsi="宋体" w:cs="宋体"/>
          <w:sz w:val="24"/>
          <w:highlight w:val="none"/>
          <w:lang w:val="en-US" w:eastAsia="zh-CN"/>
        </w:rPr>
        <w:t>中标</w:t>
      </w:r>
      <w:r>
        <w:rPr>
          <w:rFonts w:ascii="宋体" w:hAnsi="宋体" w:cs="宋体"/>
          <w:sz w:val="24"/>
          <w:highlight w:val="none"/>
        </w:rPr>
        <w:t>人故意或恶意漏报、少报，</w:t>
      </w:r>
      <w:r>
        <w:rPr>
          <w:rFonts w:hint="eastAsia" w:ascii="宋体" w:hAnsi="宋体" w:cs="宋体"/>
          <w:sz w:val="24"/>
          <w:highlight w:val="none"/>
          <w:lang w:val="en-US" w:eastAsia="zh-CN"/>
        </w:rPr>
        <w:t>中标</w:t>
      </w:r>
      <w:r>
        <w:rPr>
          <w:rFonts w:ascii="宋体" w:hAnsi="宋体" w:cs="宋体"/>
          <w:sz w:val="24"/>
          <w:highlight w:val="none"/>
        </w:rPr>
        <w:t>人将</w:t>
      </w:r>
      <w:r>
        <w:rPr>
          <w:rFonts w:ascii="宋体" w:hAnsi="宋体" w:cs="宋体"/>
          <w:sz w:val="24"/>
          <w:szCs w:val="22"/>
          <w:highlight w:val="none"/>
        </w:rPr>
        <w:t>差额部分</w:t>
      </w:r>
      <w:r>
        <w:rPr>
          <w:rFonts w:hint="eastAsia" w:ascii="宋体" w:hAnsi="宋体" w:cs="宋体"/>
          <w:sz w:val="24"/>
          <w:szCs w:val="22"/>
          <w:highlight w:val="none"/>
          <w:lang w:val="en-US" w:eastAsia="zh-CN"/>
        </w:rPr>
        <w:t>五倍赔偿予</w:t>
      </w:r>
      <w:r>
        <w:rPr>
          <w:rFonts w:hint="eastAsia" w:ascii="宋体" w:hAnsi="宋体" w:cs="宋体"/>
          <w:sz w:val="24"/>
          <w:highlight w:val="none"/>
          <w:lang w:val="en-US" w:eastAsia="zh-CN"/>
        </w:rPr>
        <w:t>采购</w:t>
      </w:r>
      <w:r>
        <w:rPr>
          <w:rFonts w:ascii="宋体" w:hAnsi="宋体" w:cs="宋体"/>
          <w:sz w:val="24"/>
          <w:highlight w:val="none"/>
        </w:rPr>
        <w:t>人。</w:t>
      </w:r>
    </w:p>
    <w:p>
      <w:pPr>
        <w:spacing w:before="120" w:beforeLines="50" w:after="120" w:afterLines="50" w:line="400" w:lineRule="exact"/>
        <w:ind w:right="105" w:rightChars="50" w:firstLine="480" w:firstLineChars="200"/>
        <w:rPr>
          <w:rFonts w:ascii="宋体" w:hAnsi="宋体" w:cs="宋体"/>
          <w:sz w:val="24"/>
          <w:highlight w:val="none"/>
        </w:rPr>
      </w:pPr>
      <w:r>
        <w:rPr>
          <w:rFonts w:hint="eastAsia" w:ascii="宋体" w:hAnsi="宋体" w:cs="宋体"/>
          <w:sz w:val="24"/>
          <w:highlight w:val="none"/>
          <w:lang w:val="en-US" w:eastAsia="zh-CN"/>
        </w:rPr>
        <w:t>3.16.4</w:t>
      </w:r>
      <w:r>
        <w:rPr>
          <w:rFonts w:ascii="宋体" w:hAnsi="宋体" w:cs="宋体"/>
          <w:sz w:val="24"/>
          <w:highlight w:val="none"/>
        </w:rPr>
        <w:t>若</w:t>
      </w:r>
      <w:r>
        <w:rPr>
          <w:rFonts w:hint="eastAsia" w:ascii="宋体" w:hAnsi="宋体" w:cs="宋体"/>
          <w:sz w:val="24"/>
          <w:highlight w:val="none"/>
          <w:lang w:val="en-US" w:eastAsia="zh-CN"/>
        </w:rPr>
        <w:t>中标</w:t>
      </w:r>
      <w:r>
        <w:rPr>
          <w:rFonts w:ascii="宋体" w:hAnsi="宋体" w:cs="宋体"/>
          <w:sz w:val="24"/>
          <w:highlight w:val="none"/>
        </w:rPr>
        <w:t>人逾期支付</w:t>
      </w:r>
      <w:r>
        <w:rPr>
          <w:rFonts w:hint="eastAsia" w:ascii="宋体" w:hAnsi="宋体" w:cs="宋体"/>
          <w:sz w:val="24"/>
          <w:highlight w:val="none"/>
          <w:lang w:val="en-US" w:eastAsia="zh-CN"/>
        </w:rPr>
        <w:t>充电服务费收益分成的</w:t>
      </w:r>
      <w:r>
        <w:rPr>
          <w:rFonts w:ascii="宋体" w:hAnsi="宋体" w:cs="宋体"/>
          <w:sz w:val="24"/>
          <w:highlight w:val="none"/>
        </w:rPr>
        <w:t>，则</w:t>
      </w:r>
      <w:r>
        <w:rPr>
          <w:rFonts w:hint="eastAsia" w:ascii="宋体" w:hAnsi="宋体" w:cs="宋体"/>
          <w:sz w:val="24"/>
          <w:highlight w:val="none"/>
          <w:lang w:val="en-US" w:eastAsia="zh-CN"/>
        </w:rPr>
        <w:t>每日</w:t>
      </w:r>
      <w:r>
        <w:rPr>
          <w:rFonts w:ascii="宋体" w:hAnsi="宋体" w:cs="宋体"/>
          <w:sz w:val="24"/>
          <w:highlight w:val="none"/>
        </w:rPr>
        <w:t>按应付总金额的</w:t>
      </w:r>
      <w:r>
        <w:rPr>
          <w:rFonts w:hint="eastAsia" w:ascii="宋体" w:hAnsi="宋体" w:cs="宋体"/>
          <w:sz w:val="24"/>
          <w:highlight w:val="none"/>
          <w:lang w:eastAsia="zh-CN"/>
        </w:rPr>
        <w:t>千分之一</w:t>
      </w:r>
      <w:r>
        <w:rPr>
          <w:rFonts w:ascii="宋体" w:hAnsi="宋体" w:cs="宋体"/>
          <w:sz w:val="24"/>
          <w:highlight w:val="none"/>
        </w:rPr>
        <w:t>作为违约金赔偿给</w:t>
      </w:r>
      <w:r>
        <w:rPr>
          <w:rFonts w:hint="eastAsia" w:ascii="宋体" w:hAnsi="宋体" w:cs="宋体"/>
          <w:sz w:val="24"/>
          <w:highlight w:val="none"/>
          <w:lang w:val="en-US" w:eastAsia="zh-CN"/>
        </w:rPr>
        <w:t>采购</w:t>
      </w:r>
      <w:r>
        <w:rPr>
          <w:rFonts w:ascii="宋体" w:hAnsi="宋体" w:cs="宋体"/>
          <w:sz w:val="24"/>
          <w:highlight w:val="none"/>
        </w:rPr>
        <w:t>人。</w:t>
      </w:r>
      <w:r>
        <w:rPr>
          <w:rFonts w:hint="eastAsia" w:ascii="宋体" w:hAnsi="宋体" w:cs="宋体"/>
          <w:sz w:val="24"/>
          <w:highlight w:val="none"/>
          <w:lang w:val="en-US" w:eastAsia="zh-CN"/>
        </w:rPr>
        <w:t>中标</w:t>
      </w:r>
      <w:r>
        <w:rPr>
          <w:rFonts w:ascii="宋体" w:hAnsi="宋体" w:cs="宋体"/>
          <w:sz w:val="24"/>
          <w:highlight w:val="none"/>
        </w:rPr>
        <w:t>人</w:t>
      </w:r>
      <w:r>
        <w:rPr>
          <w:rFonts w:hint="eastAsia" w:ascii="宋体" w:hAnsi="宋体" w:cs="宋体"/>
          <w:sz w:val="24"/>
          <w:highlight w:val="none"/>
        </w:rPr>
        <w:t>于每月28日前（遇</w:t>
      </w:r>
      <w:r>
        <w:rPr>
          <w:rFonts w:hint="eastAsia" w:ascii="宋体" w:hAnsi="宋体" w:cs="宋体"/>
          <w:sz w:val="24"/>
          <w:highlight w:val="none"/>
          <w:lang w:eastAsia="zh-CN"/>
        </w:rPr>
        <w:t>法定</w:t>
      </w:r>
      <w:r>
        <w:rPr>
          <w:rFonts w:hint="eastAsia" w:ascii="宋体" w:hAnsi="宋体" w:cs="宋体"/>
          <w:sz w:val="24"/>
          <w:highlight w:val="none"/>
        </w:rPr>
        <w:t>节假日顺延）将上月收益分成支付给</w:t>
      </w:r>
      <w:r>
        <w:rPr>
          <w:rFonts w:hint="eastAsia" w:ascii="宋体" w:hAnsi="宋体" w:cs="宋体"/>
          <w:sz w:val="24"/>
          <w:highlight w:val="none"/>
          <w:lang w:eastAsia="zh-CN"/>
        </w:rPr>
        <w:t>采购人</w:t>
      </w:r>
      <w:r>
        <w:rPr>
          <w:rFonts w:ascii="宋体" w:hAnsi="宋体" w:cs="宋体"/>
          <w:sz w:val="24"/>
          <w:highlight w:val="none"/>
        </w:rPr>
        <w:t>。</w:t>
      </w:r>
    </w:p>
    <w:p>
      <w:pPr>
        <w:spacing w:before="120" w:beforeLines="50" w:after="120" w:afterLines="50" w:line="400" w:lineRule="exact"/>
        <w:ind w:right="105" w:rightChars="50"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3.16.5 因乙方的原因、过错导致合同解除、终止或因考核不达标而不能再续签下一期服务协议的，甲方有权没收乙方的履约保证金。</w:t>
      </w:r>
    </w:p>
    <w:p>
      <w:pPr>
        <w:pStyle w:val="3"/>
        <w:spacing w:line="360" w:lineRule="auto"/>
        <w:rPr>
          <w:rFonts w:ascii="宋体" w:hAnsi="宋体" w:cs="宋体"/>
          <w:sz w:val="44"/>
          <w:highlight w:val="none"/>
        </w:rPr>
      </w:pPr>
      <w:r>
        <w:rPr>
          <w:rFonts w:ascii="宋体" w:hAnsi="宋体" w:cs="宋体"/>
          <w:sz w:val="24"/>
          <w:highlight w:val="none"/>
        </w:rPr>
        <w:br w:type="page"/>
      </w:r>
      <w:bookmarkStart w:id="31" w:name="_Toc6192"/>
      <w:r>
        <w:rPr>
          <w:rFonts w:ascii="宋体" w:hAnsi="宋体" w:cs="宋体"/>
          <w:sz w:val="44"/>
          <w:highlight w:val="none"/>
          <w:lang w:val="zh-CN"/>
        </w:rPr>
        <w:t>第</w:t>
      </w:r>
      <w:r>
        <w:rPr>
          <w:rFonts w:hint="eastAsia" w:ascii="宋体" w:hAnsi="宋体" w:cs="宋体"/>
          <w:sz w:val="44"/>
          <w:highlight w:val="none"/>
          <w:lang w:val="zh-CN"/>
        </w:rPr>
        <w:t>三</w:t>
      </w:r>
      <w:r>
        <w:rPr>
          <w:rFonts w:ascii="宋体" w:hAnsi="宋体" w:cs="宋体"/>
          <w:sz w:val="44"/>
          <w:highlight w:val="none"/>
          <w:lang w:val="zh-CN"/>
        </w:rPr>
        <w:t>部分　</w:t>
      </w:r>
      <w:r>
        <w:rPr>
          <w:rFonts w:ascii="宋体" w:hAnsi="宋体" w:cs="宋体"/>
          <w:sz w:val="44"/>
          <w:highlight w:val="none"/>
        </w:rPr>
        <w:t>投标人须知</w:t>
      </w:r>
      <w:bookmarkEnd w:id="31"/>
    </w:p>
    <w:p>
      <w:pPr>
        <w:pageBreakBefore/>
        <w:spacing w:line="360" w:lineRule="auto"/>
        <w:jc w:val="center"/>
        <w:rPr>
          <w:rFonts w:ascii="宋体" w:hAnsi="宋体" w:cs="宋体"/>
          <w:b/>
          <w:bCs/>
          <w:sz w:val="32"/>
          <w:highlight w:val="none"/>
        </w:rPr>
        <w:sectPr>
          <w:headerReference r:id="rId14" w:type="first"/>
          <w:pgSz w:w="11906" w:h="16838"/>
          <w:pgMar w:top="1440" w:right="1469" w:bottom="1440" w:left="1440" w:header="851" w:footer="992" w:gutter="0"/>
          <w:cols w:space="720" w:num="1"/>
          <w:titlePg/>
          <w:docGrid w:linePitch="462" w:charSpace="0"/>
        </w:sectPr>
      </w:pPr>
    </w:p>
    <w:p>
      <w:pPr>
        <w:pageBreakBefore/>
        <w:spacing w:line="360" w:lineRule="auto"/>
        <w:jc w:val="center"/>
        <w:rPr>
          <w:rFonts w:ascii="宋体" w:hAnsi="宋体" w:cs="宋体"/>
          <w:b/>
          <w:bCs/>
          <w:sz w:val="32"/>
          <w:highlight w:val="none"/>
        </w:rPr>
      </w:pPr>
      <w:r>
        <w:rPr>
          <w:rFonts w:ascii="宋体" w:hAnsi="宋体" w:cs="宋体"/>
          <w:b/>
          <w:bCs/>
          <w:sz w:val="32"/>
          <w:highlight w:val="none"/>
        </w:rPr>
        <w:t>投标人须知一览表</w:t>
      </w:r>
    </w:p>
    <w:tbl>
      <w:tblPr>
        <w:tblStyle w:val="35"/>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2364"/>
        <w:gridCol w:w="6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182" w:type="dxa"/>
            <w:shd w:val="clear" w:color="auto" w:fill="F3F3F3"/>
            <w:vAlign w:val="center"/>
          </w:tcPr>
          <w:p>
            <w:pPr>
              <w:spacing w:line="360" w:lineRule="auto"/>
              <w:jc w:val="center"/>
              <w:rPr>
                <w:rFonts w:ascii="宋体" w:hAnsi="宋体" w:cs="宋体"/>
                <w:b/>
                <w:sz w:val="24"/>
                <w:highlight w:val="none"/>
              </w:rPr>
            </w:pPr>
            <w:r>
              <w:rPr>
                <w:rFonts w:ascii="宋体" w:hAnsi="宋体" w:cs="宋体"/>
                <w:b/>
                <w:sz w:val="24"/>
                <w:highlight w:val="none"/>
              </w:rPr>
              <w:t>序号</w:t>
            </w:r>
          </w:p>
        </w:tc>
        <w:tc>
          <w:tcPr>
            <w:tcW w:w="2364" w:type="dxa"/>
            <w:shd w:val="clear" w:color="auto" w:fill="F3F3F3"/>
            <w:vAlign w:val="center"/>
          </w:tcPr>
          <w:p>
            <w:pPr>
              <w:spacing w:line="360" w:lineRule="auto"/>
              <w:jc w:val="center"/>
              <w:rPr>
                <w:rFonts w:ascii="宋体" w:hAnsi="宋体" w:cs="宋体"/>
                <w:b/>
                <w:sz w:val="24"/>
                <w:highlight w:val="none"/>
              </w:rPr>
            </w:pPr>
            <w:r>
              <w:rPr>
                <w:rFonts w:ascii="宋体" w:hAnsi="宋体" w:cs="宋体"/>
                <w:b/>
                <w:sz w:val="24"/>
                <w:highlight w:val="none"/>
              </w:rPr>
              <w:t>项  目</w:t>
            </w:r>
          </w:p>
        </w:tc>
        <w:tc>
          <w:tcPr>
            <w:tcW w:w="6552" w:type="dxa"/>
            <w:shd w:val="clear" w:color="auto" w:fill="F3F3F3"/>
            <w:vAlign w:val="center"/>
          </w:tcPr>
          <w:p>
            <w:pPr>
              <w:spacing w:line="360" w:lineRule="auto"/>
              <w:jc w:val="center"/>
              <w:rPr>
                <w:rFonts w:ascii="宋体" w:hAnsi="宋体" w:cs="宋体"/>
                <w:b/>
                <w:sz w:val="24"/>
                <w:highlight w:val="none"/>
              </w:rPr>
            </w:pPr>
            <w:r>
              <w:rPr>
                <w:rFonts w:ascii="宋体" w:hAnsi="宋体" w:cs="宋体"/>
                <w:b/>
                <w:sz w:val="24"/>
                <w:highlight w:val="none"/>
              </w:rPr>
              <w:t>主  要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ascii="宋体" w:hAnsi="宋体" w:cs="宋体"/>
                <w:sz w:val="24"/>
                <w:highlight w:val="none"/>
              </w:rPr>
            </w:pPr>
            <w:r>
              <w:rPr>
                <w:rFonts w:ascii="宋体" w:hAnsi="宋体" w:cs="宋体"/>
                <w:sz w:val="24"/>
                <w:highlight w:val="none"/>
              </w:rPr>
              <w:t>采购预算</w:t>
            </w:r>
          </w:p>
        </w:tc>
        <w:tc>
          <w:tcPr>
            <w:tcW w:w="6552" w:type="dxa"/>
            <w:vAlign w:val="center"/>
          </w:tcPr>
          <w:p>
            <w:pPr>
              <w:spacing w:line="360" w:lineRule="auto"/>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ascii="宋体" w:hAnsi="宋体" w:cs="宋体"/>
                <w:sz w:val="24"/>
                <w:highlight w:val="none"/>
              </w:rPr>
            </w:pPr>
            <w:r>
              <w:rPr>
                <w:rFonts w:ascii="宋体" w:hAnsi="宋体" w:cs="宋体"/>
                <w:sz w:val="24"/>
                <w:highlight w:val="none"/>
              </w:rPr>
              <w:t>投标上</w:t>
            </w:r>
            <w:r>
              <w:rPr>
                <w:rFonts w:hint="eastAsia" w:ascii="宋体" w:hAnsi="宋体" w:cs="宋体"/>
                <w:sz w:val="24"/>
                <w:highlight w:val="none"/>
                <w:lang w:eastAsia="zh-CN"/>
              </w:rPr>
              <w:t>下</w:t>
            </w:r>
            <w:r>
              <w:rPr>
                <w:rFonts w:ascii="宋体" w:hAnsi="宋体" w:cs="宋体"/>
                <w:sz w:val="24"/>
                <w:highlight w:val="none"/>
              </w:rPr>
              <w:t>限</w:t>
            </w:r>
          </w:p>
        </w:tc>
        <w:tc>
          <w:tcPr>
            <w:tcW w:w="6552" w:type="dxa"/>
            <w:vAlign w:val="center"/>
          </w:tcPr>
          <w:p>
            <w:pPr>
              <w:spacing w:line="360" w:lineRule="auto"/>
              <w:jc w:val="both"/>
              <w:rPr>
                <w:rFonts w:ascii="宋体" w:hAnsi="宋体" w:cs="宋体"/>
                <w:sz w:val="24"/>
                <w:highlight w:val="none"/>
              </w:rPr>
            </w:pPr>
            <w:r>
              <w:rPr>
                <w:rFonts w:hint="eastAsia" w:ascii="宋体" w:hAnsi="宋体" w:cs="宋体"/>
                <w:sz w:val="24"/>
                <w:highlight w:val="none"/>
                <w:lang w:eastAsia="zh-CN"/>
              </w:rPr>
              <w:t>充电站收益分成比例报价下限为</w:t>
            </w:r>
            <w:r>
              <w:rPr>
                <w:rFonts w:hint="eastAsia" w:ascii="宋体" w:hAnsi="宋体" w:cs="宋体"/>
                <w:sz w:val="24"/>
                <w:highlight w:val="none"/>
                <w:lang w:val="en-US" w:eastAsia="zh-CN"/>
              </w:rPr>
              <w:t>20</w:t>
            </w:r>
            <w:r>
              <w:rPr>
                <w:rFonts w:hint="eastAsia" w:ascii="宋体" w:hAnsi="宋体" w:cs="宋体"/>
                <w:sz w:val="24"/>
                <w:highlight w:val="none"/>
                <w:lang w:eastAsia="zh-CN"/>
              </w:rPr>
              <w:t>%，上限为</w:t>
            </w:r>
            <w:r>
              <w:rPr>
                <w:rFonts w:hint="eastAsia" w:ascii="宋体" w:hAnsi="宋体" w:cs="宋体"/>
                <w:sz w:val="24"/>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ascii="宋体" w:hAnsi="宋体" w:cs="宋体"/>
                <w:sz w:val="24"/>
                <w:highlight w:val="none"/>
              </w:rPr>
            </w:pPr>
            <w:r>
              <w:rPr>
                <w:rFonts w:ascii="宋体" w:hAnsi="宋体" w:cs="宋体"/>
                <w:sz w:val="24"/>
                <w:highlight w:val="none"/>
              </w:rPr>
              <w:t>投标保证金递交要求</w:t>
            </w:r>
          </w:p>
        </w:tc>
        <w:tc>
          <w:tcPr>
            <w:tcW w:w="6552" w:type="dxa"/>
            <w:vAlign w:val="top"/>
          </w:tcPr>
          <w:p>
            <w:pPr>
              <w:spacing w:line="400" w:lineRule="exact"/>
              <w:jc w:val="left"/>
              <w:rPr>
                <w:rFonts w:ascii="宋体" w:hAnsi="宋体" w:cs="宋体"/>
                <w:sz w:val="24"/>
                <w:highlight w:val="none"/>
              </w:rPr>
            </w:pPr>
            <w:r>
              <w:rPr>
                <w:rFonts w:ascii="宋体" w:hAnsi="宋体" w:cs="宋体"/>
                <w:sz w:val="24"/>
                <w:highlight w:val="none"/>
              </w:rPr>
              <w:t>1</w:t>
            </w:r>
            <w:r>
              <w:rPr>
                <w:rFonts w:ascii="宋体" w:hAnsi="宋体" w:cs="宋体"/>
                <w:color w:val="0000FF"/>
                <w:sz w:val="24"/>
                <w:highlight w:val="none"/>
              </w:rPr>
              <w:t>.投标保证金为</w:t>
            </w:r>
            <w:r>
              <w:rPr>
                <w:rFonts w:ascii="宋体" w:hAnsi="宋体" w:eastAsia="宋体" w:cs="宋体"/>
                <w:color w:val="0000FF"/>
                <w:sz w:val="24"/>
                <w:highlight w:val="none"/>
              </w:rPr>
              <w:t>人民币</w:t>
            </w:r>
            <w:r>
              <w:rPr>
                <w:rFonts w:hint="eastAsia" w:ascii="宋体" w:hAnsi="宋体" w:eastAsia="宋体" w:cs="宋体"/>
                <w:color w:val="0000FF"/>
                <w:sz w:val="24"/>
                <w:highlight w:val="none"/>
                <w:lang w:val="en-US" w:eastAsia="zh-CN"/>
              </w:rPr>
              <w:t>伍</w:t>
            </w:r>
            <w:r>
              <w:rPr>
                <w:rFonts w:ascii="宋体" w:hAnsi="宋体" w:eastAsia="宋体" w:cs="宋体"/>
                <w:color w:val="0000FF"/>
                <w:sz w:val="24"/>
                <w:highlight w:val="none"/>
              </w:rPr>
              <w:t>万</w:t>
            </w:r>
            <w:r>
              <w:rPr>
                <w:rFonts w:hint="eastAsia" w:ascii="宋体" w:hAnsi="宋体" w:eastAsia="宋体" w:cs="宋体"/>
                <w:color w:val="0000FF"/>
                <w:sz w:val="24"/>
                <w:highlight w:val="none"/>
                <w:lang w:val="en-US" w:eastAsia="zh-CN"/>
              </w:rPr>
              <w:t>柒</w:t>
            </w:r>
            <w:r>
              <w:rPr>
                <w:rFonts w:ascii="宋体" w:hAnsi="宋体" w:eastAsia="宋体" w:cs="宋体"/>
                <w:color w:val="0000FF"/>
                <w:sz w:val="24"/>
                <w:highlight w:val="none"/>
              </w:rPr>
              <w:t>仟元整(</w:t>
            </w:r>
            <w:r>
              <w:rPr>
                <w:rFonts w:ascii="宋体" w:hAnsi="宋体" w:eastAsia="宋体" w:cs="宋体"/>
                <w:b/>
                <w:bCs/>
                <w:color w:val="0000FF"/>
                <w:sz w:val="24"/>
                <w:highlight w:val="none"/>
              </w:rPr>
              <w:t>￥</w:t>
            </w:r>
            <w:r>
              <w:rPr>
                <w:rFonts w:hint="eastAsia" w:ascii="宋体" w:hAnsi="宋体" w:eastAsia="宋体" w:cs="宋体"/>
                <w:b/>
                <w:bCs/>
                <w:color w:val="0000FF"/>
                <w:sz w:val="24"/>
                <w:highlight w:val="none"/>
                <w:lang w:val="en-US" w:eastAsia="zh-CN"/>
              </w:rPr>
              <w:t>57</w:t>
            </w:r>
            <w:r>
              <w:rPr>
                <w:rFonts w:ascii="宋体" w:hAnsi="宋体" w:eastAsia="宋体" w:cs="宋体"/>
                <w:b/>
                <w:bCs/>
                <w:color w:val="0000FF"/>
                <w:sz w:val="24"/>
                <w:highlight w:val="none"/>
              </w:rPr>
              <w:t>000.00元)</w:t>
            </w:r>
            <w:r>
              <w:rPr>
                <w:rFonts w:ascii="宋体" w:hAnsi="宋体" w:eastAsia="宋体" w:cs="宋体"/>
                <w:sz w:val="24"/>
                <w:highlight w:val="none"/>
              </w:rPr>
              <w:t>，</w:t>
            </w:r>
            <w:r>
              <w:rPr>
                <w:rFonts w:ascii="宋体" w:hAnsi="宋体" w:cs="宋体"/>
                <w:sz w:val="24"/>
                <w:highlight w:val="none"/>
                <w:u w:val="single"/>
              </w:rPr>
              <w:t>项目简称：充电站建设运营</w:t>
            </w:r>
            <w:r>
              <w:rPr>
                <w:rFonts w:ascii="宋体" w:hAnsi="宋体" w:cs="宋体"/>
                <w:sz w:val="24"/>
                <w:highlight w:val="none"/>
              </w:rPr>
              <w:t>。投标人将投标保证金缴款证明扫描件或复印件作为投标的组成部分，与投标文件一同递交，采购人在开标时检查各投标人的投标保证金，投标保证金由投标人以非现金形式一次性汇出，应在递交投标文件截止时间前到达采购人指定账户，以收款银行确认到账为准,否则投标无效。</w:t>
            </w:r>
          </w:p>
          <w:p>
            <w:pPr>
              <w:spacing w:line="400" w:lineRule="exact"/>
              <w:jc w:val="left"/>
              <w:rPr>
                <w:rFonts w:ascii="宋体" w:hAnsi="宋体" w:cs="宋体"/>
                <w:sz w:val="24"/>
                <w:highlight w:val="none"/>
              </w:rPr>
            </w:pPr>
            <w:r>
              <w:rPr>
                <w:rFonts w:ascii="宋体" w:hAnsi="宋体" w:cs="宋体"/>
                <w:sz w:val="24"/>
                <w:highlight w:val="none"/>
              </w:rPr>
              <w:t>开户银行：</w:t>
            </w:r>
            <w:r>
              <w:rPr>
                <w:rFonts w:hint="eastAsia" w:ascii="宋体" w:hAnsi="宋体" w:cs="宋体"/>
                <w:sz w:val="24"/>
                <w:highlight w:val="none"/>
              </w:rPr>
              <w:t>中国农业银行佛山南海</w:t>
            </w:r>
            <w:r>
              <w:rPr>
                <w:rFonts w:hint="eastAsia" w:ascii="宋体" w:hAnsi="宋体" w:cs="宋体"/>
                <w:sz w:val="24"/>
                <w:highlight w:val="none"/>
                <w:lang w:eastAsia="zh-CN"/>
              </w:rPr>
              <w:t>灯湖</w:t>
            </w:r>
            <w:r>
              <w:rPr>
                <w:rFonts w:hint="eastAsia" w:ascii="宋体" w:hAnsi="宋体" w:cs="宋体"/>
                <w:sz w:val="24"/>
                <w:highlight w:val="none"/>
              </w:rPr>
              <w:t>支行</w:t>
            </w:r>
          </w:p>
          <w:p>
            <w:pPr>
              <w:spacing w:line="400" w:lineRule="exact"/>
              <w:jc w:val="left"/>
              <w:rPr>
                <w:rFonts w:ascii="宋体" w:hAnsi="宋体" w:cs="宋体"/>
                <w:sz w:val="24"/>
                <w:highlight w:val="none"/>
              </w:rPr>
            </w:pPr>
            <w:r>
              <w:rPr>
                <w:rFonts w:ascii="宋体" w:hAnsi="宋体" w:cs="宋体"/>
                <w:sz w:val="24"/>
                <w:highlight w:val="none"/>
              </w:rPr>
              <w:t>户    名：</w:t>
            </w:r>
            <w:r>
              <w:rPr>
                <w:rFonts w:hint="eastAsia" w:ascii="宋体" w:hAnsi="宋体" w:cs="宋体"/>
                <w:sz w:val="24"/>
                <w:highlight w:val="none"/>
              </w:rPr>
              <w:t>佛山市南海公有资产流转服务有限公司</w:t>
            </w:r>
          </w:p>
          <w:p>
            <w:pPr>
              <w:spacing w:line="400" w:lineRule="exact"/>
              <w:jc w:val="left"/>
              <w:rPr>
                <w:rFonts w:ascii="宋体" w:hAnsi="宋体" w:cs="宋体"/>
                <w:sz w:val="24"/>
                <w:highlight w:val="none"/>
              </w:rPr>
            </w:pPr>
            <w:r>
              <w:rPr>
                <w:rFonts w:ascii="宋体" w:hAnsi="宋体" w:cs="宋体"/>
                <w:sz w:val="24"/>
                <w:highlight w:val="none"/>
              </w:rPr>
              <w:t>账    号：</w:t>
            </w:r>
            <w:r>
              <w:rPr>
                <w:rFonts w:hint="eastAsia" w:ascii="宋体" w:hAnsi="宋体" w:cs="宋体"/>
                <w:sz w:val="24"/>
                <w:highlight w:val="none"/>
              </w:rPr>
              <w:t>44504001040012386</w:t>
            </w:r>
          </w:p>
          <w:p>
            <w:pPr>
              <w:spacing w:line="400" w:lineRule="exact"/>
              <w:jc w:val="left"/>
              <w:rPr>
                <w:rFonts w:ascii="宋体" w:hAnsi="宋体" w:cs="宋体"/>
                <w:sz w:val="24"/>
                <w:highlight w:val="none"/>
              </w:rPr>
            </w:pPr>
            <w:r>
              <w:rPr>
                <w:rFonts w:ascii="宋体" w:hAnsi="宋体" w:cs="宋体"/>
                <w:sz w:val="24"/>
                <w:highlight w:val="none"/>
              </w:rPr>
              <w:t>2.投标保证金的汇款单位应与投标人一致，否则，采购人将予以拒绝。</w:t>
            </w:r>
          </w:p>
          <w:p>
            <w:pPr>
              <w:spacing w:line="400" w:lineRule="exact"/>
              <w:jc w:val="left"/>
              <w:rPr>
                <w:rFonts w:ascii="宋体" w:hAnsi="宋体" w:cs="宋体"/>
                <w:sz w:val="24"/>
                <w:highlight w:val="none"/>
              </w:rPr>
            </w:pPr>
            <w:r>
              <w:rPr>
                <w:rFonts w:ascii="宋体" w:hAnsi="宋体" w:cs="宋体"/>
                <w:sz w:val="24"/>
                <w:highlight w:val="none"/>
              </w:rPr>
              <w:t>3.投标保证金是否准确到帐，以收款银行的回单为准，由于要素不清晰或未按以上要求而导致无效投标的，所造成的后果由投标人负责。</w:t>
            </w:r>
          </w:p>
          <w:p>
            <w:pPr>
              <w:spacing w:line="400" w:lineRule="exact"/>
              <w:jc w:val="left"/>
              <w:rPr>
                <w:rFonts w:ascii="宋体" w:hAnsi="宋体" w:cs="宋体"/>
                <w:sz w:val="24"/>
                <w:highlight w:val="none"/>
              </w:rPr>
            </w:pPr>
            <w:r>
              <w:rPr>
                <w:rFonts w:ascii="宋体" w:hAnsi="宋体" w:cs="宋体"/>
                <w:sz w:val="24"/>
                <w:highlight w:val="none"/>
              </w:rPr>
              <w:t>特别提示：</w:t>
            </w:r>
          </w:p>
          <w:p>
            <w:pPr>
              <w:spacing w:line="400" w:lineRule="exact"/>
              <w:jc w:val="left"/>
              <w:rPr>
                <w:rFonts w:ascii="宋体" w:hAnsi="宋体" w:cs="宋体"/>
                <w:sz w:val="24"/>
                <w:highlight w:val="none"/>
              </w:rPr>
            </w:pPr>
            <w:r>
              <w:rPr>
                <w:rFonts w:ascii="宋体" w:hAnsi="宋体" w:cs="宋体"/>
                <w:sz w:val="24"/>
                <w:highlight w:val="none"/>
              </w:rPr>
              <w:t>（1）投标人在划出款项时，</w:t>
            </w:r>
            <w:r>
              <w:rPr>
                <w:rFonts w:hint="eastAsia" w:ascii="宋体" w:hAnsi="宋体" w:cs="宋体"/>
                <w:sz w:val="24"/>
                <w:highlight w:val="none"/>
                <w:lang w:val="en-US" w:eastAsia="zh-CN"/>
              </w:rPr>
              <w:t>务必</w:t>
            </w:r>
            <w:r>
              <w:rPr>
                <w:rFonts w:ascii="宋体" w:hAnsi="宋体" w:cs="宋体"/>
                <w:sz w:val="24"/>
                <w:highlight w:val="none"/>
              </w:rPr>
              <w:t>核对保证金的金额（特别是元位金额）；</w:t>
            </w:r>
          </w:p>
          <w:p>
            <w:pPr>
              <w:spacing w:line="400" w:lineRule="exact"/>
              <w:jc w:val="left"/>
              <w:rPr>
                <w:rFonts w:ascii="宋体" w:hAnsi="宋体" w:cs="宋体"/>
                <w:sz w:val="24"/>
                <w:highlight w:val="none"/>
              </w:rPr>
            </w:pPr>
            <w:r>
              <w:rPr>
                <w:rFonts w:ascii="宋体" w:hAnsi="宋体" w:cs="宋体"/>
                <w:sz w:val="24"/>
                <w:highlight w:val="none"/>
              </w:rPr>
              <w:t>（2）投标人须从投标人名</w:t>
            </w:r>
            <w:r>
              <w:rPr>
                <w:rFonts w:hint="eastAsia" w:ascii="宋体" w:hAnsi="宋体" w:cs="宋体"/>
                <w:sz w:val="24"/>
                <w:highlight w:val="none"/>
                <w:lang w:val="en-US" w:eastAsia="zh-CN"/>
              </w:rPr>
              <w:t>下</w:t>
            </w:r>
            <w:r>
              <w:rPr>
                <w:rFonts w:ascii="宋体" w:hAnsi="宋体" w:cs="宋体"/>
                <w:sz w:val="24"/>
                <w:highlight w:val="none"/>
              </w:rPr>
              <w:t>的</w:t>
            </w:r>
            <w:r>
              <w:rPr>
                <w:rFonts w:hint="eastAsia" w:ascii="宋体" w:hAnsi="宋体" w:cs="宋体"/>
                <w:sz w:val="24"/>
                <w:highlight w:val="none"/>
                <w:lang w:val="en-US" w:eastAsia="zh-CN"/>
              </w:rPr>
              <w:t>银行</w:t>
            </w:r>
            <w:r>
              <w:rPr>
                <w:rFonts w:ascii="宋体" w:hAnsi="宋体" w:cs="宋体"/>
                <w:sz w:val="24"/>
                <w:highlight w:val="none"/>
              </w:rPr>
              <w:t>账户按标段分笔一次性转账；</w:t>
            </w:r>
          </w:p>
          <w:p>
            <w:pPr>
              <w:spacing w:line="400" w:lineRule="exact"/>
              <w:jc w:val="left"/>
              <w:rPr>
                <w:rFonts w:ascii="宋体" w:hAnsi="宋体" w:cs="宋体"/>
                <w:sz w:val="24"/>
                <w:highlight w:val="none"/>
              </w:rPr>
            </w:pPr>
            <w:r>
              <w:rPr>
                <w:rFonts w:ascii="宋体" w:hAnsi="宋体" w:cs="宋体"/>
                <w:sz w:val="24"/>
                <w:highlight w:val="none"/>
              </w:rPr>
              <w:t>（3）投标人须在填写银行汇款凭证时，必须注明以下信息：项目名称全称，标段号（如有），如填写银行汇款凭证时因填写字数限制未能填写项目名称全称的可填写项目简称；</w:t>
            </w:r>
          </w:p>
          <w:p>
            <w:pPr>
              <w:spacing w:line="400" w:lineRule="exact"/>
              <w:jc w:val="left"/>
              <w:rPr>
                <w:rFonts w:ascii="宋体" w:hAnsi="宋体" w:cs="宋体"/>
                <w:sz w:val="24"/>
                <w:highlight w:val="none"/>
              </w:rPr>
            </w:pPr>
            <w:r>
              <w:rPr>
                <w:rFonts w:ascii="宋体" w:hAnsi="宋体" w:cs="宋体"/>
                <w:sz w:val="24"/>
                <w:highlight w:val="none"/>
              </w:rPr>
              <w:t>（4）投标人在汇款时必须要求银行工作人员在用途（或摘要或附言）栏输入以下信息：项目名称全称，标段号（如有），如填写银行汇款凭证时因填写字数限制未能填写项目名称全称的可填写项目简称；（要在汇款系统上传送信息到收款方银行，用于收款银行识别该款项的用途）；</w:t>
            </w:r>
          </w:p>
          <w:p>
            <w:pPr>
              <w:spacing w:line="400" w:lineRule="exact"/>
              <w:jc w:val="left"/>
              <w:rPr>
                <w:rFonts w:ascii="宋体" w:hAnsi="宋体" w:cs="宋体"/>
                <w:sz w:val="24"/>
                <w:highlight w:val="none"/>
              </w:rPr>
            </w:pPr>
            <w:r>
              <w:rPr>
                <w:rFonts w:ascii="宋体" w:hAnsi="宋体" w:cs="宋体"/>
                <w:sz w:val="24"/>
                <w:highlight w:val="none"/>
              </w:rPr>
              <w:t>（5）投标人在汇款时必须要求银行工作人员录入：项目名称全称，标段号（如有）（如填写银行汇款凭证时因填写字数限限制未能填写项目名称全称的可填写项目简称）、投标人帐号、投标人开户行全称（要在汇款系统上传送信息到收款方银行，退保证金时，采购人委托收款银行将投标人保证金从原路退还该款项给汇款人的存款账户）。</w:t>
            </w:r>
          </w:p>
          <w:p>
            <w:pPr>
              <w:spacing w:line="400" w:lineRule="exact"/>
              <w:jc w:val="left"/>
              <w:rPr>
                <w:rFonts w:ascii="宋体" w:hAnsi="宋体" w:cs="宋体"/>
                <w:sz w:val="24"/>
                <w:highlight w:val="none"/>
              </w:rPr>
            </w:pPr>
            <w:r>
              <w:rPr>
                <w:rFonts w:ascii="宋体" w:hAnsi="宋体" w:cs="宋体"/>
                <w:sz w:val="24"/>
                <w:highlight w:val="none"/>
              </w:rPr>
              <w:t>4.对于未能按要求提交投标保证金的投标人，投标无效。</w:t>
            </w:r>
          </w:p>
          <w:p>
            <w:pPr>
              <w:spacing w:line="400" w:lineRule="exact"/>
              <w:jc w:val="left"/>
              <w:rPr>
                <w:rFonts w:ascii="宋体" w:hAnsi="宋体" w:cs="宋体"/>
                <w:sz w:val="24"/>
                <w:highlight w:val="none"/>
              </w:rPr>
            </w:pPr>
            <w:r>
              <w:rPr>
                <w:rFonts w:ascii="宋体" w:hAnsi="宋体" w:cs="宋体"/>
                <w:sz w:val="24"/>
                <w:highlight w:val="none"/>
              </w:rPr>
              <w:t>5.保证金的退回</w:t>
            </w:r>
            <w:r>
              <w:rPr>
                <w:rFonts w:hint="eastAsia" w:ascii="宋体" w:hAnsi="宋体" w:cs="宋体"/>
                <w:sz w:val="24"/>
                <w:highlight w:val="none"/>
                <w:lang w:eastAsia="zh-CN"/>
              </w:rPr>
              <w:t>。</w:t>
            </w:r>
          </w:p>
          <w:p>
            <w:pPr>
              <w:spacing w:line="400" w:lineRule="exact"/>
              <w:jc w:val="lef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400" w:lineRule="exact"/>
              <w:jc w:val="center"/>
              <w:rPr>
                <w:rFonts w:ascii="宋体" w:hAnsi="宋体" w:cs="宋体"/>
                <w:color w:val="auto"/>
                <w:sz w:val="24"/>
                <w:highlight w:val="none"/>
              </w:rPr>
            </w:pPr>
            <w:r>
              <w:rPr>
                <w:rFonts w:ascii="宋体" w:hAnsi="宋体" w:cs="宋体"/>
                <w:color w:val="auto"/>
                <w:sz w:val="24"/>
                <w:highlight w:val="none"/>
              </w:rPr>
              <w:t>中标服务费</w:t>
            </w:r>
          </w:p>
        </w:tc>
        <w:tc>
          <w:tcPr>
            <w:tcW w:w="6552" w:type="dxa"/>
            <w:vAlign w:val="center"/>
          </w:tcPr>
          <w:p>
            <w:pPr>
              <w:spacing w:line="400" w:lineRule="exact"/>
              <w:jc w:val="left"/>
              <w:rPr>
                <w:rFonts w:ascii="宋体" w:hAnsi="宋体" w:cs="宋体"/>
                <w:color w:val="auto"/>
                <w:sz w:val="24"/>
                <w:highlight w:val="none"/>
              </w:rPr>
            </w:pPr>
            <w:r>
              <w:rPr>
                <w:rFonts w:ascii="宋体" w:hAnsi="宋体" w:cs="宋体"/>
                <w:color w:val="auto"/>
                <w:sz w:val="24"/>
                <w:highlight w:val="none"/>
              </w:rPr>
              <w:t>本项目中标服务费由</w:t>
            </w:r>
            <w:r>
              <w:rPr>
                <w:rFonts w:hint="eastAsia" w:ascii="宋体" w:hAnsi="宋体" w:cs="宋体"/>
                <w:color w:val="auto"/>
                <w:sz w:val="24"/>
                <w:highlight w:val="none"/>
                <w:lang w:eastAsia="zh-CN"/>
              </w:rPr>
              <w:t>中标人</w:t>
            </w:r>
            <w:r>
              <w:rPr>
                <w:rFonts w:ascii="宋体" w:hAnsi="宋体" w:cs="宋体"/>
                <w:color w:val="auto"/>
                <w:sz w:val="24"/>
                <w:highlight w:val="none"/>
              </w:rPr>
              <w:t>进行支</w:t>
            </w:r>
            <w:r>
              <w:rPr>
                <w:rFonts w:ascii="宋体" w:hAnsi="宋体" w:eastAsia="宋体" w:cs="宋体"/>
                <w:color w:val="auto"/>
                <w:sz w:val="24"/>
                <w:highlight w:val="none"/>
              </w:rPr>
              <w:t>付，</w:t>
            </w:r>
            <w:r>
              <w:rPr>
                <w:rFonts w:hint="eastAsia" w:ascii="宋体" w:hAnsi="宋体" w:eastAsia="宋体" w:cs="宋体"/>
                <w:color w:val="auto"/>
                <w:sz w:val="24"/>
                <w:highlight w:val="none"/>
                <w:lang w:eastAsia="zh-CN"/>
              </w:rPr>
              <w:t>费用为：</w:t>
            </w:r>
            <w:r>
              <w:rPr>
                <w:rFonts w:hint="eastAsia" w:ascii="宋体" w:hAnsi="宋体" w:eastAsia="宋体" w:cs="宋体"/>
                <w:b/>
                <w:bCs/>
                <w:color w:val="auto"/>
                <w:sz w:val="24"/>
                <w:highlight w:val="none"/>
                <w:u w:val="single"/>
                <w:lang w:eastAsia="zh-CN"/>
              </w:rPr>
              <w:t>50534.17</w:t>
            </w:r>
            <w:r>
              <w:rPr>
                <w:rFonts w:hint="eastAsia" w:ascii="宋体" w:hAnsi="宋体" w:eastAsia="宋体" w:cs="宋体"/>
                <w:b/>
                <w:bCs/>
                <w:color w:val="auto"/>
                <w:sz w:val="24"/>
                <w:highlight w:val="none"/>
                <w:u w:val="single"/>
                <w:lang w:val="en-US" w:eastAsia="zh-CN"/>
              </w:rPr>
              <w:t>元</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采购人</w:t>
            </w:r>
            <w:r>
              <w:rPr>
                <w:rFonts w:ascii="宋体" w:hAnsi="宋体" w:eastAsia="宋体" w:cs="宋体"/>
                <w:color w:val="auto"/>
                <w:sz w:val="24"/>
                <w:highlight w:val="none"/>
              </w:rPr>
              <w:t>无须承担该部分费用。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400" w:lineRule="exact"/>
              <w:jc w:val="center"/>
              <w:rPr>
                <w:rFonts w:ascii="宋体" w:hAnsi="宋体" w:cs="宋体"/>
                <w:sz w:val="24"/>
                <w:highlight w:val="none"/>
              </w:rPr>
            </w:pPr>
            <w:r>
              <w:rPr>
                <w:rFonts w:ascii="宋体" w:hAnsi="宋体" w:cs="宋体"/>
                <w:sz w:val="24"/>
                <w:highlight w:val="none"/>
              </w:rPr>
              <w:t>中标通知书领取方式</w:t>
            </w:r>
          </w:p>
        </w:tc>
        <w:tc>
          <w:tcPr>
            <w:tcW w:w="6552" w:type="dxa"/>
            <w:vAlign w:val="center"/>
          </w:tcPr>
          <w:p>
            <w:pPr>
              <w:tabs>
                <w:tab w:val="left" w:pos="6300"/>
              </w:tabs>
              <w:spacing w:line="400" w:lineRule="exact"/>
              <w:jc w:val="left"/>
              <w:rPr>
                <w:rFonts w:ascii="宋体" w:hAnsi="宋体" w:cs="宋体"/>
                <w:sz w:val="24"/>
                <w:highlight w:val="none"/>
              </w:rPr>
            </w:pPr>
            <w:r>
              <w:rPr>
                <w:rFonts w:ascii="宋体" w:hAnsi="宋体" w:cs="宋体"/>
                <w:sz w:val="24"/>
                <w:highlight w:val="none"/>
              </w:rPr>
              <w:t>中标人接到通知后携法人授权委托书到</w:t>
            </w:r>
            <w:r>
              <w:rPr>
                <w:rFonts w:hint="eastAsia" w:ascii="宋体" w:hAnsi="宋体" w:eastAsia="宋体" w:cs="宋体"/>
                <w:kern w:val="2"/>
                <w:sz w:val="24"/>
                <w:szCs w:val="22"/>
                <w:highlight w:val="none"/>
                <w:lang w:val="en-US" w:eastAsia="zh-CN" w:bidi="ar-SA"/>
              </w:rPr>
              <w:t>广东良德工程咨询有限公司领取</w:t>
            </w:r>
            <w:r>
              <w:rPr>
                <w:rFonts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ascii="宋体" w:hAnsi="宋体" w:cs="宋体"/>
                <w:sz w:val="24"/>
                <w:highlight w:val="none"/>
              </w:rPr>
            </w:pPr>
            <w:r>
              <w:rPr>
                <w:rFonts w:ascii="宋体" w:hAnsi="宋体" w:cs="宋体"/>
                <w:sz w:val="24"/>
                <w:highlight w:val="none"/>
              </w:rPr>
              <w:t>投标有效期</w:t>
            </w:r>
          </w:p>
        </w:tc>
        <w:tc>
          <w:tcPr>
            <w:tcW w:w="6552" w:type="dxa"/>
            <w:vAlign w:val="center"/>
          </w:tcPr>
          <w:p>
            <w:pPr>
              <w:spacing w:line="360" w:lineRule="auto"/>
              <w:jc w:val="left"/>
              <w:rPr>
                <w:rFonts w:ascii="宋体" w:hAnsi="宋体" w:cs="宋体"/>
                <w:sz w:val="24"/>
                <w:highlight w:val="none"/>
              </w:rPr>
            </w:pPr>
            <w:r>
              <w:rPr>
                <w:rFonts w:ascii="宋体" w:hAnsi="宋体" w:cs="宋体"/>
                <w:sz w:val="24"/>
                <w:highlight w:val="none"/>
              </w:rPr>
              <w:t>提交投标文件的截止之日起90天。中标人的投标有效期延续到</w:t>
            </w:r>
            <w:r>
              <w:rPr>
                <w:rFonts w:hint="eastAsia" w:ascii="宋体" w:hAnsi="宋体" w:cs="宋体"/>
                <w:sz w:val="24"/>
                <w:highlight w:val="none"/>
                <w:lang w:eastAsia="zh-CN"/>
              </w:rPr>
              <w:t>协议</w:t>
            </w:r>
            <w:r>
              <w:rPr>
                <w:rFonts w:ascii="宋体" w:hAnsi="宋体" w:cs="宋体"/>
                <w:sz w:val="24"/>
                <w:highlight w:val="none"/>
              </w:rPr>
              <w:t>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ascii="宋体" w:hAnsi="宋体" w:cs="宋体"/>
                <w:sz w:val="24"/>
                <w:highlight w:val="none"/>
              </w:rPr>
            </w:pPr>
            <w:r>
              <w:rPr>
                <w:rFonts w:ascii="宋体" w:hAnsi="宋体" w:cs="宋体"/>
                <w:sz w:val="24"/>
                <w:highlight w:val="none"/>
              </w:rPr>
              <w:t>投标文件数量</w:t>
            </w:r>
          </w:p>
        </w:tc>
        <w:tc>
          <w:tcPr>
            <w:tcW w:w="6552" w:type="dxa"/>
            <w:vAlign w:val="center"/>
          </w:tcPr>
          <w:p>
            <w:pPr>
              <w:spacing w:line="360" w:lineRule="auto"/>
              <w:jc w:val="left"/>
              <w:rPr>
                <w:rFonts w:ascii="宋体" w:hAnsi="宋体" w:cs="宋体"/>
                <w:sz w:val="24"/>
                <w:highlight w:val="none"/>
              </w:rPr>
            </w:pPr>
            <w:r>
              <w:rPr>
                <w:rFonts w:ascii="宋体" w:hAnsi="宋体" w:cs="宋体"/>
                <w:b/>
                <w:bCs/>
                <w:sz w:val="24"/>
                <w:highlight w:val="none"/>
              </w:rPr>
              <w:t>投标文件-资格审查部分一式五份（其中，正本一份和副本四份）</w:t>
            </w:r>
            <w:r>
              <w:rPr>
                <w:rFonts w:ascii="宋体" w:hAnsi="宋体" w:cs="宋体"/>
                <w:sz w:val="24"/>
                <w:highlight w:val="none"/>
              </w:rPr>
              <w:t>，</w:t>
            </w:r>
            <w:r>
              <w:rPr>
                <w:rFonts w:ascii="宋体" w:hAnsi="宋体" w:cs="宋体"/>
                <w:b/>
                <w:bCs/>
                <w:sz w:val="24"/>
                <w:highlight w:val="none"/>
              </w:rPr>
              <w:t>投标文件一式五份（其中，正本一份和副本四份）</w:t>
            </w:r>
            <w:r>
              <w:rPr>
                <w:rFonts w:ascii="宋体" w:hAnsi="宋体" w:cs="宋体"/>
                <w:sz w:val="24"/>
                <w:highlight w:val="none"/>
              </w:rPr>
              <w:t>，开标一览表一份，电子光盘或U盘</w:t>
            </w:r>
            <w:r>
              <w:rPr>
                <w:rFonts w:hint="eastAsia" w:ascii="宋体" w:hAnsi="宋体" w:cs="宋体"/>
                <w:sz w:val="24"/>
                <w:highlight w:val="none"/>
                <w:lang w:val="en-US" w:eastAsia="zh-CN"/>
              </w:rPr>
              <w:t>两</w:t>
            </w:r>
            <w:r>
              <w:rPr>
                <w:rFonts w:ascii="宋体" w:hAnsi="宋体" w:cs="宋体"/>
                <w:sz w:val="24"/>
                <w:highlight w:val="none"/>
              </w:rPr>
              <w:t>份（不留密码，无病毒，不压缩。除投标文件中提供的图片及相关扫描文件外，其他内容应保留EXCEL格式或WORD文档等可编辑格式文件，如投标人中标，部分内容将用于结果公告公布，电子文件与纸质文件内容不同，以盖章的纸质文件正本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82" w:type="dxa"/>
            <w:vAlign w:val="center"/>
          </w:tcPr>
          <w:p>
            <w:pPr>
              <w:numPr>
                <w:ilvl w:val="0"/>
                <w:numId w:val="6"/>
              </w:numPr>
              <w:spacing w:line="360" w:lineRule="auto"/>
              <w:jc w:val="center"/>
              <w:rPr>
                <w:rFonts w:ascii="宋体" w:hAnsi="宋体" w:cs="宋体"/>
                <w:color w:val="FF0000"/>
                <w:sz w:val="24"/>
                <w:highlight w:val="none"/>
              </w:rPr>
            </w:pPr>
          </w:p>
        </w:tc>
        <w:tc>
          <w:tcPr>
            <w:tcW w:w="2364" w:type="dxa"/>
            <w:vAlign w:val="center"/>
          </w:tcPr>
          <w:p>
            <w:pPr>
              <w:spacing w:line="360" w:lineRule="auto"/>
              <w:jc w:val="center"/>
              <w:rPr>
                <w:rFonts w:ascii="宋体" w:hAnsi="宋体" w:cs="宋体"/>
                <w:color w:val="FF0000"/>
                <w:sz w:val="24"/>
                <w:highlight w:val="none"/>
              </w:rPr>
            </w:pPr>
            <w:r>
              <w:rPr>
                <w:rFonts w:ascii="宋体" w:hAnsi="宋体" w:cs="宋体"/>
                <w:color w:val="FF0000"/>
                <w:sz w:val="24"/>
                <w:highlight w:val="none"/>
              </w:rPr>
              <w:t>递交投标文件时间</w:t>
            </w:r>
          </w:p>
        </w:tc>
        <w:tc>
          <w:tcPr>
            <w:tcW w:w="6552" w:type="dxa"/>
            <w:vAlign w:val="center"/>
          </w:tcPr>
          <w:p>
            <w:pPr>
              <w:spacing w:line="360" w:lineRule="auto"/>
              <w:jc w:val="center"/>
              <w:rPr>
                <w:rFonts w:ascii="宋体" w:hAnsi="宋体" w:cs="宋体"/>
                <w:color w:val="FF0000"/>
                <w:sz w:val="24"/>
                <w:highlight w:val="none"/>
              </w:rPr>
            </w:pPr>
            <w:r>
              <w:rPr>
                <w:rFonts w:ascii="宋体" w:hAnsi="宋体" w:cs="宋体"/>
                <w:color w:val="FF0000"/>
                <w:sz w:val="24"/>
                <w:highlight w:val="none"/>
              </w:rPr>
              <w:t>2022年</w:t>
            </w:r>
            <w:r>
              <w:rPr>
                <w:rFonts w:hint="eastAsia" w:ascii="宋体" w:hAnsi="宋体" w:cs="宋体"/>
                <w:color w:val="FF0000"/>
                <w:sz w:val="24"/>
                <w:highlight w:val="none"/>
                <w:lang w:val="en-US" w:eastAsia="zh-CN"/>
              </w:rPr>
              <w:t xml:space="preserve"> 12 </w:t>
            </w:r>
            <w:r>
              <w:rPr>
                <w:rFonts w:ascii="宋体" w:hAnsi="宋体" w:cs="宋体"/>
                <w:color w:val="FF0000"/>
                <w:sz w:val="24"/>
                <w:highlight w:val="none"/>
              </w:rPr>
              <w:t>月</w:t>
            </w:r>
            <w:del w:id="2" w:author="Kilig" w:date="2022-11-28T10:35:34Z">
              <w:r>
                <w:rPr>
                  <w:rFonts w:hint="eastAsia" w:ascii="宋体" w:hAnsi="宋体" w:cs="宋体"/>
                  <w:color w:val="FF0000"/>
                  <w:sz w:val="24"/>
                  <w:highlight w:val="none"/>
                  <w:lang w:val="en-US" w:eastAsia="zh-CN"/>
                </w:rPr>
                <w:delText xml:space="preserve"> </w:delText>
              </w:r>
            </w:del>
            <w:r>
              <w:rPr>
                <w:rFonts w:hint="eastAsia" w:ascii="宋体" w:hAnsi="宋体" w:cs="宋体"/>
                <w:color w:val="FF0000"/>
                <w:sz w:val="24"/>
                <w:highlight w:val="none"/>
                <w:lang w:val="en-US" w:eastAsia="zh-CN"/>
              </w:rPr>
              <w:t>20</w:t>
            </w:r>
            <w:del w:id="3" w:author="Kilig" w:date="2022-11-28T10:35:32Z">
              <w:r>
                <w:rPr>
                  <w:rFonts w:hint="eastAsia" w:ascii="宋体" w:hAnsi="宋体" w:cs="宋体"/>
                  <w:color w:val="FF0000"/>
                  <w:sz w:val="24"/>
                  <w:highlight w:val="none"/>
                  <w:lang w:val="en-US" w:eastAsia="zh-CN"/>
                </w:rPr>
                <w:delText xml:space="preserve"> </w:delText>
              </w:r>
            </w:del>
            <w:r>
              <w:rPr>
                <w:rFonts w:ascii="宋体" w:hAnsi="宋体" w:cs="宋体"/>
                <w:color w:val="FF0000"/>
                <w:sz w:val="24"/>
                <w:highlight w:val="none"/>
              </w:rPr>
              <w:t>日</w:t>
            </w:r>
            <w:del w:id="4" w:author="Kilig" w:date="2022-11-28T10:35:29Z">
              <w:r>
                <w:rPr>
                  <w:rFonts w:hint="eastAsia" w:ascii="宋体" w:hAnsi="宋体" w:cs="宋体"/>
                  <w:color w:val="FF0000"/>
                  <w:sz w:val="24"/>
                  <w:highlight w:val="none"/>
                  <w:lang w:val="en-US" w:eastAsia="zh-CN"/>
                </w:rPr>
                <w:delText xml:space="preserve"> </w:delText>
              </w:r>
            </w:del>
            <w:r>
              <w:rPr>
                <w:rFonts w:hint="eastAsia" w:ascii="宋体" w:hAnsi="宋体" w:cs="宋体"/>
                <w:color w:val="FF0000"/>
                <w:sz w:val="24"/>
                <w:highlight w:val="none"/>
                <w:lang w:val="en-US" w:eastAsia="zh-CN"/>
              </w:rPr>
              <w:t xml:space="preserve">09 </w:t>
            </w:r>
            <w:r>
              <w:rPr>
                <w:rFonts w:ascii="宋体" w:hAnsi="宋体" w:cs="宋体"/>
                <w:color w:val="FF0000"/>
                <w:sz w:val="24"/>
                <w:highlight w:val="none"/>
              </w:rPr>
              <w:t>时</w:t>
            </w:r>
            <w:r>
              <w:rPr>
                <w:rFonts w:hint="eastAsia" w:ascii="宋体" w:hAnsi="宋体" w:cs="宋体"/>
                <w:color w:val="FF0000"/>
                <w:sz w:val="24"/>
                <w:highlight w:val="none"/>
                <w:lang w:val="en-US" w:eastAsia="zh-CN"/>
              </w:rPr>
              <w:t xml:space="preserve"> 00 </w:t>
            </w:r>
            <w:r>
              <w:rPr>
                <w:rFonts w:ascii="宋体" w:hAnsi="宋体" w:cs="宋体"/>
                <w:color w:val="FF0000"/>
                <w:sz w:val="24"/>
                <w:highlight w:val="none"/>
              </w:rPr>
              <w:t>分至</w:t>
            </w:r>
            <w:r>
              <w:rPr>
                <w:rFonts w:hint="eastAsia" w:ascii="宋体" w:hAnsi="宋体" w:cs="宋体"/>
                <w:color w:val="FF0000"/>
                <w:sz w:val="24"/>
                <w:highlight w:val="none"/>
                <w:lang w:val="en-US" w:eastAsia="zh-CN"/>
              </w:rPr>
              <w:t xml:space="preserve"> 09 </w:t>
            </w:r>
            <w:r>
              <w:rPr>
                <w:rFonts w:ascii="宋体" w:hAnsi="宋体" w:cs="宋体"/>
                <w:color w:val="FF0000"/>
                <w:sz w:val="24"/>
                <w:highlight w:val="none"/>
              </w:rPr>
              <w:t>时</w:t>
            </w:r>
            <w:r>
              <w:rPr>
                <w:rFonts w:hint="eastAsia" w:ascii="宋体" w:hAnsi="宋体" w:cs="宋体"/>
                <w:color w:val="FF0000"/>
                <w:sz w:val="24"/>
                <w:highlight w:val="none"/>
                <w:lang w:val="en-US" w:eastAsia="zh-CN"/>
              </w:rPr>
              <w:t xml:space="preserve"> 30 </w:t>
            </w:r>
            <w:r>
              <w:rPr>
                <w:rFonts w:ascii="宋体" w:hAnsi="宋体" w:cs="宋体"/>
                <w:color w:val="FF0000"/>
                <w:sz w:val="24"/>
                <w:highlight w:val="non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ascii="宋体" w:hAnsi="宋体" w:cs="宋体"/>
                <w:sz w:val="24"/>
                <w:highlight w:val="none"/>
              </w:rPr>
            </w:pPr>
            <w:r>
              <w:rPr>
                <w:rFonts w:ascii="宋体" w:hAnsi="宋体" w:cs="宋体"/>
                <w:sz w:val="24"/>
                <w:highlight w:val="none"/>
              </w:rPr>
              <w:t>现场考察或者开标前答疑会</w:t>
            </w:r>
          </w:p>
        </w:tc>
        <w:tc>
          <w:tcPr>
            <w:tcW w:w="6552" w:type="dxa"/>
            <w:vAlign w:val="center"/>
          </w:tcPr>
          <w:p>
            <w:pPr>
              <w:spacing w:line="360" w:lineRule="auto"/>
              <w:jc w:val="left"/>
              <w:rPr>
                <w:rFonts w:ascii="宋体" w:hAnsi="宋体" w:cs="宋体"/>
                <w:sz w:val="24"/>
                <w:highlight w:val="none"/>
              </w:rPr>
            </w:pPr>
            <w:r>
              <w:rPr>
                <w:rFonts w:ascii="宋体" w:hAnsi="宋体" w:cs="宋体"/>
                <w:sz w:val="24"/>
                <w:highlight w:val="none"/>
              </w:rPr>
              <w:t>本项目不组织现场考察或者召开开标前答疑会。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82" w:type="dxa"/>
            <w:vAlign w:val="center"/>
          </w:tcPr>
          <w:p>
            <w:pPr>
              <w:numPr>
                <w:ilvl w:val="0"/>
                <w:numId w:val="6"/>
              </w:numPr>
              <w:spacing w:line="360" w:lineRule="auto"/>
              <w:jc w:val="center"/>
              <w:rPr>
                <w:rFonts w:ascii="宋体" w:hAnsi="宋体" w:cs="宋体"/>
                <w:sz w:val="24"/>
                <w:highlight w:val="none"/>
              </w:rPr>
            </w:pPr>
          </w:p>
        </w:tc>
        <w:tc>
          <w:tcPr>
            <w:tcW w:w="2364" w:type="dxa"/>
            <w:vAlign w:val="center"/>
          </w:tcPr>
          <w:p>
            <w:pPr>
              <w:spacing w:line="360" w:lineRule="auto"/>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合同签订期限</w:t>
            </w:r>
          </w:p>
        </w:tc>
        <w:tc>
          <w:tcPr>
            <w:tcW w:w="6552" w:type="dxa"/>
            <w:vAlign w:val="center"/>
          </w:tcPr>
          <w:p>
            <w:pPr>
              <w:spacing w:line="360" w:lineRule="auto"/>
              <w:jc w:val="left"/>
              <w:rPr>
                <w:rFonts w:hint="eastAsia" w:ascii="宋体" w:hAnsi="宋体" w:eastAsia="宋体" w:cs="宋体"/>
                <w:sz w:val="24"/>
                <w:highlight w:val="none"/>
                <w:lang w:val="en-US" w:eastAsia="zh-CN"/>
              </w:rPr>
            </w:pPr>
            <w:r>
              <w:rPr>
                <w:rFonts w:hint="eastAsia" w:ascii="宋体" w:hAnsi="宋体" w:cs="宋体"/>
                <w:sz w:val="24"/>
                <w:highlight w:val="none"/>
                <w:lang w:eastAsia="zh-CN"/>
              </w:rPr>
              <w:t>中标通知书发出之日起</w:t>
            </w:r>
            <w:r>
              <w:rPr>
                <w:rFonts w:hint="eastAsia" w:ascii="宋体" w:hAnsi="宋体" w:cs="宋体"/>
                <w:sz w:val="24"/>
                <w:highlight w:val="none"/>
                <w:lang w:val="en-US" w:eastAsia="zh-CN"/>
              </w:rPr>
              <w:t>20个工作日内</w:t>
            </w:r>
          </w:p>
        </w:tc>
      </w:tr>
    </w:tbl>
    <w:p>
      <w:pPr>
        <w:pStyle w:val="18"/>
        <w:adjustRightInd w:val="0"/>
        <w:snapToGrid w:val="0"/>
        <w:spacing w:line="360" w:lineRule="auto"/>
        <w:jc w:val="center"/>
        <w:rPr>
          <w:rFonts w:hAnsi="宋体" w:cs="宋体"/>
          <w:sz w:val="24"/>
          <w:szCs w:val="24"/>
          <w:highlight w:val="none"/>
        </w:rPr>
      </w:pPr>
    </w:p>
    <w:p>
      <w:pPr>
        <w:pStyle w:val="18"/>
        <w:adjustRightInd w:val="0"/>
        <w:snapToGrid w:val="0"/>
        <w:spacing w:line="360" w:lineRule="auto"/>
        <w:rPr>
          <w:rFonts w:hAnsi="宋体" w:cs="宋体"/>
          <w:b/>
          <w:sz w:val="24"/>
          <w:szCs w:val="24"/>
          <w:highlight w:val="none"/>
        </w:rPr>
      </w:pPr>
      <w:bookmarkStart w:id="150" w:name="_GoBack"/>
      <w:bookmarkEnd w:id="150"/>
      <w:r>
        <w:rPr>
          <w:rFonts w:hAnsi="宋体" w:cs="宋体"/>
          <w:b/>
          <w:sz w:val="24"/>
          <w:szCs w:val="24"/>
          <w:highlight w:val="none"/>
        </w:rPr>
        <w:br w:type="page"/>
      </w:r>
      <w:r>
        <w:rPr>
          <w:rStyle w:val="105"/>
          <w:rFonts w:ascii="宋体" w:eastAsia="宋体" w:cs="宋体"/>
          <w:highlight w:val="none"/>
        </w:rPr>
        <w:t>一、说  明</w:t>
      </w:r>
    </w:p>
    <w:p>
      <w:pPr>
        <w:pStyle w:val="76"/>
        <w:rPr>
          <w:rFonts w:ascii="宋体" w:hAnsi="宋体" w:eastAsia="宋体" w:cs="宋体"/>
          <w:highlight w:val="none"/>
        </w:rPr>
      </w:pPr>
      <w:r>
        <w:rPr>
          <w:rFonts w:ascii="宋体" w:hAnsi="宋体" w:eastAsia="宋体" w:cs="宋体"/>
          <w:highlight w:val="none"/>
        </w:rPr>
        <w:t>适用范围</w:t>
      </w:r>
    </w:p>
    <w:p>
      <w:pPr>
        <w:pStyle w:val="51"/>
        <w:ind w:left="480" w:hanging="480"/>
        <w:rPr>
          <w:rFonts w:eastAsia="宋体" w:cs="宋体"/>
          <w:highlight w:val="none"/>
        </w:rPr>
      </w:pPr>
      <w:r>
        <w:rPr>
          <w:rFonts w:eastAsia="宋体" w:cs="宋体"/>
          <w:highlight w:val="none"/>
        </w:rPr>
        <w:t>本招标文件适用于投标邀请函中所述项目的采购。</w:t>
      </w:r>
    </w:p>
    <w:p>
      <w:pPr>
        <w:pStyle w:val="76"/>
        <w:rPr>
          <w:rFonts w:ascii="宋体" w:hAnsi="宋体" w:eastAsia="宋体" w:cs="宋体"/>
          <w:highlight w:val="none"/>
        </w:rPr>
      </w:pPr>
      <w:r>
        <w:rPr>
          <w:rFonts w:ascii="宋体" w:hAnsi="宋体" w:eastAsia="宋体" w:cs="宋体"/>
          <w:highlight w:val="none"/>
        </w:rPr>
        <w:t>定义</w:t>
      </w:r>
    </w:p>
    <w:p>
      <w:pPr>
        <w:pStyle w:val="51"/>
        <w:ind w:left="480" w:hanging="480"/>
        <w:rPr>
          <w:rFonts w:eastAsia="宋体" w:cs="宋体"/>
          <w:highlight w:val="none"/>
        </w:rPr>
      </w:pPr>
      <w:r>
        <w:rPr>
          <w:rFonts w:eastAsia="宋体" w:cs="宋体"/>
          <w:highlight w:val="none"/>
        </w:rPr>
        <w:t>“采购人”是指：</w:t>
      </w:r>
      <w:r>
        <w:rPr>
          <w:rFonts w:hint="eastAsia" w:eastAsia="宋体" w:cs="宋体"/>
          <w:highlight w:val="none"/>
        </w:rPr>
        <w:t>佛山市南海区公交站场管理有限公司</w:t>
      </w:r>
      <w:r>
        <w:rPr>
          <w:rFonts w:eastAsia="宋体" w:cs="宋体"/>
          <w:highlight w:val="none"/>
        </w:rPr>
        <w:t>。</w:t>
      </w:r>
    </w:p>
    <w:p>
      <w:pPr>
        <w:pStyle w:val="51"/>
        <w:ind w:left="480" w:hanging="480"/>
        <w:rPr>
          <w:rFonts w:eastAsia="宋体" w:cs="宋体"/>
          <w:highlight w:val="none"/>
        </w:rPr>
      </w:pPr>
      <w:r>
        <w:rPr>
          <w:rFonts w:eastAsia="宋体" w:cs="宋体"/>
          <w:highlight w:val="none"/>
        </w:rPr>
        <w:t xml:space="preserve"> “采购代理机构”是指：</w:t>
      </w:r>
      <w:r>
        <w:rPr>
          <w:rFonts w:hint="eastAsia" w:eastAsia="宋体" w:cs="宋体"/>
          <w:highlight w:val="none"/>
        </w:rPr>
        <w:t>广东良德工程咨询有限公司</w:t>
      </w:r>
      <w:r>
        <w:rPr>
          <w:rFonts w:eastAsia="宋体" w:cs="宋体"/>
          <w:highlight w:val="none"/>
        </w:rPr>
        <w:t xml:space="preserve"> 。</w:t>
      </w:r>
    </w:p>
    <w:p>
      <w:pPr>
        <w:pStyle w:val="51"/>
        <w:ind w:left="480" w:hanging="480"/>
        <w:rPr>
          <w:rFonts w:eastAsia="宋体" w:cs="宋体"/>
          <w:highlight w:val="none"/>
        </w:rPr>
      </w:pPr>
      <w:r>
        <w:rPr>
          <w:rFonts w:eastAsia="宋体" w:cs="宋体"/>
          <w:highlight w:val="none"/>
        </w:rPr>
        <w:t>“招标采购单位”是指：采购人。</w:t>
      </w:r>
    </w:p>
    <w:p>
      <w:pPr>
        <w:pStyle w:val="51"/>
        <w:ind w:left="480" w:hanging="480"/>
        <w:rPr>
          <w:rFonts w:eastAsia="宋体" w:cs="宋体"/>
          <w:highlight w:val="none"/>
        </w:rPr>
      </w:pPr>
      <w:r>
        <w:rPr>
          <w:rFonts w:eastAsia="宋体" w:cs="宋体"/>
          <w:highlight w:val="none"/>
        </w:rPr>
        <w:t xml:space="preserve">合格的投标人 </w:t>
      </w:r>
    </w:p>
    <w:p>
      <w:pPr>
        <w:pStyle w:val="51"/>
        <w:numPr>
          <w:ilvl w:val="0"/>
          <w:numId w:val="0"/>
        </w:numPr>
        <w:rPr>
          <w:rFonts w:eastAsia="宋体" w:cs="宋体"/>
          <w:highlight w:val="none"/>
        </w:rPr>
      </w:pPr>
      <w:r>
        <w:rPr>
          <w:rFonts w:eastAsia="宋体" w:cs="宋体"/>
          <w:highlight w:val="none"/>
        </w:rPr>
        <w:t>符合采购公告规定的资格要求。</w:t>
      </w:r>
    </w:p>
    <w:p>
      <w:pPr>
        <w:pStyle w:val="51"/>
        <w:ind w:left="480" w:hanging="480"/>
        <w:rPr>
          <w:rFonts w:eastAsia="宋体" w:cs="宋体"/>
          <w:highlight w:val="none"/>
        </w:rPr>
      </w:pPr>
      <w:r>
        <w:rPr>
          <w:rFonts w:eastAsia="宋体" w:cs="宋体"/>
          <w:highlight w:val="none"/>
        </w:rPr>
        <w:t>“中标人”是指经法定程序确定并授予合同的投标人。</w:t>
      </w:r>
    </w:p>
    <w:p>
      <w:pPr>
        <w:pStyle w:val="76"/>
        <w:rPr>
          <w:rFonts w:ascii="宋体" w:hAnsi="宋体" w:eastAsia="宋体" w:cs="宋体"/>
          <w:highlight w:val="none"/>
        </w:rPr>
      </w:pPr>
      <w:r>
        <w:rPr>
          <w:rFonts w:ascii="宋体" w:hAnsi="宋体" w:eastAsia="宋体" w:cs="宋体"/>
          <w:highlight w:val="none"/>
        </w:rPr>
        <w:t>合格的服务</w:t>
      </w:r>
    </w:p>
    <w:p>
      <w:pPr>
        <w:pStyle w:val="18"/>
        <w:adjustRightInd w:val="0"/>
        <w:snapToGrid w:val="0"/>
        <w:spacing w:line="360" w:lineRule="auto"/>
        <w:ind w:left="103" w:hanging="103" w:hangingChars="43"/>
        <w:rPr>
          <w:rFonts w:hAnsi="宋体" w:cs="宋体"/>
          <w:sz w:val="24"/>
          <w:szCs w:val="24"/>
          <w:highlight w:val="none"/>
        </w:rPr>
      </w:pPr>
      <w:r>
        <w:rPr>
          <w:rFonts w:hAnsi="宋体" w:cs="宋体"/>
          <w:sz w:val="24"/>
          <w:szCs w:val="24"/>
          <w:highlight w:val="none"/>
        </w:rPr>
        <w:t>3.1 “</w:t>
      </w:r>
      <w:r>
        <w:rPr>
          <w:rFonts w:hAnsi="宋体" w:cs="宋体"/>
          <w:sz w:val="24"/>
          <w:highlight w:val="none"/>
        </w:rPr>
        <w:t>服务</w:t>
      </w:r>
      <w:r>
        <w:rPr>
          <w:rFonts w:hAnsi="宋体" w:cs="宋体"/>
          <w:sz w:val="24"/>
          <w:szCs w:val="24"/>
          <w:highlight w:val="none"/>
        </w:rPr>
        <w:t>”是指除货物和工程以外的其他采购对象,“合格的服务”是指投标人按招标文件的规定，依据中华人民共和国的相关法律、法规、规章以及相关国家标准、行业标准或地方（或企业）标准（如有）的规定或规范要求，向采购人提供的满足招标文件规定的需求或特定目标的服务。</w:t>
      </w:r>
    </w:p>
    <w:p>
      <w:pPr>
        <w:pStyle w:val="18"/>
        <w:adjustRightInd w:val="0"/>
        <w:snapToGrid w:val="0"/>
        <w:spacing w:line="360" w:lineRule="auto"/>
        <w:ind w:left="103" w:hanging="103" w:hangingChars="43"/>
        <w:rPr>
          <w:rFonts w:hAnsi="宋体" w:cs="宋体"/>
          <w:sz w:val="24"/>
          <w:szCs w:val="24"/>
          <w:highlight w:val="none"/>
        </w:rPr>
      </w:pPr>
      <w:r>
        <w:rPr>
          <w:rFonts w:hAnsi="宋体" w:cs="宋体"/>
          <w:sz w:val="24"/>
          <w:szCs w:val="24"/>
          <w:highlight w:val="none"/>
        </w:rPr>
        <w:t>3.2投标人须保证，采购人在中华人民共和国接受和使用投标人所提供服务的全部或任何一部分时，或者在享有合同的全部或部分权益时，免受第三方以侵犯其合法权益（例如侵犯其专利权、商标权、著作权或其它知识产权等）而提出的任何</w:t>
      </w:r>
      <w:r>
        <w:rPr>
          <w:rFonts w:hint="eastAsia" w:hAnsi="宋体" w:cs="宋体"/>
          <w:sz w:val="24"/>
          <w:szCs w:val="24"/>
          <w:highlight w:val="none"/>
          <w:lang w:val="en-US" w:eastAsia="zh-CN"/>
        </w:rPr>
        <w:t>权利主张</w:t>
      </w:r>
      <w:r>
        <w:rPr>
          <w:rFonts w:hAnsi="宋体" w:cs="宋体"/>
          <w:sz w:val="24"/>
          <w:szCs w:val="24"/>
          <w:highlight w:val="none"/>
        </w:rPr>
        <w:t>。否则，投标人须承担采购人与此相关的一切损失（包括且不限于：诉讼费、律师费、经裁</w:t>
      </w:r>
      <w:r>
        <w:rPr>
          <w:rFonts w:hint="eastAsia" w:hAnsi="宋体" w:cs="宋体"/>
          <w:sz w:val="24"/>
          <w:szCs w:val="24"/>
          <w:highlight w:val="none"/>
          <w:lang w:val="en-US" w:eastAsia="zh-CN"/>
        </w:rPr>
        <w:t>判</w:t>
      </w:r>
      <w:r>
        <w:rPr>
          <w:rFonts w:hAnsi="宋体" w:cs="宋体"/>
          <w:sz w:val="24"/>
          <w:szCs w:val="24"/>
          <w:highlight w:val="none"/>
        </w:rPr>
        <w:t>由采购人承担的任何费用、导致采购人需重新采购所产生的一切费用及时间费用损失等）。</w:t>
      </w:r>
    </w:p>
    <w:p>
      <w:pPr>
        <w:pStyle w:val="76"/>
        <w:rPr>
          <w:rFonts w:ascii="宋体" w:hAnsi="宋体" w:eastAsia="宋体" w:cs="宋体"/>
          <w:highlight w:val="none"/>
        </w:rPr>
      </w:pPr>
      <w:r>
        <w:rPr>
          <w:rFonts w:ascii="宋体" w:hAnsi="宋体" w:eastAsia="宋体" w:cs="宋体"/>
          <w:highlight w:val="none"/>
        </w:rPr>
        <w:t>投标费用</w:t>
      </w:r>
    </w:p>
    <w:p>
      <w:pPr>
        <w:pStyle w:val="51"/>
        <w:ind w:left="480" w:hanging="480"/>
        <w:rPr>
          <w:rFonts w:eastAsia="宋体" w:cs="宋体"/>
          <w:highlight w:val="none"/>
        </w:rPr>
      </w:pPr>
      <w:r>
        <w:rPr>
          <w:rFonts w:eastAsia="宋体" w:cs="宋体"/>
          <w:highlight w:val="none"/>
        </w:rPr>
        <w:t>投标人应承担所有与准备和参加投标有关的费用。不论投标的结果如何，</w:t>
      </w:r>
      <w:r>
        <w:rPr>
          <w:rFonts w:hint="default" w:eastAsia="宋体" w:cs="宋体"/>
          <w:highlight w:val="none"/>
          <w:lang w:val="en-US"/>
        </w:rPr>
        <w:t>采购</w:t>
      </w:r>
      <w:r>
        <w:rPr>
          <w:rFonts w:eastAsia="宋体" w:cs="宋体"/>
          <w:highlight w:val="none"/>
        </w:rPr>
        <w:t>代理机构和采购人均无义务和责任承担这些费用。</w:t>
      </w:r>
    </w:p>
    <w:p>
      <w:pPr>
        <w:pStyle w:val="51"/>
        <w:ind w:left="480" w:hanging="480"/>
        <w:rPr>
          <w:rFonts w:eastAsia="宋体" w:cs="宋体"/>
          <w:highlight w:val="none"/>
        </w:rPr>
      </w:pPr>
      <w:r>
        <w:rPr>
          <w:rFonts w:eastAsia="宋体" w:cs="宋体"/>
          <w:highlight w:val="none"/>
        </w:rPr>
        <w:t>中标服务费详见“投标人须知一览表”内容。</w:t>
      </w:r>
    </w:p>
    <w:p>
      <w:pPr>
        <w:pStyle w:val="54"/>
        <w:rPr>
          <w:rFonts w:ascii="宋体" w:eastAsia="宋体" w:cs="宋体"/>
          <w:highlight w:val="none"/>
        </w:rPr>
      </w:pPr>
      <w:r>
        <w:rPr>
          <w:rFonts w:ascii="宋体" w:eastAsia="宋体" w:cs="宋体"/>
          <w:highlight w:val="none"/>
        </w:rPr>
        <w:t>二、招标文件</w:t>
      </w:r>
    </w:p>
    <w:p>
      <w:pPr>
        <w:pStyle w:val="76"/>
        <w:rPr>
          <w:rFonts w:ascii="宋体" w:hAnsi="宋体" w:eastAsia="宋体" w:cs="宋体"/>
          <w:highlight w:val="none"/>
        </w:rPr>
      </w:pPr>
      <w:r>
        <w:rPr>
          <w:rFonts w:ascii="宋体" w:hAnsi="宋体" w:eastAsia="宋体" w:cs="宋体"/>
          <w:highlight w:val="none"/>
        </w:rPr>
        <w:t>招标文件的构成</w:t>
      </w:r>
    </w:p>
    <w:p>
      <w:pPr>
        <w:pStyle w:val="51"/>
        <w:ind w:left="480" w:hanging="480"/>
        <w:rPr>
          <w:rFonts w:eastAsia="宋体" w:cs="宋体"/>
          <w:highlight w:val="none"/>
        </w:rPr>
      </w:pPr>
      <w:r>
        <w:rPr>
          <w:rFonts w:eastAsia="宋体" w:cs="宋体"/>
          <w:highlight w:val="none"/>
        </w:rPr>
        <w:t>招标文件由下列文件以及在招标过程中发出的修正和补充文件组成：</w:t>
      </w:r>
    </w:p>
    <w:p>
      <w:pPr>
        <w:pStyle w:val="18"/>
        <w:adjustRightInd w:val="0"/>
        <w:snapToGrid w:val="0"/>
        <w:spacing w:line="360" w:lineRule="auto"/>
        <w:ind w:firstLine="360"/>
        <w:rPr>
          <w:rFonts w:hAnsi="宋体" w:cs="宋体"/>
          <w:sz w:val="24"/>
          <w:szCs w:val="24"/>
          <w:highlight w:val="none"/>
        </w:rPr>
      </w:pPr>
      <w:r>
        <w:rPr>
          <w:rFonts w:hAnsi="宋体" w:cs="宋体"/>
          <w:sz w:val="24"/>
          <w:szCs w:val="24"/>
          <w:highlight w:val="none"/>
        </w:rPr>
        <w:t>(1) 投标邀请函</w:t>
      </w:r>
    </w:p>
    <w:p>
      <w:pPr>
        <w:pStyle w:val="18"/>
        <w:adjustRightInd w:val="0"/>
        <w:snapToGrid w:val="0"/>
        <w:spacing w:line="360" w:lineRule="auto"/>
        <w:ind w:firstLine="360"/>
        <w:rPr>
          <w:rFonts w:hAnsi="宋体" w:cs="宋体"/>
          <w:sz w:val="24"/>
          <w:szCs w:val="24"/>
          <w:highlight w:val="none"/>
        </w:rPr>
      </w:pPr>
      <w:r>
        <w:rPr>
          <w:rFonts w:hAnsi="宋体" w:cs="宋体"/>
          <w:sz w:val="24"/>
          <w:szCs w:val="24"/>
          <w:highlight w:val="none"/>
        </w:rPr>
        <w:t>(2) 采购项目内容</w:t>
      </w:r>
    </w:p>
    <w:p>
      <w:pPr>
        <w:pStyle w:val="18"/>
        <w:adjustRightInd w:val="0"/>
        <w:snapToGrid w:val="0"/>
        <w:spacing w:line="360" w:lineRule="auto"/>
        <w:ind w:firstLine="360"/>
        <w:rPr>
          <w:rFonts w:hAnsi="宋体" w:cs="宋体"/>
          <w:sz w:val="24"/>
          <w:szCs w:val="24"/>
          <w:highlight w:val="none"/>
        </w:rPr>
      </w:pPr>
      <w:r>
        <w:rPr>
          <w:rFonts w:hAnsi="宋体" w:cs="宋体"/>
          <w:sz w:val="24"/>
          <w:szCs w:val="24"/>
          <w:highlight w:val="none"/>
        </w:rPr>
        <w:t>(3) 投标人须知</w:t>
      </w:r>
    </w:p>
    <w:p>
      <w:pPr>
        <w:pStyle w:val="18"/>
        <w:adjustRightInd w:val="0"/>
        <w:snapToGrid w:val="0"/>
        <w:spacing w:line="360" w:lineRule="auto"/>
        <w:ind w:firstLine="360"/>
        <w:rPr>
          <w:rFonts w:hAnsi="宋体" w:cs="宋体"/>
          <w:sz w:val="24"/>
          <w:szCs w:val="24"/>
          <w:highlight w:val="none"/>
        </w:rPr>
      </w:pPr>
      <w:r>
        <w:rPr>
          <w:rFonts w:hAnsi="宋体" w:cs="宋体"/>
          <w:sz w:val="24"/>
          <w:szCs w:val="24"/>
          <w:highlight w:val="none"/>
        </w:rPr>
        <w:t>(4) 合同书格式</w:t>
      </w:r>
    </w:p>
    <w:p>
      <w:pPr>
        <w:pStyle w:val="18"/>
        <w:adjustRightInd w:val="0"/>
        <w:snapToGrid w:val="0"/>
        <w:spacing w:line="360" w:lineRule="auto"/>
        <w:ind w:firstLine="360"/>
        <w:rPr>
          <w:rFonts w:hAnsi="宋体" w:cs="宋体"/>
          <w:sz w:val="24"/>
          <w:szCs w:val="24"/>
          <w:highlight w:val="none"/>
        </w:rPr>
      </w:pPr>
      <w:r>
        <w:rPr>
          <w:rFonts w:hAnsi="宋体" w:cs="宋体"/>
          <w:sz w:val="24"/>
          <w:szCs w:val="24"/>
          <w:highlight w:val="none"/>
        </w:rPr>
        <w:t xml:space="preserve">(5) 投标文件格式 </w:t>
      </w:r>
    </w:p>
    <w:p>
      <w:pPr>
        <w:pStyle w:val="18"/>
        <w:adjustRightInd w:val="0"/>
        <w:snapToGrid w:val="0"/>
        <w:spacing w:line="360" w:lineRule="auto"/>
        <w:ind w:firstLine="360"/>
        <w:rPr>
          <w:rFonts w:hAnsi="宋体" w:cs="宋体"/>
          <w:sz w:val="24"/>
          <w:szCs w:val="24"/>
          <w:highlight w:val="none"/>
        </w:rPr>
      </w:pPr>
      <w:r>
        <w:rPr>
          <w:rFonts w:hAnsi="宋体" w:cs="宋体"/>
          <w:sz w:val="24"/>
          <w:szCs w:val="24"/>
          <w:highlight w:val="none"/>
        </w:rPr>
        <w:t>(6) 评审细则</w:t>
      </w:r>
    </w:p>
    <w:p>
      <w:pPr>
        <w:pStyle w:val="51"/>
        <w:ind w:left="480" w:hanging="480"/>
        <w:rPr>
          <w:rFonts w:eastAsia="宋体" w:cs="宋体"/>
          <w:highlight w:val="none"/>
        </w:rPr>
      </w:pPr>
      <w:r>
        <w:rPr>
          <w:rFonts w:eastAsia="宋体" w:cs="宋体"/>
          <w:highlight w:val="none"/>
        </w:rPr>
        <w:t>投标人应认真阅读、并充分理解招标文件的全部内容（包括所有的补充、修改内容、重要事项、格式、条款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pPr>
        <w:pStyle w:val="51"/>
        <w:ind w:left="480" w:hanging="480"/>
        <w:rPr>
          <w:rFonts w:eastAsia="宋体" w:cs="宋体"/>
          <w:highlight w:val="none"/>
        </w:rPr>
      </w:pPr>
      <w:r>
        <w:rPr>
          <w:rFonts w:eastAsia="宋体" w:cs="宋体"/>
          <w:highlight w:val="none"/>
        </w:rPr>
        <w:t>本招标文件是编制投标文件、评标、定标及中标后签订合同的重要依据。</w:t>
      </w:r>
    </w:p>
    <w:p>
      <w:pPr>
        <w:pStyle w:val="76"/>
        <w:rPr>
          <w:rFonts w:ascii="宋体" w:hAnsi="宋体" w:eastAsia="宋体" w:cs="宋体"/>
          <w:highlight w:val="none"/>
        </w:rPr>
      </w:pPr>
      <w:r>
        <w:rPr>
          <w:rFonts w:ascii="宋体" w:hAnsi="宋体" w:eastAsia="宋体" w:cs="宋体"/>
          <w:highlight w:val="none"/>
        </w:rPr>
        <w:t>招标文件的现场考察、答疑</w:t>
      </w:r>
    </w:p>
    <w:p>
      <w:pPr>
        <w:pStyle w:val="51"/>
        <w:ind w:left="480" w:hanging="480"/>
        <w:rPr>
          <w:rFonts w:eastAsia="宋体" w:cs="宋体"/>
          <w:highlight w:val="none"/>
        </w:rPr>
      </w:pPr>
      <w:r>
        <w:rPr>
          <w:rFonts w:eastAsia="宋体" w:cs="宋体"/>
          <w:highlight w:val="none"/>
        </w:rPr>
        <w:t>采购人或者采购代理机构可以在招标文件提供期限截止后，组织已获取招标文件的潜在投标人现场考察或者召开开标前开标前答疑会。</w:t>
      </w:r>
    </w:p>
    <w:p>
      <w:pPr>
        <w:pStyle w:val="51"/>
        <w:ind w:left="480" w:hanging="480"/>
        <w:rPr>
          <w:rFonts w:eastAsia="宋体" w:cs="宋体"/>
          <w:highlight w:val="none"/>
        </w:rPr>
      </w:pPr>
      <w:r>
        <w:rPr>
          <w:rFonts w:eastAsia="宋体" w:cs="宋体"/>
          <w:highlight w:val="none"/>
        </w:rPr>
        <w:t>关于本项目是否组织现场考察或者召开开标前答疑会的情况详见《投标人须知一览表》的“现场考察或者开标前答疑会”内容。</w:t>
      </w:r>
    </w:p>
    <w:p>
      <w:pPr>
        <w:pStyle w:val="51"/>
        <w:ind w:left="480" w:hanging="480"/>
        <w:rPr>
          <w:rFonts w:eastAsia="宋体" w:cs="宋体"/>
          <w:highlight w:val="none"/>
        </w:rPr>
      </w:pPr>
      <w:r>
        <w:rPr>
          <w:rFonts w:eastAsia="宋体" w:cs="宋体"/>
          <w:highlight w:val="none"/>
        </w:rPr>
        <w:t>任何要求对招标文件进行答疑的投标人，均应以书面形式在公示期间或者自公示期满之日起七个工作日内通知</w:t>
      </w:r>
      <w:r>
        <w:rPr>
          <w:rFonts w:hint="eastAsia" w:eastAsia="宋体" w:cs="宋体"/>
          <w:highlight w:val="none"/>
        </w:rPr>
        <w:t>广东良德工程咨询有限公司</w:t>
      </w:r>
      <w:r>
        <w:rPr>
          <w:rFonts w:eastAsia="宋体" w:cs="宋体"/>
          <w:highlight w:val="none"/>
        </w:rPr>
        <w:t>。</w:t>
      </w:r>
      <w:r>
        <w:rPr>
          <w:rFonts w:hint="eastAsia" w:eastAsia="宋体" w:cs="宋体"/>
          <w:highlight w:val="none"/>
          <w:lang w:eastAsia="zh-CN"/>
        </w:rPr>
        <w:t>广东良德工程咨询有限公司</w:t>
      </w:r>
      <w:r>
        <w:rPr>
          <w:rFonts w:eastAsia="宋体" w:cs="宋体"/>
          <w:highlight w:val="none"/>
        </w:rPr>
        <w:t>将组织采购人对投标人所要求答疑的内容均以网上公告形式予以答复。必要时，将组织相关专家召开开标前答疑会，并将会议内容以网上公告的形式发布（答复中不包括问题的来源）。</w:t>
      </w:r>
    </w:p>
    <w:p>
      <w:pPr>
        <w:pStyle w:val="51"/>
        <w:ind w:left="480" w:hanging="480"/>
        <w:rPr>
          <w:rFonts w:eastAsia="宋体" w:cs="宋体"/>
          <w:highlight w:val="none"/>
        </w:rPr>
      </w:pPr>
      <w:r>
        <w:rPr>
          <w:rFonts w:eastAsia="宋体" w:cs="宋体"/>
          <w:highlight w:val="none"/>
        </w:rPr>
        <w:t>投标人在规定的时间内未对招标文件提出疑问的，将被视其为无异议。对招标文件中描述有歧义或前后不一致的地方，评标委员会有权进行评判，但对同一条款的评判应适用于每个投标人。</w:t>
      </w:r>
    </w:p>
    <w:p>
      <w:pPr>
        <w:pStyle w:val="76"/>
        <w:rPr>
          <w:rFonts w:ascii="宋体" w:hAnsi="宋体" w:eastAsia="宋体" w:cs="宋体"/>
          <w:highlight w:val="none"/>
        </w:rPr>
      </w:pPr>
      <w:r>
        <w:rPr>
          <w:rFonts w:ascii="宋体" w:hAnsi="宋体" w:eastAsia="宋体" w:cs="宋体"/>
          <w:highlight w:val="none"/>
        </w:rPr>
        <w:t>招标文件的澄清或者修改</w:t>
      </w:r>
    </w:p>
    <w:p>
      <w:pPr>
        <w:pStyle w:val="51"/>
        <w:ind w:left="480" w:hanging="480"/>
        <w:rPr>
          <w:rFonts w:eastAsia="宋体" w:cs="宋体"/>
          <w:highlight w:val="none"/>
        </w:rPr>
      </w:pPr>
      <w:r>
        <w:rPr>
          <w:rFonts w:eastAsia="宋体" w:cs="宋体"/>
          <w:highlight w:val="none"/>
        </w:rPr>
        <w:t>采购人或者采购代理机构可以对已发出的招标文件进行必要的澄清或者修改，澄清或者修改内容在原公告发布媒体上发布澄清公告。澄清或者修改的内容为招标文件的组成部分。</w:t>
      </w:r>
    </w:p>
    <w:p>
      <w:pPr>
        <w:pStyle w:val="51"/>
        <w:ind w:left="480" w:hanging="480"/>
        <w:rPr>
          <w:rFonts w:eastAsia="宋体" w:cs="宋体"/>
          <w:highlight w:val="none"/>
        </w:rPr>
      </w:pPr>
      <w:r>
        <w:rPr>
          <w:rFonts w:eastAsia="宋体" w:cs="宋体"/>
          <w:highlight w:val="none"/>
        </w:rPr>
        <w:t>澄清或者修改的内容可能影响招标文件编制的，采购人或者采购代理机构在投标截止时间至少15日前，</w:t>
      </w:r>
      <w:r>
        <w:rPr>
          <w:rFonts w:hint="eastAsia" w:eastAsia="宋体" w:cs="宋体"/>
          <w:highlight w:val="none"/>
          <w:lang w:val="en-US" w:eastAsia="zh-CN"/>
        </w:rPr>
        <w:t>发布澄清公告。</w:t>
      </w:r>
    </w:p>
    <w:p>
      <w:pPr>
        <w:pStyle w:val="54"/>
        <w:rPr>
          <w:rFonts w:ascii="宋体" w:eastAsia="宋体" w:cs="宋体"/>
          <w:highlight w:val="none"/>
        </w:rPr>
      </w:pPr>
      <w:r>
        <w:rPr>
          <w:rFonts w:ascii="宋体" w:eastAsia="宋体" w:cs="宋体"/>
          <w:highlight w:val="none"/>
        </w:rPr>
        <w:t>三、投标文件的编制和数量</w:t>
      </w:r>
    </w:p>
    <w:p>
      <w:pPr>
        <w:pStyle w:val="76"/>
        <w:rPr>
          <w:rFonts w:ascii="宋体" w:hAnsi="宋体" w:eastAsia="宋体" w:cs="宋体"/>
          <w:highlight w:val="none"/>
        </w:rPr>
      </w:pPr>
      <w:r>
        <w:rPr>
          <w:rFonts w:ascii="宋体" w:hAnsi="宋体" w:eastAsia="宋体" w:cs="宋体"/>
          <w:highlight w:val="none"/>
        </w:rPr>
        <w:t>投标的语言</w:t>
      </w:r>
    </w:p>
    <w:p>
      <w:pPr>
        <w:pStyle w:val="51"/>
        <w:ind w:left="480" w:hanging="480"/>
        <w:rPr>
          <w:rFonts w:eastAsia="宋体" w:cs="宋体"/>
          <w:highlight w:val="none"/>
        </w:rPr>
      </w:pPr>
      <w:r>
        <w:rPr>
          <w:rFonts w:eastAsia="宋体" w:cs="宋体"/>
          <w:highlight w:val="none"/>
        </w:rPr>
        <w:t>投标人提交的投标文件以及投标人与采购人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pStyle w:val="76"/>
        <w:rPr>
          <w:rFonts w:ascii="宋体" w:hAnsi="宋体" w:eastAsia="宋体" w:cs="宋体"/>
          <w:highlight w:val="none"/>
        </w:rPr>
      </w:pPr>
      <w:r>
        <w:rPr>
          <w:rFonts w:ascii="宋体" w:hAnsi="宋体" w:eastAsia="宋体" w:cs="宋体"/>
          <w:highlight w:val="none"/>
        </w:rPr>
        <w:t>投标文件编制</w:t>
      </w:r>
    </w:p>
    <w:p>
      <w:pPr>
        <w:pStyle w:val="51"/>
        <w:ind w:left="480" w:hanging="480"/>
        <w:rPr>
          <w:rFonts w:eastAsia="宋体" w:cs="宋体"/>
          <w:highlight w:val="none"/>
        </w:rPr>
      </w:pPr>
      <w:r>
        <w:rPr>
          <w:rFonts w:eastAsia="宋体" w:cs="宋体"/>
          <w:highlight w:val="none"/>
        </w:rPr>
        <w:t>投标人应当按照招标文件的要求编制投标文件。投标文件应当对招标文件提出的要求和条件作出明确响应。</w:t>
      </w:r>
    </w:p>
    <w:p>
      <w:pPr>
        <w:pStyle w:val="51"/>
        <w:ind w:left="480" w:hanging="480"/>
        <w:rPr>
          <w:rFonts w:eastAsia="宋体" w:cs="宋体"/>
          <w:highlight w:val="none"/>
        </w:rPr>
      </w:pPr>
      <w:r>
        <w:rPr>
          <w:rFonts w:eastAsia="宋体" w:cs="宋体"/>
          <w:highlight w:val="none"/>
        </w:rPr>
        <w:t>投标人对其投标文件的编制应按要求装订和封装。对未经装订的投标文件可能发生的文件散落或缺损，由此产生的后果由投标人承担。</w:t>
      </w:r>
    </w:p>
    <w:p>
      <w:pPr>
        <w:pStyle w:val="51"/>
        <w:ind w:left="480" w:hanging="480"/>
        <w:rPr>
          <w:rFonts w:eastAsia="宋体" w:cs="宋体"/>
          <w:highlight w:val="none"/>
        </w:rPr>
      </w:pPr>
      <w:r>
        <w:rPr>
          <w:rFonts w:eastAsia="宋体" w:cs="宋体"/>
          <w:highlight w:val="none"/>
        </w:rPr>
        <w:t>投标人应完整、真实、准确的填写招标文件中规定的所有内容。</w:t>
      </w:r>
    </w:p>
    <w:p>
      <w:pPr>
        <w:pStyle w:val="51"/>
        <w:ind w:left="480" w:hanging="480"/>
        <w:rPr>
          <w:rFonts w:eastAsia="宋体" w:cs="宋体"/>
          <w:highlight w:val="none"/>
        </w:rPr>
      </w:pPr>
      <w:r>
        <w:rPr>
          <w:rFonts w:eastAsia="宋体" w:cs="宋体"/>
          <w:highlight w:val="none"/>
        </w:rPr>
        <w:t>投标人必须对投标文件所提供的全部资料的真实性承担法律责任，并无条件接受采购人及监督管理部门等对其中任何资料进行核实的要求。</w:t>
      </w:r>
    </w:p>
    <w:p>
      <w:pPr>
        <w:pStyle w:val="51"/>
        <w:ind w:left="480" w:hanging="480"/>
        <w:rPr>
          <w:rFonts w:eastAsia="宋体" w:cs="宋体"/>
          <w:highlight w:val="none"/>
        </w:rPr>
      </w:pPr>
      <w:r>
        <w:rPr>
          <w:rFonts w:eastAsia="宋体" w:cs="宋体"/>
          <w:highlight w:val="none"/>
        </w:rPr>
        <w:t>如果因为投标人投标文件填报的内容不详，或没有提供招标文件中所要求的全部资料及数据，由此造成的后果，其责任由投标人承担。</w:t>
      </w:r>
    </w:p>
    <w:p>
      <w:pPr>
        <w:pStyle w:val="51"/>
        <w:ind w:left="480" w:hanging="480"/>
        <w:rPr>
          <w:rFonts w:eastAsia="宋体" w:cs="宋体"/>
          <w:highlight w:val="none"/>
        </w:rPr>
      </w:pPr>
      <w:r>
        <w:rPr>
          <w:rFonts w:eastAsia="宋体" w:cs="宋体"/>
          <w:highlight w:val="none"/>
        </w:rPr>
        <w:t>投标报价是以投标人可独立履行项目合同义务，通过合理预测与准确核算后，可达</w:t>
      </w:r>
      <w:r>
        <w:rPr>
          <w:rFonts w:hint="eastAsia" w:eastAsia="宋体" w:cs="宋体"/>
          <w:highlight w:val="none"/>
          <w:lang w:val="en-US" w:eastAsia="zh-CN"/>
        </w:rPr>
        <w:t>到</w:t>
      </w:r>
      <w:r>
        <w:rPr>
          <w:rFonts w:eastAsia="宋体" w:cs="宋体"/>
          <w:highlight w:val="none"/>
        </w:rPr>
        <w:t>预期设计功能和常规使用效果，满足约定的验收标准和符合自身合法利益的前提下所作出的综合性合理报价，对在投标文件和合同书中未有明确列述、投标方案遗漏失误、市场剧变因素、应预见和不可预见的费用等均视为已完全考虑到并包括在投标总价之内。</w:t>
      </w:r>
    </w:p>
    <w:p>
      <w:pPr>
        <w:pStyle w:val="51"/>
        <w:ind w:left="480" w:hanging="480"/>
        <w:rPr>
          <w:rFonts w:eastAsia="宋体" w:cs="宋体"/>
          <w:highlight w:val="none"/>
        </w:rPr>
      </w:pPr>
      <w:r>
        <w:rPr>
          <w:rFonts w:eastAsia="宋体" w:cs="宋体"/>
          <w:highlight w:val="none"/>
        </w:rPr>
        <w:t>投标人应预见其超出常规、具有特别意义、会引起竞争非议、有可能影响产品质量或者不能诚信履约的报价会对其投标有效性造成不良影响。投标人应自觉对其作出特别说明并提供相关证明材料以证明该报价的合理性。</w:t>
      </w:r>
    </w:p>
    <w:p>
      <w:pPr>
        <w:pStyle w:val="51"/>
        <w:ind w:left="480" w:hanging="480"/>
        <w:rPr>
          <w:rFonts w:eastAsia="宋体" w:cs="宋体"/>
          <w:highlight w:val="none"/>
        </w:rPr>
      </w:pPr>
      <w:r>
        <w:rPr>
          <w:rFonts w:eastAsia="宋体" w:cs="宋体"/>
          <w:highlight w:val="none"/>
        </w:rPr>
        <w:t>除非招标文件另有规定或许可，投标人提供的服务均以人民币进行报价。</w:t>
      </w:r>
    </w:p>
    <w:p>
      <w:pPr>
        <w:pStyle w:val="51"/>
        <w:ind w:left="480" w:hanging="480"/>
        <w:rPr>
          <w:rFonts w:eastAsia="宋体" w:cs="宋体"/>
          <w:highlight w:val="none"/>
        </w:rPr>
      </w:pPr>
      <w:r>
        <w:rPr>
          <w:rFonts w:eastAsia="宋体" w:cs="宋体"/>
          <w:highlight w:val="none"/>
        </w:rPr>
        <w:t>投标人应当遵循公平竞争的原则，不得恶意串通，不得妨碍其他投标人的竞争行为，不得损害采购人或者其他投标人的合法权益。</w:t>
      </w:r>
    </w:p>
    <w:p>
      <w:pPr>
        <w:pStyle w:val="51"/>
        <w:ind w:left="480" w:hanging="480"/>
        <w:rPr>
          <w:rFonts w:eastAsia="宋体" w:cs="宋体"/>
          <w:highlight w:val="none"/>
        </w:rPr>
      </w:pPr>
      <w:r>
        <w:rPr>
          <w:rFonts w:eastAsia="宋体" w:cs="宋体"/>
          <w:highlight w:val="none"/>
        </w:rPr>
        <w:t>在评标过程中发现投标人有上述情形的，评标委员会认定其投标无效。</w:t>
      </w:r>
    </w:p>
    <w:p>
      <w:pPr>
        <w:pStyle w:val="51"/>
        <w:ind w:left="480" w:hanging="480"/>
        <w:rPr>
          <w:rFonts w:eastAsia="宋体" w:cs="宋体"/>
          <w:highlight w:val="none"/>
        </w:rPr>
      </w:pPr>
      <w:r>
        <w:rPr>
          <w:rFonts w:eastAsia="宋体" w:cs="宋体"/>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pPr>
        <w:pStyle w:val="76"/>
        <w:rPr>
          <w:rFonts w:ascii="宋体" w:hAnsi="宋体" w:eastAsia="宋体" w:cs="宋体"/>
          <w:highlight w:val="none"/>
        </w:rPr>
      </w:pPr>
      <w:r>
        <w:rPr>
          <w:rFonts w:ascii="宋体" w:hAnsi="宋体" w:eastAsia="宋体" w:cs="宋体"/>
          <w:highlight w:val="none"/>
        </w:rPr>
        <w:t>投标要求</w:t>
      </w:r>
    </w:p>
    <w:p>
      <w:pPr>
        <w:pStyle w:val="51"/>
        <w:ind w:left="480" w:hanging="480"/>
        <w:rPr>
          <w:rFonts w:eastAsia="宋体" w:cs="宋体"/>
          <w:highlight w:val="none"/>
        </w:rPr>
      </w:pPr>
      <w:r>
        <w:rPr>
          <w:rFonts w:eastAsia="宋体" w:cs="宋体"/>
          <w:highlight w:val="none"/>
        </w:rPr>
        <w:t>本项目只允许投标人有一个投标方案，每个投标人只能有一个报价。投标报价不得超过招标文件中规定的报价上限。</w:t>
      </w:r>
    </w:p>
    <w:p>
      <w:pPr>
        <w:pStyle w:val="76"/>
        <w:rPr>
          <w:rFonts w:ascii="宋体" w:hAnsi="宋体" w:eastAsia="宋体" w:cs="宋体"/>
          <w:highlight w:val="none"/>
        </w:rPr>
      </w:pPr>
      <w:r>
        <w:rPr>
          <w:rFonts w:ascii="宋体" w:hAnsi="宋体" w:eastAsia="宋体" w:cs="宋体"/>
          <w:highlight w:val="none"/>
        </w:rPr>
        <w:t>本项目不接受联合体投标。</w:t>
      </w:r>
    </w:p>
    <w:p>
      <w:pPr>
        <w:pStyle w:val="76"/>
        <w:rPr>
          <w:rFonts w:ascii="宋体" w:hAnsi="宋体" w:eastAsia="宋体" w:cs="宋体"/>
          <w:highlight w:val="none"/>
        </w:rPr>
      </w:pPr>
      <w:r>
        <w:rPr>
          <w:rFonts w:ascii="宋体" w:hAnsi="宋体" w:eastAsia="宋体" w:cs="宋体"/>
          <w:highlight w:val="none"/>
        </w:rPr>
        <w:t>投标人资格证明文件</w:t>
      </w:r>
    </w:p>
    <w:p>
      <w:pPr>
        <w:pStyle w:val="51"/>
        <w:ind w:left="480" w:hanging="480"/>
        <w:rPr>
          <w:rFonts w:eastAsia="宋体" w:cs="宋体"/>
          <w:highlight w:val="none"/>
        </w:rPr>
      </w:pPr>
      <w:r>
        <w:rPr>
          <w:rFonts w:eastAsia="宋体" w:cs="宋体"/>
          <w:highlight w:val="none"/>
        </w:rPr>
        <w:t>投标人应按招标文件的要求，提交证明其有资格参加投标和中标后有履行合同能力的文件，并作为其投标文件的组成部分。资格证明文件必须真实有效，复印件必须加盖单位公章。</w:t>
      </w:r>
    </w:p>
    <w:p>
      <w:pPr>
        <w:pStyle w:val="76"/>
        <w:rPr>
          <w:rFonts w:ascii="宋体" w:hAnsi="宋体" w:eastAsia="宋体" w:cs="宋体"/>
          <w:highlight w:val="none"/>
        </w:rPr>
      </w:pPr>
      <w:r>
        <w:rPr>
          <w:rFonts w:ascii="宋体" w:hAnsi="宋体" w:eastAsia="宋体" w:cs="宋体"/>
          <w:highlight w:val="none"/>
        </w:rPr>
        <w:t>投标有效期</w:t>
      </w:r>
    </w:p>
    <w:p>
      <w:pPr>
        <w:pStyle w:val="51"/>
        <w:ind w:left="480" w:hanging="480"/>
        <w:rPr>
          <w:rFonts w:eastAsia="宋体" w:cs="宋体"/>
          <w:highlight w:val="none"/>
        </w:rPr>
      </w:pPr>
      <w:r>
        <w:rPr>
          <w:rFonts w:eastAsia="宋体" w:cs="宋体"/>
          <w:highlight w:val="none"/>
        </w:rPr>
        <w:t>投标有效期从提交投标文件的截止之日起算，具体单位时间详见《投标人须知一览表》的“投标有效期”内容。投标文件中承诺的投标有效期应当不少于招标文件中载明的投标有效期。投标有效期内投标人撤销投标文件的，采购人或者采购代理机构可以不退还投标保证金。</w:t>
      </w:r>
    </w:p>
    <w:p>
      <w:pPr>
        <w:pStyle w:val="76"/>
        <w:rPr>
          <w:rFonts w:ascii="宋体" w:hAnsi="宋体" w:eastAsia="宋体" w:cs="宋体"/>
          <w:highlight w:val="none"/>
        </w:rPr>
      </w:pPr>
      <w:r>
        <w:rPr>
          <w:rFonts w:ascii="宋体" w:hAnsi="宋体" w:eastAsia="宋体" w:cs="宋体"/>
          <w:highlight w:val="none"/>
        </w:rPr>
        <w:t>投标保证金</w:t>
      </w:r>
    </w:p>
    <w:p>
      <w:pPr>
        <w:pStyle w:val="51"/>
        <w:ind w:left="480" w:hanging="480"/>
        <w:rPr>
          <w:rFonts w:eastAsia="宋体" w:cs="宋体"/>
          <w:highlight w:val="none"/>
        </w:rPr>
      </w:pPr>
      <w:r>
        <w:rPr>
          <w:rFonts w:eastAsia="宋体" w:cs="宋体"/>
          <w:highlight w:val="none"/>
        </w:rPr>
        <w:t>投标保证金应从投标人账户中汇出到招标文件中指定的账户，细节详见附件《</w:t>
      </w:r>
      <w:r>
        <w:rPr>
          <w:rFonts w:eastAsia="宋体" w:cs="宋体"/>
          <w:b/>
          <w:highlight w:val="none"/>
        </w:rPr>
        <w:t>采购项目投标保证金递交须知》</w:t>
      </w:r>
      <w:r>
        <w:rPr>
          <w:rFonts w:eastAsia="宋体" w:cs="宋体"/>
          <w:highlight w:val="none"/>
        </w:rPr>
        <w:t>。投标人应按招标文件规定的金额和期限交纳投标保证金，投标保证金作为投标文件的组成部分。</w:t>
      </w:r>
      <w:r>
        <w:rPr>
          <w:rFonts w:eastAsia="宋体" w:cs="宋体"/>
          <w:b/>
          <w:sz w:val="26"/>
          <w:highlight w:val="none"/>
          <w:u w:val="single"/>
        </w:rPr>
        <w:t>开标时应携带投标保证金入账单据以供备查</w:t>
      </w:r>
      <w:r>
        <w:rPr>
          <w:rFonts w:eastAsia="宋体" w:cs="宋体"/>
          <w:b/>
          <w:sz w:val="26"/>
          <w:highlight w:val="none"/>
        </w:rPr>
        <w:t>。</w:t>
      </w:r>
      <w:r>
        <w:rPr>
          <w:rFonts w:eastAsia="宋体" w:cs="宋体"/>
          <w:highlight w:val="none"/>
        </w:rPr>
        <w:t>投标保证金的币种为人民币。</w:t>
      </w:r>
    </w:p>
    <w:p>
      <w:pPr>
        <w:pStyle w:val="51"/>
        <w:ind w:left="480" w:hanging="480"/>
        <w:rPr>
          <w:rFonts w:eastAsia="宋体" w:cs="宋体"/>
          <w:highlight w:val="none"/>
        </w:rPr>
      </w:pPr>
      <w:r>
        <w:rPr>
          <w:rFonts w:eastAsia="宋体" w:cs="宋体"/>
          <w:highlight w:val="none"/>
        </w:rPr>
        <w:t>凡未按规定交纳投标保证金的投标，为无效投标。</w:t>
      </w:r>
    </w:p>
    <w:p>
      <w:pPr>
        <w:pStyle w:val="51"/>
        <w:ind w:left="480" w:hanging="480"/>
        <w:rPr>
          <w:rFonts w:eastAsia="宋体" w:cs="宋体"/>
          <w:highlight w:val="none"/>
        </w:rPr>
      </w:pPr>
      <w:r>
        <w:rPr>
          <w:rFonts w:eastAsia="宋体" w:cs="宋体"/>
          <w:highlight w:val="none"/>
        </w:rPr>
        <w:t>有下列情形之一的，没收投标保证金：</w:t>
      </w:r>
    </w:p>
    <w:p>
      <w:pPr>
        <w:pStyle w:val="18"/>
        <w:adjustRightInd w:val="0"/>
        <w:snapToGrid w:val="0"/>
        <w:spacing w:line="360" w:lineRule="auto"/>
        <w:ind w:left="1020" w:leftChars="200" w:hanging="600" w:hangingChars="250"/>
        <w:rPr>
          <w:rFonts w:hAnsi="宋体" w:cs="宋体"/>
          <w:sz w:val="24"/>
          <w:szCs w:val="24"/>
          <w:highlight w:val="none"/>
        </w:rPr>
      </w:pPr>
      <w:r>
        <w:rPr>
          <w:rFonts w:hAnsi="宋体" w:cs="宋体"/>
          <w:sz w:val="24"/>
          <w:szCs w:val="24"/>
          <w:highlight w:val="none"/>
        </w:rPr>
        <w:t xml:space="preserve">（1）已递交投标文件，并在截止时间之后，投标有效期内投标人撤销投标文件的； </w:t>
      </w:r>
    </w:p>
    <w:p>
      <w:pPr>
        <w:pStyle w:val="18"/>
        <w:adjustRightInd w:val="0"/>
        <w:snapToGrid w:val="0"/>
        <w:spacing w:line="360" w:lineRule="auto"/>
        <w:ind w:left="780" w:leftChars="200" w:hanging="360" w:hangingChars="150"/>
        <w:rPr>
          <w:rFonts w:hAnsi="宋体" w:cs="宋体"/>
          <w:sz w:val="24"/>
          <w:szCs w:val="24"/>
          <w:highlight w:val="none"/>
        </w:rPr>
      </w:pPr>
      <w:r>
        <w:rPr>
          <w:rFonts w:hAnsi="宋体" w:cs="宋体"/>
          <w:sz w:val="24"/>
          <w:szCs w:val="24"/>
          <w:highlight w:val="none"/>
        </w:rPr>
        <w:t>（2）投标文件中提供伪造、虚假的材料或信息；</w:t>
      </w:r>
    </w:p>
    <w:p>
      <w:pPr>
        <w:pStyle w:val="18"/>
        <w:adjustRightInd w:val="0"/>
        <w:snapToGrid w:val="0"/>
        <w:spacing w:line="360" w:lineRule="auto"/>
        <w:ind w:left="780" w:leftChars="200" w:hanging="360" w:hangingChars="150"/>
        <w:rPr>
          <w:rFonts w:hAnsi="宋体" w:cs="宋体"/>
          <w:sz w:val="24"/>
          <w:szCs w:val="24"/>
          <w:highlight w:val="none"/>
        </w:rPr>
      </w:pPr>
      <w:r>
        <w:rPr>
          <w:rFonts w:hAnsi="宋体" w:cs="宋体"/>
          <w:sz w:val="24"/>
          <w:szCs w:val="24"/>
          <w:highlight w:val="none"/>
        </w:rPr>
        <w:t>（3）在评标期间，使用不正当手段试图影响、改变评标结果；</w:t>
      </w:r>
    </w:p>
    <w:p>
      <w:pPr>
        <w:pStyle w:val="18"/>
        <w:adjustRightInd w:val="0"/>
        <w:snapToGrid w:val="0"/>
        <w:spacing w:line="360" w:lineRule="auto"/>
        <w:ind w:left="780" w:leftChars="200" w:hanging="360" w:hangingChars="150"/>
        <w:rPr>
          <w:rFonts w:hAnsi="宋体" w:cs="宋体"/>
          <w:sz w:val="24"/>
          <w:szCs w:val="24"/>
          <w:highlight w:val="none"/>
        </w:rPr>
      </w:pPr>
      <w:r>
        <w:rPr>
          <w:rFonts w:hAnsi="宋体" w:cs="宋体"/>
          <w:sz w:val="24"/>
          <w:szCs w:val="24"/>
          <w:highlight w:val="none"/>
        </w:rPr>
        <w:t>（4）恶意串通或捏造事实，对其竞争对手进行诋毁、排挤、攻击；</w:t>
      </w:r>
    </w:p>
    <w:p>
      <w:pPr>
        <w:pStyle w:val="18"/>
        <w:adjustRightInd w:val="0"/>
        <w:snapToGrid w:val="0"/>
        <w:spacing w:line="360" w:lineRule="auto"/>
        <w:ind w:left="780" w:leftChars="200" w:hanging="360" w:hangingChars="150"/>
        <w:rPr>
          <w:rFonts w:hAnsi="宋体" w:cs="宋体"/>
          <w:sz w:val="24"/>
          <w:szCs w:val="24"/>
          <w:highlight w:val="none"/>
        </w:rPr>
      </w:pPr>
      <w:r>
        <w:rPr>
          <w:rFonts w:hAnsi="宋体" w:cs="宋体"/>
          <w:sz w:val="24"/>
          <w:szCs w:val="24"/>
          <w:highlight w:val="none"/>
        </w:rPr>
        <w:t>（5）不按期签订合同，或拒绝、拖延、没有完全履行投标承诺和合同义务；</w:t>
      </w:r>
    </w:p>
    <w:p>
      <w:pPr>
        <w:pStyle w:val="18"/>
        <w:adjustRightInd w:val="0"/>
        <w:snapToGrid w:val="0"/>
        <w:spacing w:line="360" w:lineRule="auto"/>
        <w:ind w:left="780" w:leftChars="200" w:hanging="360" w:hangingChars="150"/>
        <w:rPr>
          <w:rFonts w:hAnsi="宋体" w:cs="宋体"/>
          <w:sz w:val="24"/>
          <w:szCs w:val="24"/>
          <w:highlight w:val="none"/>
        </w:rPr>
      </w:pPr>
      <w:r>
        <w:rPr>
          <w:rFonts w:hAnsi="宋体" w:cs="宋体"/>
          <w:sz w:val="24"/>
          <w:szCs w:val="24"/>
          <w:highlight w:val="none"/>
        </w:rPr>
        <w:t>（6）擅自将合同项目或主体关键性内容分包转让他人；</w:t>
      </w:r>
    </w:p>
    <w:p>
      <w:pPr>
        <w:pStyle w:val="18"/>
        <w:adjustRightInd w:val="0"/>
        <w:snapToGrid w:val="0"/>
        <w:spacing w:line="360" w:lineRule="auto"/>
        <w:ind w:left="780" w:leftChars="200" w:hanging="360" w:hangingChars="150"/>
        <w:rPr>
          <w:rFonts w:hAnsi="宋体" w:cs="宋体"/>
          <w:sz w:val="24"/>
          <w:szCs w:val="24"/>
          <w:highlight w:val="none"/>
        </w:rPr>
      </w:pPr>
      <w:r>
        <w:rPr>
          <w:rFonts w:hAnsi="宋体" w:cs="宋体"/>
          <w:sz w:val="24"/>
          <w:szCs w:val="24"/>
          <w:highlight w:val="none"/>
        </w:rPr>
        <w:t>（7）获中标候选人资格通知或公告后，无法如期按采购人要求履行承诺并提供合法有效的重要证明材料；</w:t>
      </w:r>
    </w:p>
    <w:p>
      <w:pPr>
        <w:pStyle w:val="18"/>
        <w:adjustRightInd w:val="0"/>
        <w:snapToGrid w:val="0"/>
        <w:spacing w:line="360" w:lineRule="auto"/>
        <w:ind w:left="1020" w:leftChars="200" w:hanging="600" w:hangingChars="250"/>
        <w:rPr>
          <w:rFonts w:hAnsi="宋体" w:cs="宋体"/>
          <w:sz w:val="24"/>
          <w:szCs w:val="24"/>
          <w:highlight w:val="none"/>
        </w:rPr>
      </w:pPr>
      <w:r>
        <w:rPr>
          <w:rFonts w:hAnsi="宋体" w:cs="宋体"/>
          <w:sz w:val="24"/>
          <w:szCs w:val="24"/>
          <w:highlight w:val="none"/>
        </w:rPr>
        <w:t>（8）违反采购法规，违反了诚实信用、公平竞争和如实告知原则，扰乱了采购程序；</w:t>
      </w:r>
    </w:p>
    <w:p>
      <w:pPr>
        <w:pStyle w:val="18"/>
        <w:adjustRightInd w:val="0"/>
        <w:snapToGrid w:val="0"/>
        <w:spacing w:line="360" w:lineRule="auto"/>
        <w:ind w:left="1020" w:leftChars="200" w:hanging="600" w:hangingChars="250"/>
        <w:rPr>
          <w:rFonts w:hAnsi="宋体" w:cs="宋体"/>
          <w:sz w:val="24"/>
          <w:szCs w:val="24"/>
          <w:highlight w:val="none"/>
        </w:rPr>
      </w:pPr>
      <w:r>
        <w:rPr>
          <w:rFonts w:hAnsi="宋体" w:cs="宋体"/>
          <w:sz w:val="24"/>
          <w:szCs w:val="24"/>
          <w:highlight w:val="none"/>
        </w:rPr>
        <w:t>（9）提供虚假、恶意质疑投诉材料或在一年内有三次以上查无实据的质疑投诉记录。</w:t>
      </w:r>
    </w:p>
    <w:p>
      <w:pPr>
        <w:pStyle w:val="76"/>
        <w:rPr>
          <w:rFonts w:ascii="宋体" w:hAnsi="宋体" w:eastAsia="宋体" w:cs="宋体"/>
          <w:highlight w:val="none"/>
        </w:rPr>
      </w:pPr>
      <w:r>
        <w:rPr>
          <w:rFonts w:ascii="宋体" w:hAnsi="宋体" w:eastAsia="宋体" w:cs="宋体"/>
          <w:highlight w:val="none"/>
        </w:rPr>
        <w:t>投标文件的数量和签署</w:t>
      </w:r>
    </w:p>
    <w:p>
      <w:pPr>
        <w:pStyle w:val="51"/>
        <w:ind w:left="480" w:hanging="480"/>
        <w:rPr>
          <w:rFonts w:eastAsia="宋体" w:cs="宋体"/>
          <w:highlight w:val="none"/>
        </w:rPr>
      </w:pPr>
      <w:r>
        <w:rPr>
          <w:rFonts w:eastAsia="宋体" w:cs="宋体"/>
          <w:highlight w:val="none"/>
        </w:rPr>
        <w:t>投标人应编制</w:t>
      </w:r>
      <w:r>
        <w:rPr>
          <w:rFonts w:eastAsia="宋体" w:cs="宋体"/>
          <w:b/>
          <w:bCs/>
          <w:highlight w:val="none"/>
        </w:rPr>
        <w:t>投标文件-资格审查部分一式五份（其中，正本一份和副本四份）</w:t>
      </w:r>
      <w:r>
        <w:rPr>
          <w:rFonts w:eastAsia="宋体" w:cs="宋体"/>
          <w:highlight w:val="none"/>
        </w:rPr>
        <w:t>，</w:t>
      </w:r>
      <w:r>
        <w:rPr>
          <w:rFonts w:eastAsia="宋体" w:cs="宋体"/>
          <w:b/>
          <w:bCs/>
          <w:highlight w:val="none"/>
        </w:rPr>
        <w:t>投标文件一式五份（其中，正本一份和副本四份）</w:t>
      </w:r>
      <w:r>
        <w:rPr>
          <w:rFonts w:eastAsia="宋体" w:cs="宋体"/>
          <w:highlight w:val="none"/>
        </w:rPr>
        <w:t>，开标一览表一份，电子光盘或U盘</w:t>
      </w:r>
      <w:r>
        <w:rPr>
          <w:rFonts w:hint="eastAsia" w:eastAsia="宋体" w:cs="宋体"/>
          <w:highlight w:val="none"/>
          <w:lang w:val="en-US" w:eastAsia="zh-CN"/>
        </w:rPr>
        <w:t>两</w:t>
      </w:r>
      <w:r>
        <w:rPr>
          <w:rFonts w:eastAsia="宋体" w:cs="宋体"/>
          <w:highlight w:val="none"/>
        </w:rPr>
        <w:t>份。</w:t>
      </w:r>
    </w:p>
    <w:p>
      <w:pPr>
        <w:pStyle w:val="51"/>
        <w:ind w:left="480" w:hanging="480"/>
        <w:rPr>
          <w:rFonts w:eastAsia="宋体" w:cs="宋体"/>
          <w:highlight w:val="none"/>
        </w:rPr>
      </w:pPr>
      <w:r>
        <w:rPr>
          <w:rFonts w:eastAsia="宋体" w:cs="宋体"/>
          <w:highlight w:val="none"/>
        </w:rPr>
        <w:t>投标文件的正本需打印或用不褪色墨水书写，并由法定代表人/负责人或经其正式授权的代表签字。授权代表须出具书面授权证明，其《法定代表人/负责人授权委托书》应附在投标文件中。</w:t>
      </w:r>
    </w:p>
    <w:p>
      <w:pPr>
        <w:pStyle w:val="51"/>
        <w:ind w:left="480" w:hanging="480"/>
        <w:rPr>
          <w:rFonts w:eastAsia="宋体" w:cs="宋体"/>
          <w:highlight w:val="none"/>
        </w:rPr>
      </w:pPr>
      <w:r>
        <w:rPr>
          <w:rFonts w:eastAsia="宋体" w:cs="宋体"/>
          <w:highlight w:val="none"/>
        </w:rPr>
        <w:t>投标文件中的任何重要的插字、涂改和增删，必须由法定代表人/负责人或经其正式授权的代表在旁边签章或签字</w:t>
      </w:r>
      <w:r>
        <w:rPr>
          <w:rFonts w:hint="eastAsia" w:eastAsia="宋体" w:cs="宋体"/>
          <w:highlight w:val="none"/>
          <w:lang w:val="en-US" w:eastAsia="zh-CN"/>
        </w:rPr>
        <w:t>方为</w:t>
      </w:r>
      <w:r>
        <w:rPr>
          <w:rFonts w:eastAsia="宋体" w:cs="宋体"/>
          <w:highlight w:val="none"/>
        </w:rPr>
        <w:t>有效。</w:t>
      </w:r>
    </w:p>
    <w:p>
      <w:pPr>
        <w:pStyle w:val="54"/>
        <w:rPr>
          <w:rFonts w:ascii="宋体" w:eastAsia="宋体" w:cs="宋体"/>
          <w:highlight w:val="none"/>
        </w:rPr>
      </w:pPr>
      <w:r>
        <w:rPr>
          <w:rFonts w:ascii="宋体" w:eastAsia="宋体" w:cs="宋体"/>
          <w:highlight w:val="none"/>
        </w:rPr>
        <w:t>四、投标文件的递交</w:t>
      </w:r>
    </w:p>
    <w:p>
      <w:pPr>
        <w:pStyle w:val="76"/>
        <w:rPr>
          <w:rFonts w:ascii="宋体" w:hAnsi="宋体" w:eastAsia="宋体" w:cs="宋体"/>
          <w:highlight w:val="none"/>
        </w:rPr>
      </w:pPr>
      <w:r>
        <w:rPr>
          <w:rFonts w:ascii="宋体" w:hAnsi="宋体" w:eastAsia="宋体" w:cs="宋体"/>
          <w:highlight w:val="none"/>
        </w:rPr>
        <w:t>投标的截止期</w:t>
      </w:r>
    </w:p>
    <w:p>
      <w:pPr>
        <w:pStyle w:val="51"/>
        <w:ind w:left="480" w:hanging="480"/>
        <w:rPr>
          <w:rFonts w:eastAsia="宋体" w:cs="宋体"/>
          <w:highlight w:val="none"/>
        </w:rPr>
      </w:pPr>
      <w:r>
        <w:rPr>
          <w:rFonts w:eastAsia="宋体" w:cs="宋体"/>
          <w:highlight w:val="none"/>
        </w:rPr>
        <w:t>提交投标文件的截止时间详见采购公告。</w:t>
      </w:r>
    </w:p>
    <w:p>
      <w:pPr>
        <w:pStyle w:val="51"/>
        <w:ind w:left="480" w:hanging="480"/>
        <w:rPr>
          <w:rFonts w:eastAsia="宋体" w:cs="宋体"/>
          <w:highlight w:val="none"/>
        </w:rPr>
      </w:pPr>
      <w:r>
        <w:rPr>
          <w:rFonts w:eastAsia="宋体" w:cs="宋体"/>
          <w:highlight w:val="none"/>
        </w:rPr>
        <w:t>投标人应当在招标文件要求提交投标文件的截止时间前，将投标文件密封送达投标地点。采购人或者采购代理机构收到投标文件后，如实记载投标文件的送达时间和密封情况，签收保存，并向投标人出具签收回执。任何单位和个人不得在开标前开启投标文件。</w:t>
      </w:r>
    </w:p>
    <w:p>
      <w:pPr>
        <w:pStyle w:val="76"/>
        <w:rPr>
          <w:rFonts w:ascii="宋体" w:hAnsi="宋体" w:eastAsia="宋体" w:cs="宋体"/>
          <w:highlight w:val="none"/>
        </w:rPr>
      </w:pPr>
      <w:r>
        <w:rPr>
          <w:rFonts w:ascii="宋体" w:hAnsi="宋体" w:eastAsia="宋体" w:cs="宋体"/>
          <w:highlight w:val="none"/>
        </w:rPr>
        <w:t>投标文件的密封和标记</w:t>
      </w:r>
    </w:p>
    <w:p>
      <w:pPr>
        <w:pStyle w:val="51"/>
        <w:ind w:left="480" w:hanging="480"/>
        <w:rPr>
          <w:rFonts w:eastAsia="宋体" w:cs="宋体"/>
          <w:highlight w:val="none"/>
        </w:rPr>
      </w:pPr>
      <w:r>
        <w:rPr>
          <w:rFonts w:eastAsia="宋体" w:cs="宋体"/>
          <w:highlight w:val="none"/>
        </w:rPr>
        <w:t>为方便开标时唱标，投标人应将《开标一览表》一份单独密封提交，并在信封上清晰标明“开标一览表”字样。若此《开标一览表》与投标文件中的《开标一览表》内容不一致，以投标文件正本为准。</w:t>
      </w:r>
    </w:p>
    <w:p>
      <w:pPr>
        <w:pStyle w:val="51"/>
        <w:ind w:left="480" w:hanging="480"/>
        <w:rPr>
          <w:rFonts w:eastAsia="宋体" w:cs="宋体"/>
          <w:highlight w:val="none"/>
        </w:rPr>
      </w:pPr>
      <w:r>
        <w:rPr>
          <w:rFonts w:eastAsia="宋体" w:cs="宋体"/>
          <w:highlight w:val="none"/>
        </w:rPr>
        <w:t>投标文件-资格审查部分、投标文件上应清晰标明“正本”或“副本”字样。投标文件的副本可采用正本的复印件。若副本与正本不一致，以正本为准。建议投标人将投标文件正本和所有的副本密封包装在同一个密封袋内。</w:t>
      </w:r>
    </w:p>
    <w:p>
      <w:pPr>
        <w:pStyle w:val="51"/>
        <w:ind w:left="480" w:hanging="480"/>
        <w:rPr>
          <w:rFonts w:eastAsia="宋体" w:cs="宋体"/>
          <w:highlight w:val="none"/>
        </w:rPr>
      </w:pPr>
      <w:r>
        <w:rPr>
          <w:rFonts w:eastAsia="宋体" w:cs="宋体"/>
          <w:highlight w:val="none"/>
        </w:rPr>
        <w:t>电子光盘或U盘一份单独密封提交，并在信封上清晰标明“投标文件电子版”字样。</w:t>
      </w:r>
    </w:p>
    <w:p>
      <w:pPr>
        <w:pStyle w:val="51"/>
        <w:ind w:left="480" w:hanging="480"/>
        <w:rPr>
          <w:rFonts w:eastAsia="宋体" w:cs="宋体"/>
          <w:highlight w:val="none"/>
        </w:rPr>
      </w:pPr>
      <w:r>
        <w:rPr>
          <w:rFonts w:eastAsia="宋体" w:cs="宋体"/>
          <w:highlight w:val="none"/>
        </w:rPr>
        <w:t>信封或投标文件外包装上应当注明采购项目名称、采购项目编号和“在20</w:t>
      </w:r>
      <w:r>
        <w:rPr>
          <w:rFonts w:hint="eastAsia" w:eastAsia="宋体" w:cs="宋体"/>
          <w:highlight w:val="none"/>
          <w:lang w:val="en-US" w:eastAsia="zh-CN"/>
        </w:rPr>
        <w:t>22</w:t>
      </w:r>
      <w:r>
        <w:rPr>
          <w:rFonts w:eastAsia="宋体" w:cs="宋体"/>
          <w:highlight w:val="none"/>
        </w:rPr>
        <w:t>年  月  日  时  分之前不得启封”的字样(可参考《附件二 外包装封面参考格式》)，封口处应加盖投标人印章或密封章。</w:t>
      </w:r>
    </w:p>
    <w:p>
      <w:pPr>
        <w:pStyle w:val="51"/>
        <w:ind w:left="480" w:hanging="480"/>
        <w:rPr>
          <w:rFonts w:eastAsia="宋体" w:cs="宋体"/>
          <w:highlight w:val="none"/>
        </w:rPr>
      </w:pPr>
      <w:r>
        <w:rPr>
          <w:rFonts w:eastAsia="宋体" w:cs="宋体"/>
          <w:highlight w:val="none"/>
        </w:rPr>
        <w:t>逾期送达或者未按照招标文件要求密封的投标文件，采购人、采购代理机构将拒收。投标人所提交的投标文件在评标结束后，无论中标与否</w:t>
      </w:r>
      <w:r>
        <w:rPr>
          <w:rFonts w:hint="eastAsia" w:eastAsia="宋体" w:cs="宋体"/>
          <w:highlight w:val="none"/>
          <w:lang w:val="en-US" w:eastAsia="zh-CN"/>
        </w:rPr>
        <w:t>均</w:t>
      </w:r>
      <w:r>
        <w:rPr>
          <w:rFonts w:eastAsia="宋体" w:cs="宋体"/>
          <w:highlight w:val="none"/>
        </w:rPr>
        <w:t>不</w:t>
      </w:r>
      <w:r>
        <w:rPr>
          <w:rFonts w:hint="eastAsia" w:eastAsia="宋体" w:cs="宋体"/>
          <w:highlight w:val="none"/>
          <w:lang w:val="en-US" w:eastAsia="zh-CN"/>
        </w:rPr>
        <w:t>作</w:t>
      </w:r>
      <w:r>
        <w:rPr>
          <w:rFonts w:eastAsia="宋体" w:cs="宋体"/>
          <w:highlight w:val="none"/>
        </w:rPr>
        <w:t>退还。</w:t>
      </w:r>
    </w:p>
    <w:p>
      <w:pPr>
        <w:pStyle w:val="76"/>
        <w:rPr>
          <w:rFonts w:ascii="宋体" w:hAnsi="宋体" w:eastAsia="宋体" w:cs="宋体"/>
          <w:highlight w:val="none"/>
        </w:rPr>
      </w:pPr>
      <w:r>
        <w:rPr>
          <w:rFonts w:ascii="宋体" w:hAnsi="宋体" w:eastAsia="宋体" w:cs="宋体"/>
          <w:highlight w:val="none"/>
        </w:rPr>
        <w:t>投标文件的补充、修改或者撤回</w:t>
      </w:r>
    </w:p>
    <w:p>
      <w:pPr>
        <w:pStyle w:val="51"/>
        <w:ind w:left="480" w:hanging="480"/>
        <w:rPr>
          <w:rFonts w:eastAsia="宋体" w:cs="宋体"/>
          <w:highlight w:val="none"/>
        </w:rPr>
      </w:pPr>
      <w:r>
        <w:rPr>
          <w:rFonts w:eastAsia="宋体" w:cs="宋体"/>
          <w:highlight w:val="none"/>
        </w:rPr>
        <w:t>投标人在投标截止时间前，可以对所递交的投标文件进行补充、修改或者撤回，并书面通知采购人或者采购代理机构。补充、修改的内容应当按照招标文件要求签署、盖章、密封后，作为投标文件的组成部分。</w:t>
      </w:r>
    </w:p>
    <w:p>
      <w:pPr>
        <w:pStyle w:val="51"/>
        <w:ind w:left="480" w:hanging="480"/>
        <w:rPr>
          <w:rFonts w:eastAsia="宋体" w:cs="宋体"/>
          <w:highlight w:val="none"/>
        </w:rPr>
      </w:pPr>
      <w:r>
        <w:rPr>
          <w:rFonts w:eastAsia="宋体" w:cs="宋体"/>
          <w:highlight w:val="none"/>
        </w:rPr>
        <w:t>投标人在投标截止时间前撤回已提交的投标文件的，自收到投标人书面撤回通知之日起５个工作日内，退还已收取的投标保证金，但因投标人自身原因导致无法及时退还的除外。</w:t>
      </w:r>
    </w:p>
    <w:p>
      <w:pPr>
        <w:pStyle w:val="54"/>
        <w:rPr>
          <w:rFonts w:ascii="宋体" w:eastAsia="宋体" w:cs="宋体"/>
          <w:highlight w:val="none"/>
        </w:rPr>
      </w:pPr>
      <w:r>
        <w:rPr>
          <w:rFonts w:ascii="宋体" w:eastAsia="宋体" w:cs="宋体"/>
          <w:highlight w:val="none"/>
        </w:rPr>
        <w:t>五、开标、评标定标（详见后附《评审细则》）</w:t>
      </w:r>
    </w:p>
    <w:p>
      <w:pPr>
        <w:pStyle w:val="54"/>
        <w:rPr>
          <w:rFonts w:ascii="宋体" w:eastAsia="宋体" w:cs="宋体"/>
          <w:highlight w:val="none"/>
        </w:rPr>
      </w:pPr>
      <w:r>
        <w:rPr>
          <w:rFonts w:ascii="宋体" w:eastAsia="宋体" w:cs="宋体"/>
          <w:highlight w:val="none"/>
        </w:rPr>
        <w:t>六、确定评审结果</w:t>
      </w:r>
    </w:p>
    <w:p>
      <w:pPr>
        <w:pStyle w:val="76"/>
        <w:rPr>
          <w:rFonts w:ascii="宋体" w:hAnsi="宋体" w:eastAsia="宋体" w:cs="宋体"/>
          <w:highlight w:val="none"/>
        </w:rPr>
      </w:pPr>
      <w:r>
        <w:rPr>
          <w:rFonts w:ascii="宋体" w:hAnsi="宋体" w:eastAsia="宋体" w:cs="宋体"/>
          <w:highlight w:val="none"/>
        </w:rPr>
        <w:t>中标通知</w:t>
      </w:r>
    </w:p>
    <w:p>
      <w:pPr>
        <w:pStyle w:val="51"/>
        <w:ind w:left="480" w:hanging="480"/>
        <w:rPr>
          <w:rFonts w:eastAsia="宋体" w:cs="宋体"/>
          <w:highlight w:val="none"/>
        </w:rPr>
      </w:pPr>
      <w:r>
        <w:rPr>
          <w:rFonts w:eastAsia="宋体" w:cs="宋体"/>
          <w:highlight w:val="none"/>
        </w:rPr>
        <w:t>中标结果将在指定媒体上公告，并向中标人签发《中标通知书》，不在中标名单之列者即默认为落标，对中标与落标原因不作任何解释。</w:t>
      </w:r>
    </w:p>
    <w:p>
      <w:pPr>
        <w:pStyle w:val="51"/>
        <w:ind w:left="480" w:hanging="480"/>
        <w:rPr>
          <w:rFonts w:eastAsia="宋体" w:cs="宋体"/>
          <w:highlight w:val="none"/>
        </w:rPr>
      </w:pPr>
      <w:r>
        <w:rPr>
          <w:rFonts w:eastAsia="宋体" w:cs="宋体"/>
          <w:highlight w:val="none"/>
        </w:rPr>
        <w:t>在未取得合法理由而获批复前，中标人擅自放弃中标资格，则须承担相应的违约处罚责任，并赔偿采购人由此所造成的一切经济损失。</w:t>
      </w:r>
    </w:p>
    <w:p>
      <w:pPr>
        <w:pStyle w:val="76"/>
        <w:rPr>
          <w:rFonts w:ascii="宋体" w:hAnsi="宋体" w:eastAsia="宋体" w:cs="宋体"/>
          <w:highlight w:val="none"/>
        </w:rPr>
      </w:pPr>
      <w:r>
        <w:rPr>
          <w:rFonts w:ascii="宋体" w:hAnsi="宋体" w:eastAsia="宋体" w:cs="宋体"/>
          <w:highlight w:val="none"/>
        </w:rPr>
        <w:t>合同签订与跟踪</w:t>
      </w:r>
    </w:p>
    <w:p>
      <w:pPr>
        <w:pStyle w:val="51"/>
        <w:ind w:left="480" w:hanging="480"/>
        <w:rPr>
          <w:rFonts w:eastAsia="宋体" w:cs="宋体"/>
          <w:highlight w:val="none"/>
        </w:rPr>
      </w:pPr>
      <w:r>
        <w:rPr>
          <w:rFonts w:eastAsia="宋体" w:cs="宋体"/>
          <w:highlight w:val="none"/>
        </w:rPr>
        <w:t>中标人应按照招标文件要求与采购人签订</w:t>
      </w:r>
      <w:r>
        <w:rPr>
          <w:rFonts w:hint="eastAsia" w:eastAsia="宋体" w:cs="宋体"/>
          <w:highlight w:val="none"/>
          <w:lang w:eastAsia="zh-CN"/>
        </w:rPr>
        <w:t>服务协议</w:t>
      </w:r>
      <w:r>
        <w:rPr>
          <w:rFonts w:eastAsia="宋体" w:cs="宋体"/>
          <w:highlight w:val="none"/>
        </w:rPr>
        <w:t>。</w:t>
      </w:r>
      <w:r>
        <w:rPr>
          <w:rFonts w:hint="eastAsia" w:eastAsia="宋体" w:cs="宋体"/>
          <w:highlight w:val="none"/>
          <w:lang w:eastAsia="zh-CN"/>
        </w:rPr>
        <w:t>服务协议</w:t>
      </w:r>
      <w:r>
        <w:rPr>
          <w:rFonts w:eastAsia="宋体" w:cs="宋体"/>
          <w:highlight w:val="none"/>
        </w:rPr>
        <w:t>须经采购代理机构鉴证，如对抗或拖延履行签订</w:t>
      </w:r>
      <w:r>
        <w:rPr>
          <w:rFonts w:hint="eastAsia" w:eastAsia="宋体" w:cs="宋体"/>
          <w:highlight w:val="none"/>
          <w:lang w:eastAsia="zh-CN"/>
        </w:rPr>
        <w:t>服务协议</w:t>
      </w:r>
      <w:r>
        <w:rPr>
          <w:rFonts w:eastAsia="宋体" w:cs="宋体"/>
          <w:highlight w:val="none"/>
        </w:rPr>
        <w:t>责任和义务时，将没收其保证金。</w:t>
      </w:r>
    </w:p>
    <w:p>
      <w:pPr>
        <w:pStyle w:val="51"/>
        <w:ind w:left="480" w:hanging="480"/>
        <w:rPr>
          <w:rFonts w:eastAsia="宋体" w:cs="宋体"/>
          <w:highlight w:val="none"/>
        </w:rPr>
      </w:pPr>
      <w:r>
        <w:rPr>
          <w:rFonts w:eastAsia="宋体" w:cs="宋体"/>
          <w:highlight w:val="none"/>
        </w:rPr>
        <w:t>招标文件、中标人的投标文件及相关澄清材料，均作为合同订立的依据。对投标文件及澄清</w:t>
      </w:r>
      <w:r>
        <w:rPr>
          <w:rFonts w:hint="eastAsia" w:eastAsia="宋体" w:cs="宋体"/>
          <w:highlight w:val="none"/>
          <w:lang w:eastAsia="zh-CN"/>
        </w:rPr>
        <w:t>附</w:t>
      </w:r>
      <w:r>
        <w:rPr>
          <w:rFonts w:eastAsia="宋体" w:cs="宋体"/>
          <w:highlight w:val="none"/>
        </w:rPr>
        <w:t>件中出现歧义、不确定的内容等解释均以本项目评审专家的理解确认为准。</w:t>
      </w:r>
    </w:p>
    <w:p>
      <w:pPr>
        <w:pStyle w:val="51"/>
        <w:ind w:left="480" w:hanging="480"/>
        <w:rPr>
          <w:rFonts w:eastAsia="宋体" w:cs="宋体"/>
          <w:highlight w:val="none"/>
        </w:rPr>
      </w:pPr>
      <w:r>
        <w:rPr>
          <w:rFonts w:eastAsia="宋体" w:cs="宋体"/>
          <w:highlight w:val="none"/>
        </w:rPr>
        <w:t>合同生效后一切行为均适用于《</w:t>
      </w:r>
      <w:r>
        <w:rPr>
          <w:rFonts w:hint="eastAsia" w:eastAsia="宋体" w:cs="宋体"/>
          <w:highlight w:val="none"/>
        </w:rPr>
        <w:t>中华人民共和国民法典</w:t>
      </w:r>
      <w:r>
        <w:rPr>
          <w:rFonts w:eastAsia="宋体" w:cs="宋体"/>
          <w:highlight w:val="none"/>
        </w:rPr>
        <w:t>》</w:t>
      </w:r>
      <w:r>
        <w:rPr>
          <w:rFonts w:hint="eastAsia" w:eastAsia="宋体" w:cs="宋体"/>
          <w:highlight w:val="none"/>
          <w:lang w:val="en-US" w:eastAsia="zh-CN"/>
        </w:rPr>
        <w:t>及相关法律法规</w:t>
      </w:r>
      <w:r>
        <w:rPr>
          <w:rFonts w:eastAsia="宋体" w:cs="宋体"/>
          <w:highlight w:val="none"/>
        </w:rPr>
        <w:t>，履约期间有违约</w:t>
      </w:r>
      <w:r>
        <w:rPr>
          <w:rFonts w:hint="eastAsia" w:eastAsia="宋体" w:cs="宋体"/>
          <w:highlight w:val="none"/>
          <w:lang w:eastAsia="zh-CN"/>
        </w:rPr>
        <w:t>、</w:t>
      </w:r>
      <w:r>
        <w:rPr>
          <w:rFonts w:eastAsia="宋体" w:cs="宋体"/>
          <w:highlight w:val="none"/>
        </w:rPr>
        <w:t>过错的一方，须承担相应的责任。</w:t>
      </w:r>
    </w:p>
    <w:p>
      <w:pPr>
        <w:pStyle w:val="54"/>
        <w:rPr>
          <w:rFonts w:ascii="宋体" w:eastAsia="宋体" w:cs="宋体"/>
          <w:highlight w:val="none"/>
        </w:rPr>
      </w:pPr>
      <w:r>
        <w:rPr>
          <w:rFonts w:ascii="宋体" w:eastAsia="宋体" w:cs="宋体"/>
          <w:highlight w:val="none"/>
        </w:rPr>
        <w:t>七、其他</w:t>
      </w:r>
    </w:p>
    <w:p>
      <w:pPr>
        <w:pStyle w:val="76"/>
        <w:rPr>
          <w:rFonts w:ascii="宋体" w:hAnsi="宋体" w:eastAsia="宋体" w:cs="宋体"/>
          <w:highlight w:val="none"/>
        </w:rPr>
      </w:pPr>
      <w:r>
        <w:rPr>
          <w:rFonts w:ascii="宋体" w:hAnsi="宋体" w:eastAsia="宋体" w:cs="宋体"/>
          <w:highlight w:val="none"/>
        </w:rPr>
        <w:t>质疑与处理</w:t>
      </w:r>
    </w:p>
    <w:p>
      <w:pPr>
        <w:pStyle w:val="51"/>
        <w:ind w:left="480" w:hanging="480"/>
        <w:rPr>
          <w:rFonts w:eastAsia="宋体" w:cs="宋体"/>
          <w:highlight w:val="none"/>
        </w:rPr>
      </w:pPr>
      <w:r>
        <w:rPr>
          <w:rFonts w:eastAsia="宋体" w:cs="宋体"/>
          <w:highlight w:val="none"/>
        </w:rPr>
        <w:t>投标人认为采购文件、采购过程、中标或者成交结果使自己的权益受到损害的，可以在知道或者应知其权益受到损害之日起7个工作日内（潜在供应商已依法获取其可质疑的采购文件的，可以对该文件提出质疑。对采购文件提出质疑的，应当在采购文件公告期限届满之日起7个工作日内提出。）以实名书面形式向代理机构或采购人提交质疑申诉，质疑内容不得含有虚假、恶意成份。依照谁主张谁举证的原则，提出质疑者必须同时提交相关确凿的证据材料和注明事实的确切来源，对捏造事实、滥用维权扰乱采购秩序的恶意质疑者或举证不全查无实据被驳回次数在一年内达三次以上，将纳入不良行为记录并承担相应的法律责任。若对采购方案中存有倾向性、歧视性等影响公平竞争的内容提出质疑的，应在公示期间或者自期满之日起七个工作日内以书面形式直接向采购代理机构提出，同时知会采购人。</w:t>
      </w:r>
    </w:p>
    <w:p>
      <w:pPr>
        <w:pStyle w:val="51"/>
        <w:ind w:left="480" w:hanging="480"/>
        <w:rPr>
          <w:rFonts w:eastAsia="宋体" w:cs="宋体"/>
          <w:highlight w:val="none"/>
        </w:rPr>
      </w:pPr>
      <w:r>
        <w:rPr>
          <w:rFonts w:eastAsia="宋体" w:cs="宋体"/>
          <w:highlight w:val="none"/>
        </w:rPr>
        <w:t>对中标候选人或投标人之间的投标行为提出质疑时，被质疑者对举证材料须给予书面澄清回复，其投标文件内容须公开接受任何形式的审查核实。</w:t>
      </w:r>
    </w:p>
    <w:p>
      <w:pPr>
        <w:pStyle w:val="51"/>
        <w:ind w:left="480" w:hanging="480"/>
        <w:rPr>
          <w:rFonts w:eastAsia="宋体" w:cs="宋体"/>
          <w:highlight w:val="none"/>
        </w:rPr>
      </w:pPr>
      <w:r>
        <w:rPr>
          <w:rFonts w:eastAsia="宋体" w:cs="宋体"/>
          <w:highlight w:val="none"/>
        </w:rPr>
        <w:t>对出现有违公平竞争、对中标候选人提出的质疑而未获有效解决等情况时，可由相关责任归属部门组织会审，或提请评委会内的部分主要专家成员进行复审，复审时各相关当事人须同时列席并就质疑内容进行举证和接受质询，评委会最终的表决意见报经财政管理部门批复后即作为复审结果，各当事人均予以尊重服从。</w:t>
      </w:r>
    </w:p>
    <w:p>
      <w:pPr>
        <w:pStyle w:val="51"/>
        <w:ind w:left="480" w:hanging="480"/>
        <w:rPr>
          <w:rFonts w:eastAsia="宋体" w:cs="宋体"/>
          <w:highlight w:val="none"/>
        </w:rPr>
      </w:pPr>
      <w:r>
        <w:rPr>
          <w:rFonts w:eastAsia="宋体" w:cs="宋体"/>
          <w:highlight w:val="none"/>
        </w:rPr>
        <w:t>质疑函范本</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一、质疑供应商基本信息：</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质疑供应商：</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地址：</w:t>
      </w:r>
      <w:r>
        <w:rPr>
          <w:rFonts w:eastAsia="宋体" w:cs="宋体"/>
          <w:highlight w:val="none"/>
          <w:u w:val="single"/>
        </w:rPr>
        <w:t xml:space="preserve">                            </w:t>
      </w:r>
      <w:r>
        <w:rPr>
          <w:rFonts w:eastAsia="宋体" w:cs="宋体"/>
          <w:highlight w:val="none"/>
        </w:rPr>
        <w:t xml:space="preserve"> 邮编：</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联系电话：</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授权代表：</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联系电话：</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地址：</w:t>
      </w:r>
      <w:r>
        <w:rPr>
          <w:rFonts w:eastAsia="宋体" w:cs="宋体"/>
          <w:highlight w:val="none"/>
          <w:u w:val="single"/>
        </w:rPr>
        <w:t xml:space="preserve">                            </w:t>
      </w:r>
      <w:r>
        <w:rPr>
          <w:rFonts w:eastAsia="宋体" w:cs="宋体"/>
          <w:highlight w:val="none"/>
        </w:rPr>
        <w:t xml:space="preserve"> 邮编：</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二、质疑项目基本情况：</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质疑项目的名称：</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质疑项目的编号：</w:t>
      </w:r>
      <w:r>
        <w:rPr>
          <w:rFonts w:eastAsia="宋体" w:cs="宋体"/>
          <w:highlight w:val="none"/>
          <w:u w:val="single"/>
        </w:rPr>
        <w:t xml:space="preserve">                            </w:t>
      </w:r>
      <w:r>
        <w:rPr>
          <w:rFonts w:eastAsia="宋体" w:cs="宋体"/>
          <w:highlight w:val="none"/>
        </w:rPr>
        <w:t xml:space="preserve"> 包号：</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采购人名称：</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采购文件获取日期：</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三、质疑事项具体内容：</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质疑事项1：</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事实依据：</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法律依据：</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质疑事项2：</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四、与质疑事项相关的质疑请求：</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请求：</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签字(签章)：                     公章：</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日期：</w:t>
      </w:r>
      <w:r>
        <w:rPr>
          <w:rFonts w:eastAsia="宋体" w:cs="宋体"/>
          <w:highlight w:val="none"/>
          <w:u w:val="single"/>
        </w:rPr>
        <w:t xml:space="preserve">                            </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质疑函制作说明：</w:t>
      </w:r>
    </w:p>
    <w:p>
      <w:pPr>
        <w:pStyle w:val="51"/>
        <w:numPr>
          <w:ilvl w:val="0"/>
          <w:numId w:val="0"/>
        </w:numPr>
        <w:spacing w:after="0" w:line="360" w:lineRule="auto"/>
        <w:ind w:firstLine="991" w:firstLineChars="413"/>
        <w:rPr>
          <w:rFonts w:eastAsia="宋体" w:cs="宋体"/>
          <w:highlight w:val="none"/>
        </w:rPr>
      </w:pPr>
      <w:r>
        <w:rPr>
          <w:rFonts w:eastAsia="宋体" w:cs="宋体"/>
          <w:highlight w:val="none"/>
        </w:rPr>
        <w:t>1.供应商提出质疑时，应提交质疑函和必要的证明材料。</w:t>
      </w:r>
    </w:p>
    <w:p>
      <w:pPr>
        <w:pStyle w:val="51"/>
        <w:numPr>
          <w:ilvl w:val="0"/>
          <w:numId w:val="0"/>
        </w:numPr>
        <w:spacing w:line="360" w:lineRule="auto"/>
        <w:ind w:firstLine="991" w:firstLineChars="413"/>
        <w:rPr>
          <w:rFonts w:eastAsia="宋体" w:cs="宋体"/>
          <w:highlight w:val="none"/>
        </w:rPr>
      </w:pPr>
      <w:r>
        <w:rPr>
          <w:rFonts w:eastAsia="宋体" w:cs="宋体"/>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51"/>
        <w:numPr>
          <w:ilvl w:val="0"/>
          <w:numId w:val="0"/>
        </w:numPr>
        <w:spacing w:line="360" w:lineRule="auto"/>
        <w:ind w:firstLine="991" w:firstLineChars="413"/>
        <w:rPr>
          <w:rFonts w:eastAsia="宋体" w:cs="宋体"/>
          <w:highlight w:val="none"/>
        </w:rPr>
      </w:pPr>
      <w:r>
        <w:rPr>
          <w:rFonts w:eastAsia="宋体" w:cs="宋体"/>
          <w:highlight w:val="none"/>
        </w:rPr>
        <w:t>3.质疑供应商若对项目的某一分包进行质疑，质疑函中应列明具体分包号。</w:t>
      </w:r>
    </w:p>
    <w:p>
      <w:pPr>
        <w:pStyle w:val="51"/>
        <w:numPr>
          <w:ilvl w:val="0"/>
          <w:numId w:val="0"/>
        </w:numPr>
        <w:spacing w:line="360" w:lineRule="auto"/>
        <w:ind w:firstLine="991" w:firstLineChars="413"/>
        <w:rPr>
          <w:rFonts w:eastAsia="宋体" w:cs="宋体"/>
          <w:highlight w:val="none"/>
        </w:rPr>
      </w:pPr>
      <w:r>
        <w:rPr>
          <w:rFonts w:eastAsia="宋体" w:cs="宋体"/>
          <w:highlight w:val="none"/>
        </w:rPr>
        <w:t>4.质疑函的质疑事项应具体、明确，并有必要的事实依据和法律依据。</w:t>
      </w:r>
    </w:p>
    <w:p>
      <w:pPr>
        <w:pStyle w:val="51"/>
        <w:numPr>
          <w:ilvl w:val="0"/>
          <w:numId w:val="0"/>
        </w:numPr>
        <w:spacing w:line="360" w:lineRule="auto"/>
        <w:ind w:firstLine="991" w:firstLineChars="413"/>
        <w:rPr>
          <w:rFonts w:eastAsia="宋体" w:cs="宋体"/>
          <w:highlight w:val="none"/>
        </w:rPr>
      </w:pPr>
      <w:r>
        <w:rPr>
          <w:rFonts w:eastAsia="宋体" w:cs="宋体"/>
          <w:highlight w:val="none"/>
        </w:rPr>
        <w:t>5.质疑函的质疑请求应与质疑事项相关。</w:t>
      </w:r>
    </w:p>
    <w:p>
      <w:pPr>
        <w:pStyle w:val="51"/>
        <w:numPr>
          <w:ilvl w:val="0"/>
          <w:numId w:val="0"/>
        </w:numPr>
        <w:spacing w:line="360" w:lineRule="auto"/>
        <w:ind w:firstLine="991" w:firstLineChars="413"/>
        <w:rPr>
          <w:rFonts w:eastAsia="宋体" w:cs="宋体"/>
          <w:highlight w:val="none"/>
        </w:rPr>
      </w:pPr>
      <w:r>
        <w:rPr>
          <w:rFonts w:eastAsia="宋体" w:cs="宋体"/>
          <w:highlight w:val="none"/>
        </w:rPr>
        <w:t>6.质疑供应商为自然人的，质疑函应由本人签字；质疑供应商为法人或者其他组织的，质疑函应由法定代表人、主要负责人，或者其授权代表签字或者盖章，并加盖公章。</w:t>
      </w:r>
    </w:p>
    <w:p>
      <w:pPr>
        <w:pStyle w:val="51"/>
        <w:ind w:left="480" w:hanging="480"/>
        <w:rPr>
          <w:rFonts w:eastAsia="宋体" w:cs="宋体"/>
          <w:highlight w:val="none"/>
        </w:rPr>
      </w:pPr>
      <w:r>
        <w:rPr>
          <w:rFonts w:eastAsia="宋体" w:cs="宋体"/>
          <w:highlight w:val="none"/>
        </w:rPr>
        <w:t>质疑受理机构联系方式</w:t>
      </w:r>
    </w:p>
    <w:p>
      <w:pPr>
        <w:pStyle w:val="51"/>
        <w:numPr>
          <w:ilvl w:val="0"/>
          <w:numId w:val="0"/>
        </w:numPr>
        <w:spacing w:line="360" w:lineRule="auto"/>
        <w:ind w:firstLine="991" w:firstLineChars="413"/>
        <w:rPr>
          <w:rFonts w:hint="eastAsia" w:eastAsia="宋体" w:cs="宋体"/>
          <w:highlight w:val="none"/>
          <w:lang w:eastAsia="zh-CN"/>
        </w:rPr>
      </w:pPr>
      <w:r>
        <w:rPr>
          <w:rFonts w:eastAsia="宋体" w:cs="宋体"/>
          <w:highlight w:val="none"/>
        </w:rPr>
        <w:t>质疑受理机构名称：</w:t>
      </w:r>
      <w:r>
        <w:rPr>
          <w:rFonts w:hint="eastAsia" w:eastAsia="宋体" w:cs="宋体"/>
          <w:highlight w:val="none"/>
          <w:lang w:eastAsia="zh-CN"/>
        </w:rPr>
        <w:t>广东良德工程咨询有限公司</w:t>
      </w:r>
    </w:p>
    <w:p>
      <w:pPr>
        <w:pStyle w:val="51"/>
        <w:numPr>
          <w:ilvl w:val="0"/>
          <w:numId w:val="0"/>
        </w:numPr>
        <w:spacing w:line="360" w:lineRule="auto"/>
        <w:ind w:firstLine="991" w:firstLineChars="413"/>
        <w:rPr>
          <w:rFonts w:eastAsia="宋体" w:cs="宋体"/>
          <w:highlight w:val="none"/>
        </w:rPr>
      </w:pPr>
      <w:r>
        <w:rPr>
          <w:rFonts w:eastAsia="宋体" w:cs="宋体"/>
          <w:highlight w:val="none"/>
        </w:rPr>
        <w:t>质疑受理机构地址：佛山市南海区桂城街道夏东社区孔溪“五灯围”泓健综合楼B区六楼B601室</w:t>
      </w:r>
    </w:p>
    <w:p>
      <w:pPr>
        <w:pStyle w:val="51"/>
        <w:numPr>
          <w:ilvl w:val="0"/>
          <w:numId w:val="0"/>
        </w:numPr>
        <w:spacing w:line="360" w:lineRule="auto"/>
        <w:ind w:firstLine="991" w:firstLineChars="413"/>
        <w:rPr>
          <w:rFonts w:hint="eastAsia" w:eastAsia="宋体" w:cs="宋体"/>
          <w:highlight w:val="none"/>
          <w:lang w:val="en-US" w:eastAsia="zh-CN"/>
        </w:rPr>
      </w:pPr>
      <w:r>
        <w:rPr>
          <w:rFonts w:eastAsia="宋体" w:cs="宋体"/>
          <w:highlight w:val="none"/>
        </w:rPr>
        <w:t>质疑受理联系人：</w:t>
      </w:r>
      <w:r>
        <w:rPr>
          <w:rFonts w:hint="eastAsia" w:eastAsia="宋体" w:cs="宋体"/>
          <w:highlight w:val="none"/>
          <w:lang w:val="en-US" w:eastAsia="zh-CN"/>
        </w:rPr>
        <w:t>赵工</w:t>
      </w:r>
    </w:p>
    <w:p>
      <w:pPr>
        <w:pStyle w:val="51"/>
        <w:numPr>
          <w:ilvl w:val="0"/>
          <w:numId w:val="0"/>
        </w:numPr>
        <w:spacing w:line="360" w:lineRule="auto"/>
        <w:ind w:firstLine="991" w:firstLineChars="413"/>
        <w:rPr>
          <w:rFonts w:eastAsia="宋体" w:cs="宋体"/>
          <w:highlight w:val="none"/>
        </w:rPr>
      </w:pPr>
      <w:r>
        <w:rPr>
          <w:rFonts w:eastAsia="宋体" w:cs="宋体"/>
          <w:highlight w:val="none"/>
        </w:rPr>
        <w:t>质疑受理机构电话：0757-86778691</w:t>
      </w:r>
      <w:r>
        <w:rPr>
          <w:rFonts w:hint="eastAsia" w:eastAsia="宋体" w:cs="宋体"/>
          <w:highlight w:val="none"/>
          <w:lang w:val="en-US" w:eastAsia="zh-CN"/>
        </w:rPr>
        <w:t xml:space="preserve">  </w:t>
      </w:r>
      <w:r>
        <w:rPr>
          <w:rFonts w:eastAsia="宋体" w:cs="宋体"/>
          <w:highlight w:val="none"/>
        </w:rPr>
        <w:t>（工作/接收时间：8：30-17：00）</w:t>
      </w:r>
    </w:p>
    <w:p>
      <w:pPr>
        <w:pStyle w:val="76"/>
        <w:rPr>
          <w:rFonts w:ascii="宋体" w:hAnsi="宋体" w:eastAsia="宋体" w:cs="宋体"/>
          <w:highlight w:val="none"/>
        </w:rPr>
      </w:pPr>
      <w:r>
        <w:rPr>
          <w:rFonts w:ascii="宋体" w:hAnsi="宋体" w:eastAsia="宋体" w:cs="宋体"/>
          <w:highlight w:val="none"/>
        </w:rPr>
        <w:t>投诉</w:t>
      </w:r>
    </w:p>
    <w:p>
      <w:pPr>
        <w:pStyle w:val="51"/>
        <w:ind w:left="480" w:hanging="480"/>
        <w:rPr>
          <w:rFonts w:eastAsia="宋体" w:cs="宋体"/>
          <w:highlight w:val="none"/>
        </w:rPr>
      </w:pPr>
      <w:r>
        <w:rPr>
          <w:rFonts w:eastAsia="宋体" w:cs="宋体"/>
          <w:highlight w:val="none"/>
        </w:rPr>
        <w:t>质疑供应商对采购人、采购代理机构的质疑答复不满意或者采购人、采购代理机构未在规定的时间内作出答复的，可以在质疑答复期满后15 个工作日内向同级监督管理部门投诉。监督管理部门在收到投诉后30 个工作日内，对投诉事项作出处理，并以书面形式通知投诉人和投诉事项有关的当事人；投诉应当有明确的请求和必要的证明材料，供应商投诉的事项不得超出已质疑的事项的范围；监督管理部门必要时可以进行调查取证或者组织质证，对依法进行调查取证的，投诉供应商与投诉有关的当事人应当如实反应情况，并提供相关材料；捏造事实、提供虚假材料或者以非法手段取得证明材料进行投诉的，应当予以驳回，并承担法律责任。</w:t>
      </w:r>
    </w:p>
    <w:p>
      <w:pPr>
        <w:pStyle w:val="51"/>
        <w:ind w:left="480" w:hanging="480"/>
        <w:rPr>
          <w:rFonts w:eastAsia="宋体" w:cs="宋体"/>
          <w:highlight w:val="none"/>
        </w:rPr>
      </w:pPr>
      <w:r>
        <w:rPr>
          <w:rFonts w:eastAsia="宋体" w:cs="宋体"/>
          <w:highlight w:val="none"/>
        </w:rPr>
        <w:t>投诉书格式必须严格按照以下格式和有关投诉的规定进行。</w:t>
      </w:r>
    </w:p>
    <w:p>
      <w:pPr>
        <w:pStyle w:val="51"/>
        <w:numPr>
          <w:ilvl w:val="0"/>
          <w:numId w:val="0"/>
        </w:numPr>
        <w:tabs>
          <w:tab w:val="left" w:pos="284"/>
        </w:tabs>
        <w:spacing w:before="0" w:after="0" w:line="360" w:lineRule="auto"/>
        <w:ind w:firstLine="480" w:firstLineChars="200"/>
        <w:rPr>
          <w:rFonts w:eastAsia="宋体" w:cs="宋体"/>
          <w:highlight w:val="none"/>
        </w:rPr>
      </w:pPr>
    </w:p>
    <w:p>
      <w:pPr>
        <w:spacing w:line="360" w:lineRule="auto"/>
        <w:jc w:val="center"/>
        <w:rPr>
          <w:rFonts w:ascii="宋体" w:hAnsi="宋体" w:cs="宋体"/>
          <w:sz w:val="28"/>
          <w:highlight w:val="none"/>
        </w:rPr>
      </w:pPr>
      <w:r>
        <w:rPr>
          <w:rFonts w:ascii="宋体" w:hAnsi="宋体" w:cs="宋体"/>
          <w:sz w:val="30"/>
          <w:szCs w:val="30"/>
          <w:highlight w:val="none"/>
        </w:rPr>
        <w:t>投诉书</w:t>
      </w:r>
    </w:p>
    <w:p>
      <w:pPr>
        <w:spacing w:line="360" w:lineRule="auto"/>
        <w:jc w:val="center"/>
        <w:rPr>
          <w:rFonts w:ascii="宋体" w:hAnsi="宋体" w:cs="宋体"/>
          <w:sz w:val="28"/>
          <w:highlight w:val="none"/>
        </w:rPr>
      </w:pPr>
    </w:p>
    <w:p>
      <w:pPr>
        <w:spacing w:line="360" w:lineRule="auto"/>
        <w:jc w:val="left"/>
        <w:rPr>
          <w:rFonts w:ascii="宋体" w:hAnsi="宋体" w:cs="宋体"/>
          <w:sz w:val="24"/>
          <w:highlight w:val="none"/>
        </w:rPr>
      </w:pPr>
      <w:r>
        <w:rPr>
          <w:rFonts w:ascii="宋体" w:hAnsi="宋体" w:cs="宋体"/>
          <w:sz w:val="24"/>
          <w:highlight w:val="none"/>
        </w:rPr>
        <w:t>投诉人：</w:t>
      </w:r>
      <w:r>
        <w:rPr>
          <w:rFonts w:ascii="宋体" w:hAnsi="宋体" w:cs="宋体"/>
          <w:sz w:val="24"/>
          <w:highlight w:val="none"/>
          <w:u w:val="single"/>
        </w:rPr>
        <w:t xml:space="preserve">                  </w:t>
      </w:r>
      <w:r>
        <w:rPr>
          <w:rFonts w:ascii="宋体" w:hAnsi="宋体" w:cs="宋体"/>
          <w:sz w:val="24"/>
          <w:highlight w:val="none"/>
        </w:rPr>
        <w:t>法定代表人：</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地址：</w:t>
      </w:r>
      <w:r>
        <w:rPr>
          <w:rFonts w:ascii="宋体" w:hAnsi="宋体" w:cs="宋体"/>
          <w:sz w:val="24"/>
          <w:highlight w:val="none"/>
          <w:u w:val="single"/>
        </w:rPr>
        <w:t xml:space="preserve">                            </w:t>
      </w:r>
      <w:r>
        <w:rPr>
          <w:rFonts w:ascii="宋体" w:hAnsi="宋体" w:cs="宋体"/>
          <w:sz w:val="24"/>
          <w:highlight w:val="none"/>
        </w:rPr>
        <w:t xml:space="preserve"> 电话：</w:t>
      </w:r>
      <w:r>
        <w:rPr>
          <w:rFonts w:ascii="宋体" w:hAnsi="宋体" w:cs="宋体"/>
          <w:sz w:val="24"/>
          <w:highlight w:val="none"/>
          <w:u w:val="single"/>
        </w:rPr>
        <w:t xml:space="preserve">             </w:t>
      </w:r>
      <w:r>
        <w:rPr>
          <w:rFonts w:ascii="宋体" w:hAnsi="宋体" w:cs="宋体"/>
          <w:sz w:val="24"/>
          <w:highlight w:val="none"/>
        </w:rPr>
        <w:t xml:space="preserve"> 邮编：</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电子邮箱：</w:t>
      </w:r>
      <w:r>
        <w:rPr>
          <w:rFonts w:ascii="宋体" w:hAnsi="宋体" w:cs="宋体"/>
          <w:sz w:val="24"/>
          <w:highlight w:val="none"/>
          <w:u w:val="single"/>
        </w:rPr>
        <w:t xml:space="preserve">                     </w:t>
      </w:r>
      <w:r>
        <w:rPr>
          <w:rFonts w:ascii="宋体" w:hAnsi="宋体" w:cs="宋体"/>
          <w:sz w:val="24"/>
          <w:highlight w:val="none"/>
        </w:rPr>
        <w:t xml:space="preserve"> 传真：</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委托代理人姓名：</w:t>
      </w:r>
      <w:r>
        <w:rPr>
          <w:rFonts w:ascii="宋体" w:hAnsi="宋体" w:cs="宋体"/>
          <w:sz w:val="24"/>
          <w:highlight w:val="none"/>
          <w:u w:val="single"/>
        </w:rPr>
        <w:t xml:space="preserve">                  </w:t>
      </w:r>
      <w:r>
        <w:rPr>
          <w:rFonts w:ascii="宋体" w:hAnsi="宋体" w:cs="宋体"/>
          <w:sz w:val="24"/>
          <w:highlight w:val="none"/>
        </w:rPr>
        <w:t xml:space="preserve"> 职业：</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住址：</w:t>
      </w:r>
      <w:r>
        <w:rPr>
          <w:rFonts w:ascii="宋体" w:hAnsi="宋体" w:cs="宋体"/>
          <w:sz w:val="24"/>
          <w:highlight w:val="none"/>
          <w:u w:val="single"/>
        </w:rPr>
        <w:t xml:space="preserve">                  </w:t>
      </w:r>
      <w:r>
        <w:rPr>
          <w:rFonts w:ascii="宋体" w:hAnsi="宋体" w:cs="宋体"/>
          <w:sz w:val="24"/>
          <w:highlight w:val="none"/>
        </w:rPr>
        <w:t xml:space="preserve"> 联系电话：</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被投诉人：</w:t>
      </w:r>
      <w:r>
        <w:rPr>
          <w:rFonts w:ascii="宋体" w:hAnsi="宋体" w:cs="宋体"/>
          <w:sz w:val="24"/>
          <w:highlight w:val="none"/>
          <w:u w:val="single"/>
        </w:rPr>
        <w:t xml:space="preserve">                  </w:t>
      </w:r>
      <w:r>
        <w:rPr>
          <w:rFonts w:ascii="宋体" w:hAnsi="宋体" w:cs="宋体"/>
          <w:sz w:val="24"/>
          <w:highlight w:val="none"/>
        </w:rPr>
        <w:t xml:space="preserve"> 法定代表人：</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地址：</w:t>
      </w:r>
      <w:r>
        <w:rPr>
          <w:rFonts w:ascii="宋体" w:hAnsi="宋体" w:cs="宋体"/>
          <w:sz w:val="24"/>
          <w:highlight w:val="none"/>
          <w:u w:val="single"/>
        </w:rPr>
        <w:t xml:space="preserve">                  </w:t>
      </w:r>
      <w:r>
        <w:rPr>
          <w:rFonts w:ascii="宋体" w:hAnsi="宋体" w:cs="宋体"/>
          <w:sz w:val="24"/>
          <w:highlight w:val="none"/>
        </w:rPr>
        <w:t xml:space="preserve"> 电话：</w:t>
      </w:r>
      <w:r>
        <w:rPr>
          <w:rFonts w:ascii="宋体" w:hAnsi="宋体" w:cs="宋体"/>
          <w:sz w:val="24"/>
          <w:highlight w:val="none"/>
          <w:u w:val="single"/>
        </w:rPr>
        <w:t xml:space="preserve">                  </w:t>
      </w:r>
      <w:r>
        <w:rPr>
          <w:rFonts w:ascii="宋体" w:hAnsi="宋体" w:cs="宋体"/>
          <w:sz w:val="24"/>
          <w:highlight w:val="none"/>
        </w:rPr>
        <w:t xml:space="preserve"> 邮编：</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电子邮箱：</w:t>
      </w:r>
      <w:r>
        <w:rPr>
          <w:rFonts w:ascii="宋体" w:hAnsi="宋体" w:cs="宋体"/>
          <w:sz w:val="24"/>
          <w:highlight w:val="none"/>
          <w:u w:val="single"/>
        </w:rPr>
        <w:t xml:space="preserve">                  </w:t>
      </w:r>
      <w:r>
        <w:rPr>
          <w:rFonts w:ascii="宋体" w:hAnsi="宋体" w:cs="宋体"/>
          <w:sz w:val="24"/>
          <w:highlight w:val="none"/>
        </w:rPr>
        <w:t xml:space="preserve"> 传真：</w:t>
      </w:r>
      <w:r>
        <w:rPr>
          <w:rFonts w:ascii="宋体" w:hAnsi="宋体" w:cs="宋体"/>
          <w:sz w:val="24"/>
          <w:highlight w:val="none"/>
          <w:u w:val="single"/>
        </w:rPr>
        <w:t xml:space="preserve">                  </w:t>
      </w:r>
    </w:p>
    <w:p>
      <w:pPr>
        <w:spacing w:line="360" w:lineRule="auto"/>
        <w:jc w:val="left"/>
        <w:rPr>
          <w:rFonts w:ascii="宋体" w:hAnsi="宋体" w:cs="宋体"/>
          <w:sz w:val="24"/>
          <w:highlight w:val="none"/>
        </w:rPr>
      </w:pPr>
      <w:r>
        <w:rPr>
          <w:rFonts w:ascii="宋体" w:hAnsi="宋体" w:cs="宋体"/>
          <w:sz w:val="24"/>
          <w:highlight w:val="none"/>
        </w:rPr>
        <w:t>我公司参加了</w:t>
      </w:r>
      <w:r>
        <w:rPr>
          <w:rFonts w:ascii="宋体" w:hAnsi="宋体" w:cs="宋体"/>
          <w:sz w:val="24"/>
          <w:highlight w:val="none"/>
          <w:u w:val="single"/>
        </w:rPr>
        <w:t xml:space="preserve">       </w:t>
      </w:r>
      <w:r>
        <w:rPr>
          <w:rFonts w:ascii="宋体" w:hAnsi="宋体" w:cs="宋体"/>
          <w:sz w:val="24"/>
          <w:highlight w:val="none"/>
        </w:rPr>
        <w:t>年</w:t>
      </w:r>
      <w:r>
        <w:rPr>
          <w:rFonts w:ascii="宋体" w:hAnsi="宋体" w:cs="宋体"/>
          <w:sz w:val="24"/>
          <w:highlight w:val="none"/>
          <w:u w:val="single"/>
        </w:rPr>
        <w:t xml:space="preserve">   </w:t>
      </w:r>
      <w:r>
        <w:rPr>
          <w:rFonts w:ascii="宋体" w:hAnsi="宋体" w:cs="宋体"/>
          <w:sz w:val="24"/>
          <w:highlight w:val="none"/>
        </w:rPr>
        <w:t>月</w:t>
      </w:r>
      <w:r>
        <w:rPr>
          <w:rFonts w:ascii="宋体" w:hAnsi="宋体" w:cs="宋体"/>
          <w:sz w:val="24"/>
          <w:highlight w:val="none"/>
          <w:u w:val="single"/>
        </w:rPr>
        <w:t xml:space="preserve">   </w:t>
      </w:r>
      <w:r>
        <w:rPr>
          <w:rFonts w:ascii="宋体" w:hAnsi="宋体" w:cs="宋体"/>
          <w:sz w:val="24"/>
          <w:highlight w:val="none"/>
        </w:rPr>
        <w:t>日被投诉人组织的（采购人）（项目名称）（项目编号）的采购活动，我公司认为该项目的（</w:t>
      </w:r>
      <w:r>
        <w:rPr>
          <w:rFonts w:ascii="宋体" w:hAnsi="宋体" w:cs="宋体"/>
          <w:sz w:val="24"/>
          <w:highlight w:val="none"/>
          <w:u w:val="single"/>
        </w:rPr>
        <w:t>采购文件、采购过程、中标（成交）结果</w:t>
      </w:r>
      <w:r>
        <w:rPr>
          <w:rFonts w:ascii="宋体" w:hAnsi="宋体" w:cs="宋体"/>
          <w:sz w:val="24"/>
          <w:highlight w:val="none"/>
        </w:rPr>
        <w:t>）损害了我公司权益，对此，我公司于年月日向（代理机构或采购人）提出了质疑，</w:t>
      </w:r>
    </w:p>
    <w:p>
      <w:pPr>
        <w:spacing w:line="360" w:lineRule="auto"/>
        <w:jc w:val="left"/>
        <w:rPr>
          <w:rFonts w:ascii="宋体" w:hAnsi="宋体" w:cs="宋体"/>
          <w:sz w:val="24"/>
          <w:highlight w:val="none"/>
        </w:rPr>
      </w:pPr>
      <w:r>
        <w:rPr>
          <w:rFonts w:ascii="宋体" w:hAnsi="宋体" w:cs="宋体"/>
          <w:sz w:val="24"/>
          <w:highlight w:val="none"/>
        </w:rPr>
        <w:t>（其于</w:t>
      </w:r>
      <w:r>
        <w:rPr>
          <w:rFonts w:ascii="宋体" w:hAnsi="宋体" w:cs="宋体"/>
          <w:sz w:val="24"/>
          <w:highlight w:val="none"/>
          <w:u w:val="single"/>
        </w:rPr>
        <w:t xml:space="preserve">     </w:t>
      </w:r>
      <w:r>
        <w:rPr>
          <w:rFonts w:ascii="宋体" w:hAnsi="宋体" w:cs="宋体"/>
          <w:sz w:val="24"/>
          <w:highlight w:val="none"/>
        </w:rPr>
        <w:t>年__ 月</w:t>
      </w:r>
      <w:r>
        <w:rPr>
          <w:rFonts w:ascii="宋体" w:hAnsi="宋体" w:cs="宋体"/>
          <w:sz w:val="24"/>
          <w:highlight w:val="none"/>
          <w:u w:val="single"/>
        </w:rPr>
        <w:t xml:space="preserve">  </w:t>
      </w:r>
      <w:r>
        <w:rPr>
          <w:rFonts w:ascii="宋体" w:hAnsi="宋体" w:cs="宋体"/>
          <w:sz w:val="24"/>
          <w:highlight w:val="none"/>
        </w:rPr>
        <w:t xml:space="preserve"> 日作出书面答复，因对其作出的答复不满意）/（被质疑人未在法定期限内予以答复，按照有关规定），现向贵机关提起投诉：</w:t>
      </w:r>
    </w:p>
    <w:p>
      <w:pPr>
        <w:spacing w:line="360" w:lineRule="auto"/>
        <w:jc w:val="left"/>
        <w:rPr>
          <w:rFonts w:ascii="宋体" w:hAnsi="宋体" w:cs="宋体"/>
          <w:sz w:val="24"/>
          <w:highlight w:val="none"/>
        </w:rPr>
      </w:pPr>
      <w:r>
        <w:rPr>
          <w:rFonts w:ascii="宋体" w:hAnsi="宋体" w:cs="宋体"/>
          <w:sz w:val="24"/>
          <w:highlight w:val="none"/>
        </w:rPr>
        <w:t>1.具体的投诉事项及事实依据；</w:t>
      </w:r>
    </w:p>
    <w:p>
      <w:pPr>
        <w:spacing w:line="360" w:lineRule="auto"/>
        <w:jc w:val="left"/>
        <w:rPr>
          <w:rFonts w:ascii="宋体" w:hAnsi="宋体" w:cs="宋体"/>
          <w:sz w:val="24"/>
          <w:highlight w:val="none"/>
        </w:rPr>
      </w:pPr>
      <w:r>
        <w:rPr>
          <w:rFonts w:ascii="宋体" w:hAnsi="宋体" w:cs="宋体"/>
          <w:sz w:val="24"/>
          <w:highlight w:val="none"/>
        </w:rPr>
        <w:t>2.质疑和质疑答复情况的简要描述；</w:t>
      </w:r>
    </w:p>
    <w:p>
      <w:pPr>
        <w:spacing w:line="360" w:lineRule="auto"/>
        <w:jc w:val="left"/>
        <w:rPr>
          <w:rFonts w:ascii="宋体" w:hAnsi="宋体" w:cs="宋体"/>
          <w:sz w:val="24"/>
          <w:highlight w:val="none"/>
        </w:rPr>
      </w:pPr>
      <w:r>
        <w:rPr>
          <w:rFonts w:ascii="宋体" w:hAnsi="宋体" w:cs="宋体"/>
          <w:sz w:val="24"/>
          <w:highlight w:val="none"/>
        </w:rPr>
        <w:t>3.投诉请求；</w:t>
      </w:r>
    </w:p>
    <w:p>
      <w:pPr>
        <w:spacing w:line="360" w:lineRule="auto"/>
        <w:jc w:val="left"/>
        <w:rPr>
          <w:rFonts w:ascii="宋体" w:hAnsi="宋体" w:cs="宋体"/>
          <w:sz w:val="24"/>
          <w:highlight w:val="none"/>
        </w:rPr>
      </w:pPr>
      <w:r>
        <w:rPr>
          <w:rFonts w:ascii="宋体" w:hAnsi="宋体" w:cs="宋体"/>
          <w:sz w:val="24"/>
          <w:highlight w:val="none"/>
        </w:rPr>
        <w:t>本投诉书正本两份，副本</w:t>
      </w:r>
      <w:r>
        <w:rPr>
          <w:rFonts w:ascii="宋体" w:hAnsi="宋体" w:cs="宋体"/>
          <w:sz w:val="24"/>
          <w:highlight w:val="none"/>
          <w:u w:val="single"/>
        </w:rPr>
        <w:t>（ ）</w:t>
      </w:r>
      <w:r>
        <w:rPr>
          <w:rFonts w:ascii="宋体" w:hAnsi="宋体" w:cs="宋体"/>
          <w:sz w:val="24"/>
          <w:highlight w:val="none"/>
        </w:rPr>
        <w:t>份并附电子文档。</w:t>
      </w:r>
    </w:p>
    <w:p>
      <w:pPr>
        <w:spacing w:line="360" w:lineRule="auto"/>
        <w:jc w:val="left"/>
        <w:rPr>
          <w:rFonts w:ascii="宋体" w:hAnsi="宋体" w:cs="宋体"/>
          <w:sz w:val="24"/>
          <w:highlight w:val="none"/>
        </w:rPr>
      </w:pPr>
      <w:r>
        <w:rPr>
          <w:rFonts w:ascii="宋体" w:hAnsi="宋体" w:cs="宋体"/>
          <w:sz w:val="24"/>
          <w:highlight w:val="none"/>
        </w:rPr>
        <w:t>附件：质疑函、质疑答复函、证据材料及相关证明材料(复印件)</w:t>
      </w:r>
      <w:r>
        <w:rPr>
          <w:rFonts w:ascii="宋体" w:hAnsi="宋体" w:cs="宋体"/>
          <w:sz w:val="24"/>
          <w:highlight w:val="none"/>
          <w:u w:val="single"/>
        </w:rPr>
        <w:t xml:space="preserve">   </w:t>
      </w:r>
      <w:r>
        <w:rPr>
          <w:rFonts w:ascii="宋体" w:hAnsi="宋体" w:cs="宋体"/>
          <w:sz w:val="24"/>
          <w:highlight w:val="none"/>
        </w:rPr>
        <w:t>份，共</w:t>
      </w:r>
      <w:r>
        <w:rPr>
          <w:rFonts w:ascii="宋体" w:hAnsi="宋体" w:cs="宋体"/>
          <w:sz w:val="24"/>
          <w:highlight w:val="none"/>
          <w:u w:val="single"/>
        </w:rPr>
        <w:t xml:space="preserve">   </w:t>
      </w:r>
      <w:r>
        <w:rPr>
          <w:rFonts w:ascii="宋体" w:hAnsi="宋体" w:cs="宋体"/>
          <w:sz w:val="24"/>
          <w:highlight w:val="none"/>
        </w:rPr>
        <w:t>页。</w:t>
      </w:r>
    </w:p>
    <w:p>
      <w:pPr>
        <w:spacing w:line="360" w:lineRule="auto"/>
        <w:jc w:val="left"/>
        <w:rPr>
          <w:rFonts w:ascii="宋体" w:hAnsi="宋体" w:cs="宋体"/>
          <w:sz w:val="24"/>
          <w:highlight w:val="none"/>
          <w:u w:val="single"/>
        </w:rPr>
      </w:pPr>
      <w:r>
        <w:rPr>
          <w:rFonts w:ascii="宋体" w:hAnsi="宋体" w:cs="宋体"/>
          <w:sz w:val="24"/>
          <w:highlight w:val="none"/>
        </w:rPr>
        <w:t>投诉投标人：（盖章）</w:t>
      </w:r>
      <w:r>
        <w:rPr>
          <w:rFonts w:ascii="宋体" w:hAnsi="宋体" w:cs="宋体"/>
          <w:sz w:val="24"/>
          <w:highlight w:val="none"/>
          <w:u w:val="single"/>
        </w:rPr>
        <w:t xml:space="preserve">         </w:t>
      </w:r>
    </w:p>
    <w:p>
      <w:pPr>
        <w:spacing w:line="360" w:lineRule="auto"/>
        <w:jc w:val="left"/>
        <w:rPr>
          <w:rFonts w:ascii="宋体" w:hAnsi="宋体" w:cs="宋体"/>
          <w:sz w:val="24"/>
          <w:highlight w:val="none"/>
          <w:u w:val="single"/>
        </w:rPr>
      </w:pPr>
      <w:r>
        <w:rPr>
          <w:rFonts w:ascii="宋体" w:hAnsi="宋体" w:cs="宋体"/>
          <w:sz w:val="24"/>
          <w:highlight w:val="none"/>
        </w:rPr>
        <w:t>法定代表人：（签字）</w:t>
      </w:r>
      <w:r>
        <w:rPr>
          <w:rFonts w:ascii="宋体" w:hAnsi="宋体" w:cs="宋体"/>
          <w:sz w:val="24"/>
          <w:highlight w:val="none"/>
          <w:u w:val="single"/>
        </w:rPr>
        <w:t xml:space="preserve">         </w:t>
      </w:r>
    </w:p>
    <w:p>
      <w:pPr>
        <w:pStyle w:val="70"/>
        <w:tabs>
          <w:tab w:val="left" w:pos="851"/>
          <w:tab w:val="left" w:pos="993"/>
        </w:tabs>
        <w:ind w:left="480" w:firstLine="0" w:firstLineChars="0"/>
        <w:jc w:val="left"/>
        <w:rPr>
          <w:rFonts w:ascii="宋体" w:hAnsi="宋体" w:cs="宋体"/>
          <w:highlight w:val="none"/>
        </w:rPr>
      </w:pPr>
      <w:r>
        <w:rPr>
          <w:rFonts w:ascii="宋体" w:hAnsi="宋体" w:cs="宋体"/>
          <w:highlight w:val="none"/>
          <w:u w:val="single"/>
        </w:rPr>
        <w:t xml:space="preserve">     </w:t>
      </w:r>
      <w:r>
        <w:rPr>
          <w:rFonts w:ascii="宋体" w:hAnsi="宋体" w:cs="宋体"/>
          <w:highlight w:val="none"/>
        </w:rPr>
        <w:t>年</w:t>
      </w:r>
      <w:r>
        <w:rPr>
          <w:rFonts w:ascii="宋体" w:hAnsi="宋体" w:cs="宋体"/>
          <w:highlight w:val="none"/>
          <w:u w:val="single"/>
        </w:rPr>
        <w:t xml:space="preserve">   </w:t>
      </w:r>
      <w:r>
        <w:rPr>
          <w:rFonts w:ascii="宋体" w:hAnsi="宋体" w:cs="宋体"/>
          <w:highlight w:val="none"/>
        </w:rPr>
        <w:t>月</w:t>
      </w:r>
      <w:r>
        <w:rPr>
          <w:rFonts w:ascii="宋体" w:hAnsi="宋体" w:cs="宋体"/>
          <w:highlight w:val="none"/>
          <w:u w:val="single"/>
        </w:rPr>
        <w:t xml:space="preserve">   </w:t>
      </w:r>
      <w:r>
        <w:rPr>
          <w:rFonts w:ascii="宋体" w:hAnsi="宋体" w:cs="宋体"/>
          <w:highlight w:val="none"/>
        </w:rPr>
        <w:t>日</w:t>
      </w:r>
    </w:p>
    <w:p>
      <w:pPr>
        <w:pStyle w:val="76"/>
        <w:rPr>
          <w:rFonts w:ascii="宋体" w:hAnsi="宋体" w:eastAsia="宋体" w:cs="宋体"/>
          <w:highlight w:val="none"/>
        </w:rPr>
      </w:pPr>
      <w:r>
        <w:rPr>
          <w:rFonts w:ascii="宋体" w:hAnsi="宋体" w:eastAsia="宋体" w:cs="宋体"/>
          <w:highlight w:val="none"/>
        </w:rPr>
        <w:t>终止招标</w:t>
      </w:r>
    </w:p>
    <w:p>
      <w:pPr>
        <w:pStyle w:val="51"/>
        <w:ind w:left="480" w:hanging="480"/>
        <w:rPr>
          <w:rFonts w:eastAsia="宋体" w:cs="宋体"/>
          <w:highlight w:val="none"/>
        </w:rPr>
      </w:pPr>
      <w:r>
        <w:rPr>
          <w:rFonts w:eastAsia="宋体" w:cs="宋体"/>
          <w:highlight w:val="none"/>
        </w:rPr>
        <w:t>如发生终止招标的情况，采购人或者采购代理机构将及时在原公告发布媒体上发布终止公告，以书面形式通知已经获取招标文件的潜在投标人，并将项目实施情况和采购任务取消原因报告本级财政部门。已经收取招标文件费用或者投标保证金的，将在终止采购活动后5个工作日内，退还所收取的招标文件费用和所收取的投标保证金及其在银行产生的孳息。</w:t>
      </w:r>
    </w:p>
    <w:p>
      <w:pPr>
        <w:spacing w:before="120" w:beforeLines="50" w:after="120" w:afterLines="50" w:line="400" w:lineRule="exact"/>
        <w:ind w:right="105" w:rightChars="50" w:firstLine="480" w:firstLineChars="200"/>
        <w:rPr>
          <w:rFonts w:ascii="宋体" w:hAnsi="宋体" w:cs="宋体"/>
          <w:sz w:val="24"/>
          <w:highlight w:val="none"/>
        </w:rPr>
      </w:pPr>
    </w:p>
    <w:p>
      <w:pPr>
        <w:pStyle w:val="18"/>
        <w:adjustRightInd w:val="0"/>
        <w:snapToGrid w:val="0"/>
        <w:spacing w:line="360" w:lineRule="auto"/>
        <w:rPr>
          <w:rFonts w:hAnsi="宋体" w:cs="宋体"/>
          <w:sz w:val="24"/>
          <w:szCs w:val="24"/>
          <w:highlight w:val="none"/>
        </w:rPr>
      </w:pPr>
    </w:p>
    <w:p>
      <w:pPr>
        <w:pStyle w:val="18"/>
        <w:adjustRightInd w:val="0"/>
        <w:snapToGrid w:val="0"/>
        <w:spacing w:line="360" w:lineRule="auto"/>
        <w:rPr>
          <w:rFonts w:hAnsi="宋体" w:cs="宋体"/>
          <w:sz w:val="24"/>
          <w:szCs w:val="24"/>
          <w:highlight w:val="none"/>
        </w:rPr>
      </w:pPr>
    </w:p>
    <w:p>
      <w:pPr>
        <w:rPr>
          <w:highlight w:val="none"/>
        </w:rPr>
      </w:pPr>
      <w:bookmarkStart w:id="32" w:name="_Toc26145"/>
      <w:bookmarkStart w:id="33" w:name="_Toc18216"/>
      <w:bookmarkStart w:id="34" w:name="_Toc31681"/>
      <w:bookmarkStart w:id="35" w:name="_Toc1603"/>
      <w:bookmarkStart w:id="36" w:name="_Toc7357"/>
      <w:bookmarkStart w:id="37" w:name="_Toc26940"/>
      <w:bookmarkStart w:id="38" w:name="_Toc26857"/>
      <w:bookmarkStart w:id="39" w:name="_Toc19912"/>
      <w:bookmarkStart w:id="40" w:name="_Toc2307"/>
      <w:bookmarkStart w:id="41" w:name="_Toc406136459"/>
      <w:bookmarkStart w:id="42" w:name="_Toc1163"/>
      <w:bookmarkStart w:id="43" w:name="_Toc31462"/>
      <w:bookmarkStart w:id="44" w:name="_Toc3582"/>
      <w:r>
        <w:rPr>
          <w:highlight w:val="none"/>
        </w:rPr>
        <w:br w:type="page"/>
      </w:r>
    </w:p>
    <w:p>
      <w:pPr>
        <w:rPr>
          <w:highlight w:val="none"/>
        </w:rPr>
      </w:pPr>
    </w:p>
    <w:p>
      <w:pPr>
        <w:rPr>
          <w:highlight w:val="none"/>
        </w:rPr>
      </w:pPr>
    </w:p>
    <w:bookmarkEnd w:id="32"/>
    <w:bookmarkEnd w:id="33"/>
    <w:bookmarkEnd w:id="34"/>
    <w:bookmarkEnd w:id="35"/>
    <w:bookmarkEnd w:id="36"/>
    <w:bookmarkEnd w:id="37"/>
    <w:bookmarkEnd w:id="38"/>
    <w:bookmarkEnd w:id="39"/>
    <w:bookmarkEnd w:id="40"/>
    <w:bookmarkEnd w:id="41"/>
    <w:bookmarkEnd w:id="42"/>
    <w:bookmarkEnd w:id="43"/>
    <w:bookmarkEnd w:id="44"/>
    <w:p>
      <w:pPr>
        <w:rPr>
          <w:highlight w:val="none"/>
        </w:rPr>
      </w:pPr>
      <w:bookmarkStart w:id="45" w:name="_Toc267405540"/>
      <w:bookmarkStart w:id="46" w:name="_Toc406136460"/>
    </w:p>
    <w:p>
      <w:pPr>
        <w:rPr>
          <w:highlight w:val="none"/>
        </w:rPr>
      </w:pPr>
    </w:p>
    <w:p>
      <w:pPr>
        <w:rPr>
          <w:highlight w:val="none"/>
        </w:rPr>
      </w:pPr>
    </w:p>
    <w:p>
      <w:pPr>
        <w:rPr>
          <w:highlight w:val="none"/>
        </w:rPr>
      </w:pPr>
    </w:p>
    <w:p>
      <w:pPr>
        <w:rPr>
          <w:highlight w:val="none"/>
        </w:rPr>
      </w:pPr>
    </w:p>
    <w:p>
      <w:pPr>
        <w:pStyle w:val="3"/>
        <w:spacing w:line="360" w:lineRule="auto"/>
        <w:rPr>
          <w:rFonts w:ascii="宋体" w:hAnsi="宋体" w:cs="宋体"/>
          <w:sz w:val="44"/>
          <w:highlight w:val="none"/>
        </w:rPr>
      </w:pPr>
      <w:bookmarkStart w:id="47" w:name="_Toc21856"/>
      <w:bookmarkStart w:id="48" w:name="_Toc10047"/>
      <w:bookmarkStart w:id="49" w:name="_Toc13712"/>
      <w:bookmarkStart w:id="50" w:name="_Toc12888"/>
      <w:bookmarkStart w:id="51" w:name="_Toc4983"/>
      <w:bookmarkStart w:id="52" w:name="_Toc2964"/>
      <w:bookmarkStart w:id="53" w:name="_Toc34"/>
      <w:bookmarkStart w:id="54" w:name="_Toc8288"/>
      <w:bookmarkStart w:id="55" w:name="_Toc18098"/>
      <w:bookmarkStart w:id="56" w:name="_Toc27518"/>
      <w:bookmarkStart w:id="57" w:name="_Toc29747"/>
      <w:bookmarkStart w:id="58" w:name="_Toc16343"/>
      <w:bookmarkStart w:id="59" w:name="_Toc20188"/>
      <w:r>
        <w:rPr>
          <w:rFonts w:ascii="宋体" w:hAnsi="宋体" w:cs="宋体"/>
          <w:sz w:val="44"/>
          <w:highlight w:val="none"/>
        </w:rPr>
        <w:t>第四部分　合同书格式</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tabs>
          <w:tab w:val="left" w:pos="720"/>
        </w:tabs>
        <w:spacing w:line="360" w:lineRule="auto"/>
        <w:jc w:val="center"/>
        <w:rPr>
          <w:rFonts w:ascii="宋体" w:hAnsi="宋体" w:cs="宋体"/>
          <w:b/>
          <w:sz w:val="72"/>
          <w:szCs w:val="72"/>
          <w:highlight w:val="none"/>
        </w:rPr>
        <w:sectPr>
          <w:headerReference r:id="rId15" w:type="first"/>
          <w:pgSz w:w="11906" w:h="16838"/>
          <w:pgMar w:top="1440" w:right="1469" w:bottom="1440" w:left="1440" w:header="851" w:footer="992" w:gutter="0"/>
          <w:cols w:space="720" w:num="1"/>
          <w:titlePg/>
          <w:docGrid w:linePitch="462" w:charSpace="0"/>
        </w:sectPr>
      </w:pPr>
    </w:p>
    <w:p>
      <w:pPr>
        <w:tabs>
          <w:tab w:val="left" w:pos="720"/>
        </w:tabs>
        <w:spacing w:line="360" w:lineRule="auto"/>
        <w:jc w:val="center"/>
        <w:rPr>
          <w:rFonts w:ascii="宋体" w:hAnsi="宋体" w:cs="宋体"/>
          <w:b/>
          <w:sz w:val="72"/>
          <w:szCs w:val="72"/>
          <w:highlight w:val="none"/>
        </w:rPr>
      </w:pPr>
    </w:p>
    <w:p>
      <w:pPr>
        <w:spacing w:line="360" w:lineRule="auto"/>
        <w:jc w:val="left"/>
        <w:rPr>
          <w:rFonts w:ascii="宋体" w:hAnsi="宋体" w:cs="宋体"/>
          <w:sz w:val="24"/>
          <w:highlight w:val="none"/>
        </w:rPr>
      </w:pPr>
      <w:bookmarkStart w:id="60" w:name="_Toc406136461"/>
      <w:bookmarkStart w:id="61" w:name="_Toc267405541"/>
    </w:p>
    <w:p>
      <w:pPr>
        <w:spacing w:line="360" w:lineRule="auto"/>
        <w:jc w:val="left"/>
        <w:rPr>
          <w:rFonts w:ascii="宋体" w:hAnsi="宋体" w:cs="宋体"/>
          <w:sz w:val="24"/>
          <w:highlight w:val="none"/>
        </w:rPr>
      </w:pPr>
    </w:p>
    <w:p>
      <w:pPr>
        <w:spacing w:line="360" w:lineRule="auto"/>
        <w:rPr>
          <w:rFonts w:ascii="宋体" w:hAnsi="宋体" w:cs="宋体"/>
          <w:sz w:val="24"/>
          <w:highlight w:val="none"/>
        </w:rPr>
      </w:pPr>
    </w:p>
    <w:p>
      <w:pPr>
        <w:tabs>
          <w:tab w:val="left" w:pos="720"/>
        </w:tabs>
        <w:spacing w:line="360" w:lineRule="auto"/>
        <w:jc w:val="center"/>
        <w:rPr>
          <w:rFonts w:ascii="宋体" w:hAnsi="宋体" w:cs="宋体"/>
          <w:b/>
          <w:bCs/>
          <w:sz w:val="52"/>
          <w:szCs w:val="52"/>
          <w:highlight w:val="none"/>
        </w:rPr>
      </w:pPr>
    </w:p>
    <w:p>
      <w:pPr>
        <w:tabs>
          <w:tab w:val="left" w:pos="720"/>
        </w:tabs>
        <w:spacing w:line="360" w:lineRule="auto"/>
        <w:jc w:val="center"/>
        <w:rPr>
          <w:rFonts w:ascii="宋体" w:hAnsi="宋体" w:cs="宋体"/>
          <w:b/>
          <w:bCs/>
          <w:sz w:val="52"/>
          <w:szCs w:val="52"/>
          <w:highlight w:val="none"/>
        </w:rPr>
      </w:pPr>
      <w:r>
        <w:rPr>
          <w:rFonts w:ascii="宋体" w:hAnsi="宋体" w:cs="宋体"/>
          <w:b/>
          <w:bCs/>
          <w:sz w:val="52"/>
          <w:szCs w:val="52"/>
          <w:highlight w:val="none"/>
        </w:rPr>
        <w:t>合同书</w:t>
      </w:r>
    </w:p>
    <w:p>
      <w:pPr>
        <w:jc w:val="center"/>
        <w:rPr>
          <w:rFonts w:hint="eastAsia" w:ascii="宋体" w:hAnsi="宋体" w:eastAsia="宋体" w:cs="宋体"/>
          <w:bCs/>
          <w:color w:val="auto"/>
          <w:sz w:val="36"/>
          <w:szCs w:val="36"/>
          <w:highlight w:val="none"/>
          <w:lang w:eastAsia="zh-CN"/>
        </w:rPr>
      </w:pPr>
      <w:r>
        <w:rPr>
          <w:rFonts w:ascii="宋体" w:hAnsi="宋体" w:cs="宋体"/>
          <w:b/>
          <w:bCs/>
          <w:sz w:val="52"/>
          <w:szCs w:val="52"/>
          <w:highlight w:val="none"/>
        </w:rPr>
        <w:br w:type="page"/>
      </w:r>
      <w:r>
        <w:rPr>
          <w:rFonts w:hint="eastAsia" w:ascii="宋体" w:hAnsi="宋体" w:eastAsia="宋体" w:cs="宋体"/>
          <w:bCs/>
          <w:color w:val="auto"/>
          <w:sz w:val="36"/>
          <w:szCs w:val="36"/>
          <w:highlight w:val="none"/>
          <w:lang w:eastAsia="zh-CN"/>
        </w:rPr>
        <w:t>景裕豪园和宇佳水岸新都花园两处公交站场充电站</w:t>
      </w:r>
    </w:p>
    <w:p>
      <w:pPr>
        <w:jc w:val="center"/>
        <w:rPr>
          <w:rFonts w:hint="eastAsia" w:ascii="宋体" w:hAnsi="宋体" w:eastAsia="宋体" w:cs="宋体"/>
          <w:b/>
          <w:color w:val="auto"/>
          <w:sz w:val="24"/>
          <w:szCs w:val="24"/>
          <w:highlight w:val="none"/>
          <w:lang w:eastAsia="zh-CN"/>
        </w:rPr>
      </w:pPr>
      <w:r>
        <w:rPr>
          <w:rFonts w:hint="eastAsia" w:ascii="宋体" w:hAnsi="宋体" w:eastAsia="宋体" w:cs="宋体"/>
          <w:bCs/>
          <w:color w:val="auto"/>
          <w:sz w:val="36"/>
          <w:szCs w:val="36"/>
          <w:highlight w:val="none"/>
        </w:rPr>
        <w:t>建设运营</w:t>
      </w:r>
      <w:r>
        <w:rPr>
          <w:rFonts w:hint="eastAsia" w:ascii="宋体" w:hAnsi="宋体" w:eastAsia="宋体" w:cs="宋体"/>
          <w:bCs/>
          <w:color w:val="auto"/>
          <w:sz w:val="36"/>
          <w:szCs w:val="36"/>
          <w:highlight w:val="none"/>
          <w:lang w:eastAsia="zh-CN"/>
        </w:rPr>
        <w:t>服务协议</w:t>
      </w:r>
    </w:p>
    <w:p>
      <w:pPr>
        <w:ind w:firstLine="0"/>
        <w:rPr>
          <w:rFonts w:hint="eastAsia" w:ascii="宋体" w:hAnsi="宋体" w:eastAsia="宋体" w:cs="宋体"/>
          <w:b/>
          <w:color w:val="auto"/>
          <w:sz w:val="24"/>
          <w:szCs w:val="24"/>
          <w:highlight w:val="none"/>
        </w:rPr>
      </w:pPr>
    </w:p>
    <w:p>
      <w:pPr>
        <w:tabs>
          <w:tab w:val="left" w:pos="720"/>
        </w:tabs>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    方：佛山市南海区公交站场管理有限公司</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           　   传  真：           地  址：</w:t>
      </w:r>
    </w:p>
    <w:p>
      <w:pPr>
        <w:ind w:left="420" w:leftChars="200" w:firstLine="0"/>
        <w:rPr>
          <w:rFonts w:hint="eastAsia" w:ascii="宋体" w:hAnsi="宋体" w:eastAsia="宋体" w:cs="宋体"/>
          <w:b/>
          <w:color w:val="auto"/>
          <w:szCs w:val="21"/>
          <w:highlight w:val="none"/>
        </w:rPr>
      </w:pPr>
    </w:p>
    <w:p>
      <w:pPr>
        <w:ind w:left="420" w:leftChars="200" w:firstLine="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乙    方：</w:t>
      </w:r>
      <w:r>
        <w:rPr>
          <w:rFonts w:hint="eastAsia" w:ascii="宋体" w:hAnsi="宋体" w:eastAsia="宋体" w:cs="宋体"/>
          <w:b/>
          <w:color w:val="auto"/>
          <w:szCs w:val="21"/>
          <w:highlight w:val="none"/>
        </w:rPr>
        <w:br w:type="textWrapping"/>
      </w:r>
      <w:r>
        <w:rPr>
          <w:rFonts w:hint="eastAsia" w:ascii="宋体" w:hAnsi="宋体" w:eastAsia="宋体" w:cs="宋体"/>
          <w:color w:val="auto"/>
          <w:szCs w:val="21"/>
          <w:highlight w:val="none"/>
        </w:rPr>
        <w:t xml:space="preserve">电    话：                传  真：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地  址：   </w:t>
      </w:r>
    </w:p>
    <w:p>
      <w:pPr>
        <w:ind w:firstLine="420" w:firstLineChars="200"/>
        <w:rPr>
          <w:rFonts w:hint="eastAsia" w:ascii="宋体" w:hAnsi="宋体" w:eastAsia="宋体" w:cs="宋体"/>
          <w:color w:val="auto"/>
          <w:szCs w:val="21"/>
          <w:highlight w:val="none"/>
        </w:rPr>
      </w:pPr>
    </w:p>
    <w:p>
      <w:pPr>
        <w:ind w:firstLine="420" w:firstLineChars="200"/>
        <w:rPr>
          <w:rFonts w:hint="eastAsia" w:ascii="宋体" w:hAnsi="宋体" w:eastAsia="宋体" w:cs="宋体"/>
          <w:color w:val="auto"/>
          <w:szCs w:val="21"/>
          <w:highlight w:val="none"/>
          <w:lang w:val="en-US" w:eastAsia="zh-CN"/>
        </w:rPr>
      </w:pPr>
    </w:p>
    <w:p>
      <w:pPr>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甲、乙双方本着相互信任，真诚合作的原则，经双方友好协商，具体达成如下协议：</w:t>
      </w:r>
    </w:p>
    <w:p>
      <w:pPr>
        <w:spacing w:before="156" w:beforeLines="50" w:after="156" w:afterLines="50"/>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一、服务内容 </w:t>
      </w:r>
    </w:p>
    <w:p>
      <w:pPr>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（一）甲方提供</w:t>
      </w:r>
      <w:r>
        <w:rPr>
          <w:rFonts w:hint="eastAsia" w:ascii="宋体" w:hAnsi="宋体" w:eastAsia="宋体" w:cs="宋体"/>
          <w:color w:val="auto"/>
          <w:highlight w:val="none"/>
          <w:lang w:eastAsia="zh-CN"/>
        </w:rPr>
        <w:t>景裕豪园和宇佳水岸新都花园两</w:t>
      </w:r>
      <w:r>
        <w:rPr>
          <w:rFonts w:hint="eastAsia" w:ascii="宋体" w:hAnsi="宋体" w:eastAsia="宋体" w:cs="宋体"/>
          <w:color w:val="auto"/>
          <w:highlight w:val="none"/>
        </w:rPr>
        <w:t>处公交站场</w:t>
      </w:r>
      <w:r>
        <w:rPr>
          <w:rFonts w:hint="eastAsia" w:ascii="宋体" w:hAnsi="宋体" w:eastAsia="宋体" w:cs="宋体"/>
          <w:color w:val="auto"/>
          <w:highlight w:val="none"/>
          <w:lang w:eastAsia="zh-CN"/>
        </w:rPr>
        <w:t>为</w:t>
      </w:r>
      <w:r>
        <w:rPr>
          <w:rFonts w:hint="eastAsia" w:ascii="宋体" w:hAnsi="宋体" w:eastAsia="宋体" w:cs="宋体"/>
          <w:color w:val="auto"/>
          <w:highlight w:val="none"/>
        </w:rPr>
        <w:t>充电站建设场地；</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w:t>
      </w:r>
      <w:r>
        <w:rPr>
          <w:rFonts w:hint="eastAsia" w:ascii="宋体" w:hAnsi="宋体" w:eastAsia="宋体" w:cs="宋体"/>
          <w:color w:val="auto"/>
          <w:szCs w:val="21"/>
          <w:highlight w:val="none"/>
        </w:rPr>
        <w:t>乙方自行出资完成充电站建设，包括建设充电站需要的电力变压器、充电桩等相关设备、工程施工、设备安装和调试等等</w:t>
      </w:r>
      <w:r>
        <w:rPr>
          <w:rFonts w:hint="eastAsia" w:ascii="宋体" w:hAnsi="宋体" w:eastAsia="宋体" w:cs="宋体"/>
          <w:color w:val="auto"/>
          <w:highlight w:val="none"/>
        </w:rPr>
        <w:t>；</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w:t>
      </w:r>
      <w:r>
        <w:rPr>
          <w:rFonts w:hint="eastAsia" w:ascii="宋体" w:hAnsi="宋体" w:eastAsia="宋体" w:cs="宋体"/>
          <w:color w:val="auto"/>
          <w:szCs w:val="21"/>
          <w:highlight w:val="none"/>
        </w:rPr>
        <w:t>乙方在实施建设充电桩工作前，应将在甲方</w:t>
      </w:r>
      <w:r>
        <w:rPr>
          <w:rFonts w:hint="eastAsia" w:ascii="宋体" w:hAnsi="宋体" w:eastAsia="宋体" w:cs="宋体"/>
          <w:color w:val="auto"/>
          <w:szCs w:val="21"/>
          <w:highlight w:val="none"/>
          <w:lang w:eastAsia="zh-CN"/>
        </w:rPr>
        <w:t>公交站场</w:t>
      </w:r>
      <w:r>
        <w:rPr>
          <w:rFonts w:hint="eastAsia" w:ascii="宋体" w:hAnsi="宋体" w:eastAsia="宋体" w:cs="宋体"/>
          <w:color w:val="auto"/>
          <w:szCs w:val="21"/>
          <w:highlight w:val="none"/>
        </w:rPr>
        <w:t>建设充电桩的设计方案和施工方案交由甲方审核，经甲方书面同意后，乙方方可实施。</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szCs w:val="21"/>
          <w:highlight w:val="none"/>
        </w:rPr>
        <w:t>充电站建设涉及的电力报装、增容</w:t>
      </w:r>
      <w:r>
        <w:rPr>
          <w:rFonts w:hint="eastAsia" w:ascii="宋体" w:hAnsi="宋体" w:cs="宋体"/>
          <w:color w:val="auto"/>
          <w:szCs w:val="21"/>
          <w:highlight w:val="none"/>
          <w:lang w:val="en-US" w:eastAsia="zh-CN"/>
        </w:rPr>
        <w:t>等</w:t>
      </w:r>
      <w:r>
        <w:rPr>
          <w:rFonts w:hint="eastAsia" w:ascii="宋体" w:hAnsi="宋体" w:eastAsia="宋体" w:cs="宋体"/>
          <w:color w:val="auto"/>
          <w:szCs w:val="21"/>
          <w:highlight w:val="none"/>
        </w:rPr>
        <w:t>由乙方向当地供电部门申请10kV电力报装及接入，报装与增容过程中需要责任单位提供资料的，甲方应协助落实</w:t>
      </w:r>
      <w:r>
        <w:rPr>
          <w:rFonts w:hint="eastAsia" w:ascii="宋体" w:hAnsi="宋体" w:eastAsia="宋体" w:cs="宋体"/>
          <w:color w:val="auto"/>
          <w:highlight w:val="none"/>
        </w:rPr>
        <w:t>。</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充电站完工后，乙方须按照《广东省发展改革委关于做好电动汽车充（换）电设施竣工验收工作的通知》（粤发改能电函〔2018〕5463号）的相关要求完成竣工验收。若国家、省、市有最新验收要求的，从其规定执行，甲方需要配合并参与项目验收。</w:t>
      </w:r>
    </w:p>
    <w:p>
      <w:pPr>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（六）乙方</w:t>
      </w:r>
      <w:r>
        <w:rPr>
          <w:rFonts w:hint="eastAsia" w:ascii="宋体" w:hAnsi="宋体" w:eastAsia="宋体" w:cs="宋体"/>
          <w:color w:val="auto"/>
          <w:szCs w:val="21"/>
          <w:highlight w:val="none"/>
          <w:lang w:val="zh-CN"/>
        </w:rPr>
        <w:t>在指</w:t>
      </w:r>
      <w:r>
        <w:rPr>
          <w:rFonts w:hint="eastAsia" w:ascii="宋体" w:hAnsi="宋体" w:eastAsia="宋体" w:cs="宋体"/>
          <w:color w:val="auto"/>
          <w:szCs w:val="21"/>
          <w:highlight w:val="none"/>
          <w:lang w:val="zh-CN" w:eastAsia="zh-CN"/>
        </w:rPr>
        <w:t>定</w:t>
      </w:r>
      <w:r>
        <w:rPr>
          <w:rFonts w:hint="eastAsia" w:ascii="宋体" w:hAnsi="宋体" w:eastAsia="宋体" w:cs="宋体"/>
          <w:color w:val="auto"/>
          <w:szCs w:val="21"/>
          <w:highlight w:val="none"/>
          <w:lang w:val="zh-CN"/>
        </w:rPr>
        <w:t>建设地点内进行建设施工，应当采取围挡封闭施工、</w:t>
      </w:r>
      <w:r>
        <w:rPr>
          <w:rFonts w:hint="eastAsia" w:ascii="宋体" w:hAnsi="宋体" w:eastAsia="宋体" w:cs="宋体"/>
          <w:color w:val="auto"/>
          <w:kern w:val="0"/>
          <w:sz w:val="22"/>
          <w:highlight w:val="none"/>
          <w:lang w:val="zh-CN"/>
        </w:rPr>
        <w:t>施工垃圾应及时清运出场</w:t>
      </w:r>
      <w:r>
        <w:rPr>
          <w:rFonts w:hint="eastAsia" w:ascii="宋体" w:hAnsi="宋体" w:cs="宋体"/>
          <w:color w:val="auto"/>
          <w:szCs w:val="21"/>
          <w:highlight w:val="none"/>
          <w:lang w:val="zh-CN"/>
        </w:rPr>
        <w:t>。</w:t>
      </w:r>
      <w:r>
        <w:rPr>
          <w:rFonts w:hint="eastAsia" w:ascii="宋体" w:hAnsi="宋体" w:cs="宋体"/>
          <w:color w:val="auto"/>
          <w:szCs w:val="21"/>
          <w:highlight w:val="none"/>
          <w:lang w:val="en-US" w:eastAsia="zh-CN"/>
        </w:rPr>
        <w:t>项目</w:t>
      </w:r>
      <w:r>
        <w:rPr>
          <w:rFonts w:hint="eastAsia" w:ascii="宋体" w:hAnsi="宋体" w:eastAsia="宋体" w:cs="宋体"/>
          <w:color w:val="auto"/>
          <w:kern w:val="0"/>
          <w:sz w:val="22"/>
          <w:highlight w:val="none"/>
          <w:lang w:val="zh-CN"/>
        </w:rPr>
        <w:t>竣工后</w:t>
      </w:r>
      <w:r>
        <w:rPr>
          <w:rFonts w:hint="eastAsia" w:ascii="宋体" w:hAnsi="宋体" w:eastAsia="宋体" w:cs="宋体"/>
          <w:color w:val="auto"/>
          <w:szCs w:val="21"/>
          <w:highlight w:val="none"/>
          <w:lang w:val="zh-CN"/>
        </w:rPr>
        <w:t>，</w:t>
      </w:r>
      <w:r>
        <w:rPr>
          <w:rFonts w:hint="eastAsia" w:ascii="宋体" w:hAnsi="宋体" w:cs="宋体"/>
          <w:color w:val="auto"/>
          <w:szCs w:val="21"/>
          <w:highlight w:val="none"/>
          <w:lang w:val="en-US" w:eastAsia="zh-CN"/>
        </w:rPr>
        <w:t>乙方应</w:t>
      </w:r>
      <w:r>
        <w:rPr>
          <w:rFonts w:hint="eastAsia" w:ascii="宋体" w:hAnsi="宋体" w:eastAsia="宋体" w:cs="宋体"/>
          <w:color w:val="auto"/>
          <w:szCs w:val="21"/>
          <w:highlight w:val="none"/>
          <w:lang w:val="zh-CN"/>
        </w:rPr>
        <w:t>对周围施工破坏的场地平整</w:t>
      </w:r>
      <w:r>
        <w:rPr>
          <w:rFonts w:hint="eastAsia" w:ascii="宋体" w:hAnsi="宋体" w:cs="宋体"/>
          <w:color w:val="auto"/>
          <w:szCs w:val="21"/>
          <w:highlight w:val="none"/>
          <w:lang w:val="en-US" w:eastAsia="zh-CN"/>
        </w:rPr>
        <w:t>完毕</w:t>
      </w:r>
      <w:r>
        <w:rPr>
          <w:rFonts w:hint="eastAsia" w:ascii="宋体" w:hAnsi="宋体" w:cs="宋体"/>
          <w:color w:val="auto"/>
          <w:szCs w:val="21"/>
          <w:highlight w:val="none"/>
          <w:lang w:val="zh-CN"/>
        </w:rPr>
        <w:t>、</w:t>
      </w:r>
      <w:r>
        <w:rPr>
          <w:rFonts w:hint="eastAsia" w:ascii="宋体" w:hAnsi="宋体" w:eastAsia="宋体" w:cs="宋体"/>
          <w:color w:val="auto"/>
          <w:szCs w:val="21"/>
          <w:highlight w:val="none"/>
          <w:lang w:val="zh-CN"/>
        </w:rPr>
        <w:t>恢复原</w:t>
      </w:r>
      <w:r>
        <w:rPr>
          <w:rFonts w:hint="eastAsia" w:ascii="宋体" w:hAnsi="宋体" w:cs="宋体"/>
          <w:color w:val="auto"/>
          <w:szCs w:val="21"/>
          <w:highlight w:val="none"/>
          <w:lang w:val="en-US" w:eastAsia="zh-CN"/>
        </w:rPr>
        <w:t>状</w:t>
      </w:r>
      <w:r>
        <w:rPr>
          <w:rFonts w:hint="eastAsia" w:ascii="宋体" w:hAnsi="宋体" w:eastAsia="宋体" w:cs="宋体"/>
          <w:color w:val="auto"/>
          <w:szCs w:val="21"/>
          <w:highlight w:val="none"/>
          <w:lang w:val="zh-CN"/>
        </w:rPr>
        <w:t>。</w:t>
      </w:r>
    </w:p>
    <w:p>
      <w:pPr>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（七）乙方</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充电站</w:t>
      </w:r>
      <w:r>
        <w:rPr>
          <w:rFonts w:hint="eastAsia" w:ascii="宋体" w:hAnsi="宋体" w:eastAsia="宋体" w:cs="宋体"/>
          <w:color w:val="auto"/>
          <w:szCs w:val="21"/>
          <w:highlight w:val="none"/>
          <w:lang w:eastAsia="zh-CN"/>
        </w:rPr>
        <w:t>（桩）需</w:t>
      </w:r>
      <w:r>
        <w:rPr>
          <w:rFonts w:hint="eastAsia" w:ascii="宋体" w:hAnsi="宋体" w:eastAsia="宋体" w:cs="宋体"/>
          <w:color w:val="auto"/>
          <w:szCs w:val="21"/>
          <w:highlight w:val="none"/>
        </w:rPr>
        <w:t>提供</w:t>
      </w:r>
      <w:r>
        <w:rPr>
          <w:rFonts w:hint="eastAsia" w:ascii="宋体" w:hAnsi="宋体" w:cs="宋体"/>
          <w:color w:val="auto"/>
          <w:szCs w:val="21"/>
          <w:highlight w:val="none"/>
          <w:lang w:eastAsia="zh-CN"/>
        </w:rPr>
        <w:t>全年全天候</w:t>
      </w:r>
      <w:r>
        <w:rPr>
          <w:rFonts w:hint="eastAsia" w:ascii="宋体" w:hAnsi="宋体" w:eastAsia="宋体" w:cs="宋体"/>
          <w:color w:val="auto"/>
          <w:szCs w:val="21"/>
          <w:highlight w:val="none"/>
        </w:rPr>
        <w:t>24小时充电服务</w:t>
      </w:r>
      <w:r>
        <w:rPr>
          <w:rFonts w:hint="eastAsia" w:ascii="宋体" w:hAnsi="宋体" w:eastAsia="宋体" w:cs="宋体"/>
          <w:color w:val="auto"/>
          <w:szCs w:val="21"/>
          <w:highlight w:val="none"/>
          <w:lang w:eastAsia="zh-CN"/>
        </w:rPr>
        <w:t>，充电设备工作时排放的噪声限值须符合《社会生活环境噪声排放标准》(GB-22337—2008)和声环境质量标准</w:t>
      </w:r>
      <w:r>
        <w:rPr>
          <w:rFonts w:hint="eastAsia" w:ascii="宋体" w:hAnsi="宋体" w:eastAsia="宋体" w:cs="宋体"/>
          <w:color w:val="auto"/>
          <w:szCs w:val="21"/>
          <w:highlight w:val="none"/>
        </w:rPr>
        <w:t>。</w:t>
      </w:r>
    </w:p>
    <w:p>
      <w:pPr>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（八）乙方享有在充电系统设施上发布宣传、推广信息的权利，但乙方所发布的信息内容均需</w:t>
      </w:r>
      <w:r>
        <w:rPr>
          <w:rFonts w:hint="eastAsia" w:ascii="宋体" w:hAnsi="宋体" w:cs="宋体"/>
          <w:color w:val="auto"/>
          <w:szCs w:val="21"/>
          <w:highlight w:val="none"/>
          <w:lang w:val="en-US" w:eastAsia="zh-CN"/>
        </w:rPr>
        <w:t>经</w:t>
      </w:r>
      <w:r>
        <w:rPr>
          <w:rFonts w:hint="eastAsia" w:ascii="宋体" w:hAnsi="宋体" w:eastAsia="宋体" w:cs="宋体"/>
          <w:color w:val="auto"/>
          <w:szCs w:val="21"/>
          <w:highlight w:val="none"/>
        </w:rPr>
        <w:t>过甲方书面同意。</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（九）因非乙方原因造成的充电系统</w:t>
      </w:r>
      <w:r>
        <w:rPr>
          <w:rFonts w:hint="eastAsia" w:ascii="宋体" w:hAnsi="宋体" w:cs="宋体"/>
          <w:color w:val="auto"/>
          <w:szCs w:val="21"/>
          <w:highlight w:val="none"/>
          <w:lang w:val="en-US" w:eastAsia="zh-CN"/>
        </w:rPr>
        <w:t>或设备设施</w:t>
      </w:r>
      <w:r>
        <w:rPr>
          <w:rFonts w:hint="eastAsia" w:ascii="宋体" w:hAnsi="宋体" w:eastAsia="宋体" w:cs="宋体"/>
          <w:color w:val="auto"/>
          <w:szCs w:val="21"/>
          <w:highlight w:val="none"/>
        </w:rPr>
        <w:t>损坏，乙方有权要求责任者承担</w:t>
      </w:r>
      <w:r>
        <w:rPr>
          <w:rFonts w:hint="eastAsia" w:ascii="宋体" w:hAnsi="宋体" w:cs="宋体"/>
          <w:color w:val="auto"/>
          <w:szCs w:val="21"/>
          <w:highlight w:val="none"/>
          <w:lang w:val="en-US" w:eastAsia="zh-CN"/>
        </w:rPr>
        <w:t>赔偿损失的责任</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包括但不限于维修费用、</w:t>
      </w:r>
      <w:r>
        <w:rPr>
          <w:rFonts w:hint="eastAsia" w:ascii="宋体" w:hAnsi="宋体" w:eastAsia="宋体" w:cs="宋体"/>
          <w:color w:val="auto"/>
          <w:szCs w:val="21"/>
          <w:highlight w:val="none"/>
        </w:rPr>
        <w:t>差旅费、劳务费、工料费等）。由不可抗力造成的损坏，乙方应自行承担维修费用。</w:t>
      </w:r>
    </w:p>
    <w:p>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(十）建设及运营期期间，因产品质量问题和施工质量</w:t>
      </w:r>
      <w:r>
        <w:rPr>
          <w:rFonts w:hint="eastAsia" w:ascii="宋体" w:hAnsi="宋体" w:cs="宋体"/>
          <w:color w:val="auto"/>
          <w:szCs w:val="21"/>
          <w:highlight w:val="none"/>
          <w:lang w:val="en-US" w:eastAsia="zh-CN"/>
        </w:rPr>
        <w:t>问题</w:t>
      </w:r>
      <w:r>
        <w:rPr>
          <w:rFonts w:hint="eastAsia" w:ascii="宋体" w:hAnsi="宋体" w:eastAsia="宋体" w:cs="宋体"/>
          <w:color w:val="auto"/>
          <w:szCs w:val="21"/>
          <w:highlight w:val="none"/>
          <w:lang w:val="en-US" w:eastAsia="zh-CN"/>
        </w:rPr>
        <w:t>而引起的安全责任事故由乙方负责并承担相应的责任。</w:t>
      </w:r>
    </w:p>
    <w:p>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（十一）</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负责充电站的运营管理，按充电量收取充电费（充电费=</w:t>
      </w:r>
      <w:r>
        <w:rPr>
          <w:rFonts w:hint="eastAsia" w:ascii="宋体" w:hAnsi="宋体" w:cs="宋体"/>
          <w:color w:val="auto"/>
          <w:szCs w:val="21"/>
          <w:highlight w:val="none"/>
          <w:lang w:eastAsia="zh-CN"/>
        </w:rPr>
        <w:t>充电服务费</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电费）,按公共（益）性单位配套停车场收费标准收取停车费，有公交线路进站运营的</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需</w:t>
      </w:r>
      <w:r>
        <w:rPr>
          <w:rFonts w:hint="eastAsia" w:ascii="宋体" w:hAnsi="宋体" w:eastAsia="宋体" w:cs="宋体"/>
          <w:color w:val="auto"/>
          <w:szCs w:val="21"/>
          <w:highlight w:val="none"/>
          <w:lang w:eastAsia="zh-CN"/>
        </w:rPr>
        <w:t>优先服务公交车辆，并</w:t>
      </w:r>
      <w:r>
        <w:rPr>
          <w:rFonts w:hint="eastAsia" w:ascii="宋体" w:hAnsi="宋体" w:eastAsia="宋体" w:cs="宋体"/>
          <w:color w:val="auto"/>
          <w:szCs w:val="21"/>
          <w:highlight w:val="none"/>
        </w:rPr>
        <w:t>委派足够的相关运营服务人员进驻充电站提供运营管理服务</w:t>
      </w:r>
      <w:r>
        <w:rPr>
          <w:rFonts w:hint="eastAsia" w:ascii="宋体" w:hAnsi="宋体" w:eastAsia="宋体" w:cs="宋体"/>
          <w:color w:val="auto"/>
          <w:szCs w:val="21"/>
          <w:highlight w:val="none"/>
          <w:lang w:eastAsia="zh-CN"/>
        </w:rPr>
        <w:t>，按照行业主管部门规定收取</w:t>
      </w:r>
      <w:r>
        <w:rPr>
          <w:rFonts w:hint="eastAsia" w:ascii="宋体" w:hAnsi="宋体" w:cs="宋体"/>
          <w:color w:val="auto"/>
          <w:szCs w:val="21"/>
          <w:highlight w:val="none"/>
          <w:lang w:eastAsia="zh-CN"/>
        </w:rPr>
        <w:t>管理</w:t>
      </w:r>
      <w:r>
        <w:rPr>
          <w:rFonts w:hint="eastAsia" w:ascii="宋体" w:hAnsi="宋体" w:eastAsia="宋体" w:cs="宋体"/>
          <w:color w:val="auto"/>
          <w:szCs w:val="21"/>
          <w:highlight w:val="none"/>
          <w:lang w:eastAsia="zh-CN"/>
        </w:rPr>
        <w:t>费</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如需开展其他经营业务，须经</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审批同意后方可实施。</w:t>
      </w:r>
    </w:p>
    <w:p>
      <w:pPr>
        <w:spacing w:before="156" w:beforeLines="50" w:after="156" w:after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二、建设和运营期</w:t>
      </w:r>
    </w:p>
    <w:p>
      <w:pPr>
        <w:spacing w:before="156" w:beforeLines="50" w:after="156" w:afterLines="50"/>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eastAsia="zh-CN"/>
        </w:rPr>
        <w:t>（一）乙方</w:t>
      </w:r>
      <w:r>
        <w:rPr>
          <w:rFonts w:hint="eastAsia" w:ascii="宋体" w:hAnsi="宋体" w:eastAsia="宋体" w:cs="宋体"/>
          <w:color w:val="auto"/>
          <w:szCs w:val="21"/>
          <w:highlight w:val="none"/>
        </w:rPr>
        <w:t>必须在</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签订</w:t>
      </w:r>
      <w:r>
        <w:rPr>
          <w:rFonts w:hint="eastAsia" w:ascii="宋体" w:hAnsi="宋体" w:eastAsia="宋体" w:cs="宋体"/>
          <w:color w:val="auto"/>
          <w:szCs w:val="21"/>
          <w:highlight w:val="none"/>
          <w:lang w:eastAsia="zh-CN"/>
        </w:rPr>
        <w:t>之日，</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eastAsia="zh-CN"/>
        </w:rPr>
        <w:t>甲方一次性交纳</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139497.00</w:t>
      </w:r>
      <w:r>
        <w:rPr>
          <w:rFonts w:hint="eastAsia" w:ascii="宋体" w:hAnsi="宋体" w:eastAsia="宋体" w:cs="宋体"/>
          <w:color w:val="auto"/>
          <w:szCs w:val="21"/>
          <w:highlight w:val="none"/>
          <w:u w:val="single"/>
        </w:rPr>
        <w:t>元</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lang w:eastAsia="zh-CN"/>
        </w:rPr>
        <w:t>壹拾叁万玖仟肆佰玖拾柒元整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作为</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期满，</w:t>
      </w:r>
      <w:r>
        <w:rPr>
          <w:rFonts w:hint="eastAsia" w:ascii="宋体" w:hAnsi="宋体" w:cs="宋体"/>
          <w:color w:val="auto"/>
          <w:szCs w:val="21"/>
          <w:highlight w:val="none"/>
          <w:lang w:eastAsia="zh-CN"/>
        </w:rPr>
        <w:t>若乙方无拖欠水电及职工工资、甲方收益分成、违约金、赔偿款等有关费用</w:t>
      </w:r>
      <w:r>
        <w:rPr>
          <w:rFonts w:hint="eastAsia" w:ascii="宋体" w:hAnsi="宋体" w:eastAsia="宋体" w:cs="宋体"/>
          <w:color w:val="auto"/>
          <w:szCs w:val="21"/>
          <w:highlight w:val="none"/>
        </w:rPr>
        <w:t>，甲方</w:t>
      </w:r>
      <w:r>
        <w:rPr>
          <w:rFonts w:hint="eastAsia" w:ascii="宋体" w:hAnsi="宋体" w:cs="宋体"/>
          <w:color w:val="auto"/>
          <w:szCs w:val="21"/>
          <w:highlight w:val="none"/>
          <w:lang w:eastAsia="zh-CN"/>
        </w:rPr>
        <w:t>则如数将履约保证金无息</w:t>
      </w:r>
      <w:r>
        <w:rPr>
          <w:rFonts w:hint="eastAsia" w:ascii="宋体" w:hAnsi="宋体" w:eastAsia="宋体" w:cs="宋体"/>
          <w:color w:val="auto"/>
          <w:szCs w:val="21"/>
          <w:highlight w:val="none"/>
        </w:rPr>
        <w:t>退还</w:t>
      </w:r>
      <w:r>
        <w:rPr>
          <w:rFonts w:hint="eastAsia" w:ascii="宋体" w:hAnsi="宋体" w:cs="宋体"/>
          <w:color w:val="auto"/>
          <w:szCs w:val="21"/>
          <w:highlight w:val="none"/>
          <w:lang w:eastAsia="zh-CN"/>
        </w:rPr>
        <w:t>给</w:t>
      </w:r>
      <w:r>
        <w:rPr>
          <w:rFonts w:hint="eastAsia" w:ascii="宋体" w:hAnsi="宋体" w:eastAsia="宋体" w:cs="宋体"/>
          <w:color w:val="auto"/>
          <w:szCs w:val="21"/>
          <w:highlight w:val="none"/>
        </w:rPr>
        <w:t>乙方</w:t>
      </w:r>
      <w:r>
        <w:rPr>
          <w:rFonts w:hint="eastAsia" w:ascii="宋体" w:hAnsi="宋体" w:cs="宋体"/>
          <w:color w:val="auto"/>
          <w:szCs w:val="21"/>
          <w:highlight w:val="none"/>
          <w:lang w:val="en-US" w:eastAsia="zh-CN"/>
        </w:rPr>
        <w:t>,</w:t>
      </w:r>
      <w:r>
        <w:rPr>
          <w:rFonts w:hint="eastAsia" w:ascii="宋体" w:hAnsi="宋体" w:eastAsia="宋体" w:cs="宋体"/>
          <w:color w:val="000000"/>
          <w:sz w:val="21"/>
          <w:szCs w:val="21"/>
          <w:highlight w:val="none"/>
        </w:rPr>
        <w:t>否则，甲方有权没收或扣除相应履约保证金以冲抵前述费用，冲抵不足部分甲方有权向乙方追偿</w:t>
      </w:r>
      <w:r>
        <w:rPr>
          <w:rFonts w:hint="eastAsia" w:ascii="宋体" w:hAnsi="宋体" w:eastAsia="宋体" w:cs="宋体"/>
          <w:color w:val="auto"/>
          <w:szCs w:val="21"/>
          <w:highlight w:val="none"/>
        </w:rPr>
        <w:t>。</w:t>
      </w:r>
    </w:p>
    <w:p>
      <w:pPr>
        <w:ind w:firstLine="420" w:firstLineChars="200"/>
        <w:rPr>
          <w:rFonts w:hint="eastAsia" w:ascii="宋体" w:hAnsi="宋体" w:eastAsia="宋体" w:cs="宋体"/>
          <w:bCs/>
          <w:color w:val="auto"/>
          <w:sz w:val="24"/>
          <w:szCs w:val="24"/>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）充电站须在</w:t>
      </w:r>
      <w:r>
        <w:rPr>
          <w:rFonts w:hint="eastAsia" w:ascii="宋体" w:hAnsi="宋体" w:eastAsia="宋体" w:cs="宋体"/>
          <w:color w:val="auto"/>
          <w:szCs w:val="21"/>
          <w:highlight w:val="none"/>
          <w:lang w:val="en-US" w:eastAsia="zh-CN"/>
        </w:rPr>
        <w:t>2022年__月__日前</w:t>
      </w:r>
      <w:r>
        <w:rPr>
          <w:rFonts w:hint="eastAsia" w:ascii="宋体" w:hAnsi="宋体" w:eastAsia="宋体" w:cs="宋体"/>
          <w:color w:val="auto"/>
          <w:szCs w:val="21"/>
          <w:highlight w:val="none"/>
        </w:rPr>
        <w:t>完成建设，并按照《广东省发展改革委关于做好电动汽车充（换）电设施竣工验收工作的通知》（粤发改能电函〔2018〕5463号）的相关要求完成竣工验收。若国家、省、市有最新验收要求的，从其规定执行</w:t>
      </w:r>
      <w:r>
        <w:rPr>
          <w:rFonts w:hint="eastAsia" w:ascii="宋体" w:hAnsi="宋体" w:eastAsia="宋体" w:cs="宋体"/>
          <w:color w:val="auto"/>
          <w:sz w:val="24"/>
          <w:szCs w:val="24"/>
          <w:highlight w:val="none"/>
        </w:rPr>
        <w:t>。</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eastAsia="zh-CN"/>
        </w:rPr>
        <w:t>建设</w:t>
      </w:r>
      <w:r>
        <w:rPr>
          <w:rFonts w:hint="eastAsia" w:ascii="宋体" w:hAnsi="宋体" w:eastAsia="宋体" w:cs="宋体"/>
          <w:color w:val="auto"/>
          <w:szCs w:val="21"/>
          <w:highlight w:val="none"/>
        </w:rPr>
        <w:t>运营期为</w:t>
      </w:r>
      <w:r>
        <w:rPr>
          <w:rFonts w:hint="eastAsia" w:ascii="宋体" w:hAnsi="宋体" w:eastAsia="宋体" w:cs="宋体"/>
          <w:color w:val="auto"/>
          <w:szCs w:val="21"/>
          <w:highlight w:val="none"/>
          <w:u w:val="single"/>
          <w:lang w:val="en-US" w:eastAsia="zh-CN"/>
        </w:rPr>
        <w:t>10</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u w:val="single"/>
          <w:lang w:val="en-US" w:eastAsia="zh-CN"/>
        </w:rPr>
        <w:t>2022</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lang w:val="en-US" w:eastAsia="zh-CN"/>
        </w:rPr>
        <w:t xml:space="preserve">20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日</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其中，乙方享有</w:t>
      </w:r>
      <w:r>
        <w:rPr>
          <w:rFonts w:hint="eastAsia" w:ascii="宋体" w:hAnsi="宋体" w:eastAsia="宋体" w:cs="宋体"/>
          <w:color w:val="auto"/>
          <w:szCs w:val="21"/>
          <w:highlight w:val="none"/>
          <w:lang w:eastAsia="zh-CN"/>
        </w:rPr>
        <w:t>三个月</w:t>
      </w:r>
      <w:r>
        <w:rPr>
          <w:rFonts w:hint="eastAsia" w:ascii="宋体" w:hAnsi="宋体" w:cs="宋体"/>
          <w:color w:val="auto"/>
          <w:szCs w:val="21"/>
          <w:highlight w:val="none"/>
          <w:lang w:val="en-US" w:eastAsia="zh-CN"/>
        </w:rPr>
        <w:t>建设期</w:t>
      </w:r>
      <w:r>
        <w:rPr>
          <w:rFonts w:hint="eastAsia" w:ascii="宋体" w:hAnsi="宋体" w:eastAsia="宋体" w:cs="宋体"/>
          <w:color w:val="auto"/>
          <w:szCs w:val="21"/>
          <w:highlight w:val="none"/>
        </w:rPr>
        <w:t>，建设期</w:t>
      </w:r>
      <w:r>
        <w:rPr>
          <w:rFonts w:hint="eastAsia" w:ascii="宋体" w:hAnsi="宋体" w:cs="宋体"/>
          <w:color w:val="auto"/>
          <w:szCs w:val="21"/>
          <w:highlight w:val="none"/>
          <w:lang w:val="en-US" w:eastAsia="zh-CN"/>
        </w:rPr>
        <w:t>内乙方</w:t>
      </w:r>
      <w:r>
        <w:rPr>
          <w:rFonts w:hint="eastAsia" w:ascii="宋体" w:hAnsi="宋体" w:eastAsia="宋体" w:cs="宋体"/>
          <w:color w:val="auto"/>
          <w:szCs w:val="21"/>
          <w:highlight w:val="none"/>
        </w:rPr>
        <w:t>严格按照</w:t>
      </w:r>
      <w:r>
        <w:rPr>
          <w:rFonts w:hint="eastAsia" w:ascii="宋体" w:hAnsi="宋体" w:cs="宋体"/>
          <w:color w:val="auto"/>
          <w:szCs w:val="21"/>
          <w:highlight w:val="none"/>
          <w:lang w:val="en-US" w:eastAsia="zh-CN"/>
        </w:rPr>
        <w:t>本辖区内</w:t>
      </w:r>
      <w:r>
        <w:rPr>
          <w:rFonts w:hint="eastAsia" w:ascii="宋体" w:hAnsi="宋体" w:eastAsia="宋体" w:cs="宋体"/>
          <w:color w:val="auto"/>
          <w:szCs w:val="21"/>
          <w:highlight w:val="none"/>
        </w:rPr>
        <w:t>有关文件规定执行</w:t>
      </w:r>
      <w:r>
        <w:rPr>
          <w:rFonts w:hint="eastAsia" w:ascii="宋体" w:hAnsi="宋体" w:eastAsia="宋体" w:cs="宋体"/>
          <w:color w:val="auto"/>
          <w:kern w:val="0"/>
          <w:sz w:val="24"/>
          <w:highlight w:val="none"/>
          <w:lang w:eastAsia="zh-CN"/>
        </w:rPr>
        <w:t>。</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须每2年和</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签订</w:t>
      </w:r>
      <w:r>
        <w:rPr>
          <w:rFonts w:hint="eastAsia" w:ascii="宋体" w:hAnsi="宋体" w:eastAsia="宋体" w:cs="宋体"/>
          <w:color w:val="auto"/>
          <w:szCs w:val="21"/>
          <w:highlight w:val="none"/>
          <w:lang w:eastAsia="zh-CN"/>
        </w:rPr>
        <w:t>服务协议</w:t>
      </w:r>
      <w:r>
        <w:rPr>
          <w:rFonts w:hint="eastAsia" w:ascii="宋体" w:hAnsi="宋体" w:eastAsia="宋体" w:cs="宋体"/>
          <w:color w:val="auto"/>
          <w:szCs w:val="21"/>
          <w:highlight w:val="none"/>
        </w:rPr>
        <w:t>，一共五期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如</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完成期内服务后，经</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rPr>
        <w:t>服务质量考核，没有发生评分分值在75分（不含）以下的次数达到2次的情况，可续签下一期的</w:t>
      </w:r>
      <w:r>
        <w:rPr>
          <w:rFonts w:hint="eastAsia" w:ascii="宋体" w:hAnsi="宋体" w:eastAsia="宋体" w:cs="宋体"/>
          <w:color w:val="auto"/>
          <w:szCs w:val="21"/>
          <w:highlight w:val="none"/>
          <w:lang w:eastAsia="zh-CN"/>
        </w:rPr>
        <w:t>服务协议</w:t>
      </w:r>
      <w:r>
        <w:rPr>
          <w:rFonts w:hint="eastAsia" w:ascii="宋体" w:hAnsi="宋体" w:eastAsia="宋体" w:cs="宋体"/>
          <w:color w:val="auto"/>
          <w:szCs w:val="21"/>
          <w:highlight w:val="none"/>
        </w:rPr>
        <w:t>；否则，</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有权不再与</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续签</w:t>
      </w:r>
      <w:r>
        <w:rPr>
          <w:rFonts w:hint="eastAsia" w:ascii="宋体" w:hAnsi="宋体" w:eastAsia="宋体" w:cs="宋体"/>
          <w:color w:val="auto"/>
          <w:szCs w:val="21"/>
          <w:highlight w:val="none"/>
          <w:lang w:eastAsia="zh-CN"/>
        </w:rPr>
        <w:t>服务协议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本协议自动终止</w:t>
      </w:r>
      <w:r>
        <w:rPr>
          <w:rFonts w:hint="eastAsia" w:ascii="宋体" w:hAnsi="宋体" w:eastAsia="宋体" w:cs="宋体"/>
          <w:color w:val="auto"/>
          <w:szCs w:val="21"/>
          <w:highlight w:val="none"/>
        </w:rPr>
        <w:t>。</w:t>
      </w:r>
    </w:p>
    <w:p>
      <w:pPr>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在运营期限内，乙方负责本项目的运营管理工作，</w:t>
      </w:r>
      <w:r>
        <w:rPr>
          <w:rFonts w:hint="eastAsia" w:ascii="宋体" w:hAnsi="宋体" w:eastAsia="宋体" w:cs="宋体"/>
          <w:color w:val="auto"/>
          <w:szCs w:val="21"/>
          <w:highlight w:val="none"/>
          <w:lang w:val="en-US" w:eastAsia="zh-CN"/>
        </w:rPr>
        <w:t>运营</w:t>
      </w:r>
      <w:r>
        <w:rPr>
          <w:rFonts w:hint="eastAsia" w:ascii="宋体" w:hAnsi="宋体" w:eastAsia="宋体" w:cs="宋体"/>
          <w:color w:val="auto"/>
          <w:szCs w:val="21"/>
          <w:highlight w:val="none"/>
        </w:rPr>
        <w:t>期满</w:t>
      </w:r>
      <w:r>
        <w:rPr>
          <w:rFonts w:hint="eastAsia" w:ascii="宋体" w:hAnsi="宋体" w:eastAsia="宋体" w:cs="宋体"/>
          <w:color w:val="auto"/>
          <w:szCs w:val="21"/>
          <w:highlight w:val="none"/>
          <w:lang w:eastAsia="zh-CN"/>
        </w:rPr>
        <w:t>后或终止协议后</w:t>
      </w:r>
      <w:r>
        <w:rPr>
          <w:rFonts w:hint="eastAsia" w:ascii="宋体" w:hAnsi="宋体" w:eastAsia="宋体" w:cs="宋体"/>
          <w:color w:val="auto"/>
          <w:szCs w:val="21"/>
          <w:highlight w:val="none"/>
        </w:rPr>
        <w:t>全部项目资产</w:t>
      </w:r>
      <w:r>
        <w:rPr>
          <w:rFonts w:hint="eastAsia" w:ascii="宋体" w:hAnsi="宋体" w:cs="宋体"/>
          <w:color w:val="auto"/>
          <w:szCs w:val="21"/>
          <w:highlight w:val="none"/>
          <w:lang w:eastAsia="zh-CN"/>
        </w:rPr>
        <w:t>（包括但不仅限于乙方出资建设的建构筑物、设备设施等）</w:t>
      </w:r>
      <w:r>
        <w:rPr>
          <w:rFonts w:hint="eastAsia" w:ascii="宋体" w:hAnsi="宋体" w:eastAsia="宋体" w:cs="宋体"/>
          <w:color w:val="auto"/>
          <w:szCs w:val="21"/>
          <w:highlight w:val="none"/>
          <w:lang w:eastAsia="zh-CN"/>
        </w:rPr>
        <w:t>归</w:t>
      </w:r>
      <w:r>
        <w:rPr>
          <w:rFonts w:hint="eastAsia" w:ascii="宋体" w:hAnsi="宋体" w:eastAsia="宋体" w:cs="宋体"/>
          <w:color w:val="auto"/>
          <w:szCs w:val="21"/>
          <w:highlight w:val="none"/>
        </w:rPr>
        <w:t>甲方</w:t>
      </w:r>
      <w:r>
        <w:rPr>
          <w:rFonts w:hint="eastAsia" w:ascii="宋体" w:hAnsi="宋体" w:eastAsia="宋体" w:cs="宋体"/>
          <w:color w:val="auto"/>
          <w:szCs w:val="21"/>
          <w:highlight w:val="none"/>
          <w:lang w:eastAsia="zh-CN"/>
        </w:rPr>
        <w:t>所有</w:t>
      </w:r>
      <w:r>
        <w:rPr>
          <w:rFonts w:hint="eastAsia" w:ascii="宋体" w:hAnsi="宋体" w:eastAsia="宋体" w:cs="宋体"/>
          <w:color w:val="auto"/>
          <w:szCs w:val="21"/>
          <w:highlight w:val="none"/>
        </w:rPr>
        <w:t>。</w:t>
      </w:r>
    </w:p>
    <w:p>
      <w:pPr>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三、费用结算</w:t>
      </w:r>
    </w:p>
    <w:p>
      <w:pPr>
        <w:ind w:left="1"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（一）充电费收取</w:t>
      </w:r>
    </w:p>
    <w:p>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运营期内乙方向充电系统的使用者收取充电费（充电费=</w:t>
      </w:r>
      <w:r>
        <w:rPr>
          <w:rFonts w:hint="eastAsia" w:ascii="宋体" w:hAnsi="宋体" w:cs="宋体"/>
          <w:color w:val="auto"/>
          <w:kern w:val="2"/>
          <w:sz w:val="21"/>
          <w:szCs w:val="21"/>
          <w:highlight w:val="none"/>
          <w:lang w:val="en-US" w:eastAsia="zh-CN" w:bidi="ar-SA"/>
        </w:rPr>
        <w:t>充电服务费</w:t>
      </w:r>
      <w:r>
        <w:rPr>
          <w:rFonts w:hint="eastAsia" w:ascii="宋体" w:hAnsi="宋体" w:eastAsia="宋体" w:cs="宋体"/>
          <w:color w:val="auto"/>
          <w:kern w:val="2"/>
          <w:sz w:val="21"/>
          <w:szCs w:val="21"/>
          <w:highlight w:val="none"/>
          <w:lang w:val="en-US" w:eastAsia="zh-CN" w:bidi="ar-SA"/>
        </w:rPr>
        <w:t>+电费）。公交车辆充电服务费按照甲方设定的价格执行，社会车辆充电服务费由乙方自行设定执行，电费单价按国家规定的电价政策收取，充电量以充电桩读数为准。若上级对上述收费有新规定的，从其规定执行。</w:t>
      </w:r>
    </w:p>
    <w:p>
      <w:pPr>
        <w:ind w:left="1052" w:leftChars="200" w:hanging="632" w:hangingChars="3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（二）电费结算</w:t>
      </w:r>
    </w:p>
    <w:p>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1.充电设施产生的电费由乙方自行承担；</w:t>
      </w:r>
    </w:p>
    <w:p>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2.充电站电源点取自乙方投资建设配电房的，产生电费由乙方与区供电部门结算；</w:t>
      </w:r>
    </w:p>
    <w:p>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3.电费按国家规定的电价政策收取。</w:t>
      </w:r>
    </w:p>
    <w:p>
      <w:pPr>
        <w:ind w:left="1052" w:leftChars="200" w:hanging="632" w:hangingChars="3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 收益分成结算</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乙方充电站产生的收益分成按</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%支付给甲方，其收益分成比例在运营期内不得调整。即：收益分成=充电站产生的充电服务费×__%，由乙方于每月28日前（遇</w:t>
      </w:r>
      <w:r>
        <w:rPr>
          <w:rFonts w:hint="eastAsia" w:ascii="宋体" w:hAnsi="宋体" w:cs="宋体"/>
          <w:color w:val="auto"/>
          <w:kern w:val="2"/>
          <w:sz w:val="21"/>
          <w:szCs w:val="21"/>
          <w:highlight w:val="none"/>
          <w:lang w:val="en-US" w:eastAsia="zh-CN" w:bidi="ar-SA"/>
        </w:rPr>
        <w:t>法定</w:t>
      </w:r>
      <w:r>
        <w:rPr>
          <w:rFonts w:hint="eastAsia" w:ascii="宋体" w:hAnsi="宋体" w:eastAsia="宋体" w:cs="宋体"/>
          <w:color w:val="auto"/>
          <w:kern w:val="2"/>
          <w:sz w:val="21"/>
          <w:szCs w:val="21"/>
          <w:highlight w:val="none"/>
          <w:lang w:val="en-US" w:eastAsia="zh-CN" w:bidi="ar-SA"/>
        </w:rPr>
        <w:t>节假日顺延）将上月收益分成支付给甲方。</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运营管理服务期间，双方每月进行对账，乙方以月度为周期将充电站产生的收益分成支付给甲方；在缴费周期的次月25日前，双方完成相关费用金额的核对、确认</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双方确认无误后，乙方于3个工作日内或28日前（遇</w:t>
      </w:r>
      <w:r>
        <w:rPr>
          <w:rFonts w:hint="eastAsia" w:ascii="宋体" w:hAnsi="宋体" w:cs="宋体"/>
          <w:color w:val="auto"/>
          <w:kern w:val="2"/>
          <w:sz w:val="21"/>
          <w:szCs w:val="21"/>
          <w:highlight w:val="none"/>
          <w:lang w:val="en-US" w:eastAsia="zh-CN" w:bidi="ar-SA"/>
        </w:rPr>
        <w:t>法定</w:t>
      </w:r>
      <w:r>
        <w:rPr>
          <w:rFonts w:hint="eastAsia" w:ascii="宋体" w:hAnsi="宋体" w:eastAsia="宋体" w:cs="宋体"/>
          <w:color w:val="auto"/>
          <w:kern w:val="2"/>
          <w:sz w:val="21"/>
          <w:szCs w:val="21"/>
          <w:highlight w:val="none"/>
          <w:lang w:val="en-US" w:eastAsia="zh-CN" w:bidi="ar-SA"/>
        </w:rPr>
        <w:t>节假日顺延）向甲方支付相应的费用，甲方收到相应款项后于7个工作日内提供发票给乙方</w:t>
      </w:r>
      <w:r>
        <w:rPr>
          <w:rFonts w:hint="eastAsia" w:ascii="宋体" w:hAnsi="宋体" w:cs="宋体"/>
          <w:color w:val="auto"/>
          <w:kern w:val="2"/>
          <w:sz w:val="21"/>
          <w:szCs w:val="21"/>
          <w:highlight w:val="none"/>
          <w:lang w:val="en-US" w:eastAsia="zh-CN" w:bidi="ar-SA"/>
        </w:rPr>
        <w:t>，乙方</w:t>
      </w:r>
      <w:r>
        <w:rPr>
          <w:rFonts w:ascii="宋体" w:hAnsi="宋体" w:cs="宋体"/>
          <w:color w:val="auto"/>
          <w:sz w:val="21"/>
          <w:szCs w:val="21"/>
          <w:highlight w:val="none"/>
        </w:rPr>
        <w:t>逾期支付</w:t>
      </w:r>
      <w:r>
        <w:rPr>
          <w:rFonts w:hint="eastAsia" w:ascii="宋体" w:hAnsi="宋体" w:cs="宋体"/>
          <w:color w:val="auto"/>
          <w:sz w:val="21"/>
          <w:szCs w:val="21"/>
          <w:highlight w:val="none"/>
          <w:lang w:val="en-US" w:eastAsia="zh-CN"/>
        </w:rPr>
        <w:t>充电服务费收益分成的</w:t>
      </w:r>
      <w:r>
        <w:rPr>
          <w:rFonts w:ascii="宋体" w:hAnsi="宋体" w:cs="宋体"/>
          <w:color w:val="auto"/>
          <w:sz w:val="21"/>
          <w:szCs w:val="21"/>
          <w:highlight w:val="none"/>
        </w:rPr>
        <w:t>，则</w:t>
      </w:r>
      <w:r>
        <w:rPr>
          <w:rFonts w:hint="eastAsia" w:ascii="宋体" w:hAnsi="宋体" w:cs="宋体"/>
          <w:color w:val="auto"/>
          <w:sz w:val="21"/>
          <w:szCs w:val="21"/>
          <w:highlight w:val="none"/>
          <w:lang w:val="en-US" w:eastAsia="zh-CN"/>
        </w:rPr>
        <w:t>每日</w:t>
      </w:r>
      <w:r>
        <w:rPr>
          <w:rFonts w:ascii="宋体" w:hAnsi="宋体" w:cs="宋体"/>
          <w:color w:val="auto"/>
          <w:sz w:val="21"/>
          <w:szCs w:val="21"/>
          <w:highlight w:val="none"/>
        </w:rPr>
        <w:t>按应付总金额的</w:t>
      </w:r>
      <w:r>
        <w:rPr>
          <w:rFonts w:hint="eastAsia" w:ascii="宋体" w:hAnsi="宋体" w:cs="宋体"/>
          <w:color w:val="auto"/>
          <w:sz w:val="21"/>
          <w:szCs w:val="21"/>
          <w:highlight w:val="none"/>
          <w:lang w:eastAsia="zh-CN"/>
        </w:rPr>
        <w:t>千分之一</w:t>
      </w:r>
      <w:r>
        <w:rPr>
          <w:rFonts w:ascii="宋体" w:hAnsi="宋体" w:cs="宋体"/>
          <w:color w:val="auto"/>
          <w:sz w:val="21"/>
          <w:szCs w:val="21"/>
          <w:highlight w:val="none"/>
        </w:rPr>
        <w:t>作为违约金赔偿给</w:t>
      </w:r>
      <w:r>
        <w:rPr>
          <w:rFonts w:hint="eastAsia" w:ascii="宋体" w:hAnsi="宋体" w:cs="宋体"/>
          <w:color w:val="auto"/>
          <w:sz w:val="21"/>
          <w:szCs w:val="21"/>
          <w:highlight w:val="none"/>
          <w:lang w:eastAsia="zh-CN"/>
        </w:rPr>
        <w:t>甲方。</w:t>
      </w:r>
      <w:r>
        <w:rPr>
          <w:rFonts w:hint="eastAsia" w:ascii="宋体" w:hAnsi="宋体" w:eastAsia="宋体" w:cs="宋体"/>
          <w:color w:val="auto"/>
          <w:kern w:val="2"/>
          <w:sz w:val="21"/>
          <w:szCs w:val="21"/>
          <w:highlight w:val="none"/>
          <w:lang w:val="en-US" w:eastAsia="zh-CN" w:bidi="ar-SA"/>
        </w:rPr>
        <w:t>甲方对乙方的充电服务费总额核对工作中如发现漏报、少报等问题，乙方需补足差额部分</w:t>
      </w:r>
      <w:r>
        <w:rPr>
          <w:rFonts w:hint="eastAsia" w:ascii="宋体" w:hAnsi="宋体" w:cs="宋体"/>
          <w:color w:val="auto"/>
          <w:kern w:val="2"/>
          <w:sz w:val="21"/>
          <w:szCs w:val="21"/>
          <w:highlight w:val="none"/>
          <w:lang w:val="en-US" w:eastAsia="zh-CN" w:bidi="ar-SA"/>
        </w:rPr>
        <w:t>，且</w:t>
      </w:r>
      <w:r>
        <w:rPr>
          <w:rFonts w:ascii="宋体" w:hAnsi="宋体" w:cs="宋体"/>
          <w:color w:val="auto"/>
          <w:sz w:val="21"/>
          <w:szCs w:val="21"/>
          <w:highlight w:val="none"/>
        </w:rPr>
        <w:t>将差额部分</w:t>
      </w:r>
      <w:r>
        <w:rPr>
          <w:rFonts w:hint="eastAsia" w:ascii="宋体" w:hAnsi="宋体" w:cs="宋体"/>
          <w:color w:val="auto"/>
          <w:sz w:val="21"/>
          <w:szCs w:val="21"/>
          <w:highlight w:val="none"/>
          <w:lang w:val="en-US" w:eastAsia="zh-CN"/>
        </w:rPr>
        <w:t>五倍赔偿予甲方</w:t>
      </w:r>
      <w:r>
        <w:rPr>
          <w:rFonts w:ascii="宋体" w:hAnsi="宋体" w:cs="宋体"/>
          <w:color w:val="auto"/>
          <w:sz w:val="21"/>
          <w:szCs w:val="21"/>
          <w:highlight w:val="none"/>
        </w:rPr>
        <w:t>。</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充电站产生的充电服务费</w:t>
      </w:r>
      <w:r>
        <w:rPr>
          <w:rFonts w:hint="eastAsia" w:ascii="宋体" w:hAnsi="宋体" w:eastAsia="宋体" w:cs="宋体"/>
          <w:color w:val="auto"/>
          <w:kern w:val="2"/>
          <w:sz w:val="21"/>
          <w:szCs w:val="21"/>
          <w:highlight w:val="none"/>
          <w:u w:val="single"/>
          <w:lang w:val="en-US" w:eastAsia="zh-CN" w:bidi="ar-SA"/>
        </w:rPr>
        <w:t>高于</w:t>
      </w:r>
      <w:r>
        <w:rPr>
          <w:rFonts w:hint="eastAsia" w:ascii="宋体" w:hAnsi="宋体" w:eastAsia="宋体" w:cs="宋体"/>
          <w:color w:val="auto"/>
          <w:kern w:val="2"/>
          <w:sz w:val="21"/>
          <w:szCs w:val="21"/>
          <w:highlight w:val="none"/>
          <w:lang w:val="en-US" w:eastAsia="zh-CN" w:bidi="ar-SA"/>
        </w:rPr>
        <w:t>0.25元/度时，</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充电站产生的收益分成=充电站产生的充电服务费×</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%，由乙方支付给甲方；</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充电站产生的充电服务费</w:t>
      </w:r>
      <w:r>
        <w:rPr>
          <w:rFonts w:hint="eastAsia" w:ascii="宋体" w:hAnsi="宋体" w:eastAsia="宋体" w:cs="宋体"/>
          <w:color w:val="auto"/>
          <w:kern w:val="2"/>
          <w:sz w:val="21"/>
          <w:szCs w:val="21"/>
          <w:highlight w:val="none"/>
          <w:u w:val="single"/>
          <w:lang w:val="en-US" w:eastAsia="zh-CN" w:bidi="ar-SA"/>
        </w:rPr>
        <w:t>低于</w:t>
      </w:r>
      <w:r>
        <w:rPr>
          <w:rFonts w:hint="eastAsia" w:ascii="宋体" w:hAnsi="宋体" w:eastAsia="宋体" w:cs="宋体"/>
          <w:color w:val="auto"/>
          <w:kern w:val="2"/>
          <w:sz w:val="21"/>
          <w:szCs w:val="21"/>
          <w:highlight w:val="none"/>
          <w:lang w:val="en-US" w:eastAsia="zh-CN" w:bidi="ar-SA"/>
        </w:rPr>
        <w:t>0.25元/度（含）时，</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充电站产生的收益分成=0.25元/度×充电度数×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%，由乙方支付给甲方。</w:t>
      </w:r>
    </w:p>
    <w:p>
      <w:pPr>
        <w:spacing w:before="120" w:beforeLines="50" w:after="120" w:afterLines="50" w:line="400" w:lineRule="exact"/>
        <w:ind w:right="105" w:rightChars="50"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.甲方享有保底收益权。</w:t>
      </w:r>
      <w:r>
        <w:rPr>
          <w:rFonts w:hint="eastAsia" w:ascii="宋体" w:hAnsi="宋体" w:eastAsia="宋体" w:cs="宋体"/>
          <w:color w:val="auto"/>
          <w:kern w:val="2"/>
          <w:sz w:val="21"/>
          <w:szCs w:val="21"/>
          <w:highlight w:val="none"/>
          <w:lang w:val="en-US" w:eastAsia="zh-CN" w:bidi="ar-SA"/>
        </w:rPr>
        <w:t>若甲方每年度获得的收益分成金额少于保底金额，不足部分，由乙方负责补足，并在下一结算年度开始的第一个月内</w:t>
      </w:r>
      <w:r>
        <w:rPr>
          <w:rFonts w:hint="default" w:ascii="宋体" w:hAnsi="宋体" w:eastAsia="宋体" w:cs="宋体"/>
          <w:color w:val="auto"/>
          <w:kern w:val="2"/>
          <w:sz w:val="21"/>
          <w:szCs w:val="21"/>
          <w:highlight w:val="none"/>
          <w:lang w:val="en-US" w:eastAsia="zh-CN" w:bidi="ar-SA"/>
        </w:rPr>
        <w:t>一次性支付</w:t>
      </w:r>
      <w:r>
        <w:rPr>
          <w:rFonts w:hint="eastAsia" w:ascii="宋体" w:hAnsi="宋体" w:eastAsia="宋体" w:cs="宋体"/>
          <w:color w:val="auto"/>
          <w:kern w:val="2"/>
          <w:sz w:val="21"/>
          <w:szCs w:val="21"/>
          <w:highlight w:val="none"/>
          <w:lang w:val="en-US" w:eastAsia="zh-CN" w:bidi="ar-SA"/>
        </w:rPr>
        <w:t>完毕，采购人须开具相应发票，保底金额每两年递增3%，</w:t>
      </w:r>
      <w:r>
        <w:rPr>
          <w:rFonts w:hint="eastAsia" w:ascii="宋体" w:hAnsi="宋体" w:cs="宋体"/>
          <w:color w:val="auto"/>
          <w:kern w:val="2"/>
          <w:sz w:val="21"/>
          <w:szCs w:val="21"/>
          <w:highlight w:val="none"/>
          <w:lang w:val="en-US" w:eastAsia="zh-CN" w:bidi="ar-SA"/>
        </w:rPr>
        <w:t>合计五期，即</w:t>
      </w:r>
      <w:r>
        <w:rPr>
          <w:rFonts w:hint="eastAsia" w:ascii="宋体" w:hAnsi="宋体" w:eastAsia="宋体" w:cs="宋体"/>
          <w:color w:val="auto"/>
          <w:kern w:val="2"/>
          <w:sz w:val="21"/>
          <w:szCs w:val="21"/>
          <w:highlight w:val="none"/>
          <w:lang w:val="en-US" w:eastAsia="zh-CN" w:bidi="ar-SA"/>
        </w:rPr>
        <w:t>首期年度保底金额为</w:t>
      </w:r>
      <w:r>
        <w:rPr>
          <w:rFonts w:hint="eastAsia" w:ascii="宋体" w:hAnsi="宋体" w:eastAsia="宋体" w:cs="宋体"/>
          <w:color w:val="auto"/>
          <w:kern w:val="2"/>
          <w:sz w:val="21"/>
          <w:szCs w:val="21"/>
          <w:highlight w:val="none"/>
          <w:u w:val="single"/>
          <w:lang w:val="en-US" w:eastAsia="zh-CN" w:bidi="ar-SA"/>
        </w:rPr>
        <w:t>￥557988.00元</w:t>
      </w:r>
      <w:r>
        <w:rPr>
          <w:rFonts w:hint="eastAsia" w:ascii="宋体" w:hAnsi="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u w:val="none"/>
          <w:lang w:val="en-US" w:eastAsia="zh-CN" w:bidi="ar-SA"/>
        </w:rPr>
        <w:t>建设期</w:t>
      </w:r>
      <w:r>
        <w:rPr>
          <w:rFonts w:hint="eastAsia" w:ascii="宋体" w:hAnsi="宋体" w:cs="宋体"/>
          <w:color w:val="auto"/>
          <w:kern w:val="2"/>
          <w:sz w:val="21"/>
          <w:szCs w:val="21"/>
          <w:highlight w:val="none"/>
          <w:u w:val="none"/>
          <w:lang w:val="en-US" w:eastAsia="zh-CN" w:bidi="ar-SA"/>
        </w:rPr>
        <w:t>（三个月）</w:t>
      </w:r>
      <w:r>
        <w:rPr>
          <w:rFonts w:hint="eastAsia" w:ascii="宋体" w:hAnsi="宋体" w:eastAsia="宋体" w:cs="宋体"/>
          <w:color w:val="auto"/>
          <w:kern w:val="2"/>
          <w:sz w:val="21"/>
          <w:szCs w:val="21"/>
          <w:highlight w:val="none"/>
          <w:u w:val="none"/>
          <w:lang w:val="en-US" w:eastAsia="zh-CN" w:bidi="ar-SA"/>
        </w:rPr>
        <w:t>不纳入</w:t>
      </w:r>
      <w:r>
        <w:rPr>
          <w:rFonts w:hint="eastAsia" w:ascii="宋体" w:hAnsi="宋体" w:cs="宋体"/>
          <w:color w:val="auto"/>
          <w:kern w:val="2"/>
          <w:sz w:val="21"/>
          <w:szCs w:val="21"/>
          <w:highlight w:val="none"/>
          <w:u w:val="none"/>
          <w:lang w:val="en-US" w:eastAsia="zh-CN" w:bidi="ar-SA"/>
        </w:rPr>
        <w:t>第一年的</w:t>
      </w:r>
      <w:r>
        <w:rPr>
          <w:rFonts w:hint="eastAsia" w:ascii="宋体" w:hAnsi="宋体" w:eastAsia="宋体" w:cs="宋体"/>
          <w:color w:val="auto"/>
          <w:kern w:val="2"/>
          <w:sz w:val="21"/>
          <w:szCs w:val="21"/>
          <w:highlight w:val="none"/>
          <w:u w:val="none"/>
          <w:lang w:val="en-US" w:eastAsia="zh-CN" w:bidi="ar-SA"/>
        </w:rPr>
        <w:t>年度计算时长，即首期第一年保底金额为</w:t>
      </w:r>
      <w:r>
        <w:rPr>
          <w:rFonts w:hint="eastAsia" w:ascii="宋体" w:hAnsi="宋体" w:eastAsia="宋体" w:cs="宋体"/>
          <w:color w:val="auto"/>
          <w:kern w:val="2"/>
          <w:sz w:val="21"/>
          <w:szCs w:val="21"/>
          <w:highlight w:val="none"/>
          <w:u w:val="single"/>
          <w:lang w:val="en-US" w:eastAsia="zh-CN" w:bidi="ar-SA"/>
        </w:rPr>
        <w:t>￥418491.00元</w:t>
      </w:r>
      <w:r>
        <w:rPr>
          <w:rFonts w:hint="eastAsia" w:ascii="宋体" w:hAnsi="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lang w:val="en-US" w:eastAsia="zh-CN" w:bidi="ar-SA"/>
        </w:rPr>
        <w:t>，第二期年度保底金额为</w:t>
      </w:r>
      <w:r>
        <w:rPr>
          <w:rFonts w:hint="eastAsia" w:ascii="宋体" w:hAnsi="宋体" w:eastAsia="宋体" w:cs="宋体"/>
          <w:color w:val="auto"/>
          <w:kern w:val="2"/>
          <w:sz w:val="21"/>
          <w:szCs w:val="21"/>
          <w:highlight w:val="none"/>
          <w:u w:val="single"/>
          <w:lang w:val="en-US" w:eastAsia="zh-CN" w:bidi="ar-SA"/>
        </w:rPr>
        <w:t>￥574727.64元</w:t>
      </w:r>
      <w:r>
        <w:rPr>
          <w:rFonts w:hint="eastAsia" w:ascii="宋体" w:hAnsi="宋体" w:eastAsia="宋体" w:cs="宋体"/>
          <w:color w:val="auto"/>
          <w:kern w:val="2"/>
          <w:sz w:val="21"/>
          <w:szCs w:val="21"/>
          <w:highlight w:val="none"/>
          <w:lang w:val="en-US" w:eastAsia="zh-CN" w:bidi="ar-SA"/>
        </w:rPr>
        <w:t>,第三期年度保底金额为</w:t>
      </w:r>
      <w:r>
        <w:rPr>
          <w:rFonts w:hint="eastAsia" w:ascii="宋体" w:hAnsi="宋体" w:eastAsia="宋体" w:cs="宋体"/>
          <w:color w:val="auto"/>
          <w:kern w:val="2"/>
          <w:sz w:val="21"/>
          <w:szCs w:val="21"/>
          <w:highlight w:val="none"/>
          <w:u w:val="single"/>
          <w:lang w:val="en-US" w:eastAsia="zh-CN" w:bidi="ar-SA"/>
        </w:rPr>
        <w:t>￥591969.47元</w:t>
      </w:r>
      <w:r>
        <w:rPr>
          <w:rFonts w:hint="eastAsia" w:ascii="宋体" w:hAnsi="宋体" w:eastAsia="宋体" w:cs="宋体"/>
          <w:color w:val="auto"/>
          <w:kern w:val="2"/>
          <w:sz w:val="21"/>
          <w:szCs w:val="21"/>
          <w:highlight w:val="none"/>
          <w:lang w:val="en-US" w:eastAsia="zh-CN" w:bidi="ar-SA"/>
        </w:rPr>
        <w:t>，第四期年度保底金额为</w:t>
      </w:r>
      <w:r>
        <w:rPr>
          <w:rFonts w:hint="eastAsia" w:ascii="宋体" w:hAnsi="宋体" w:eastAsia="宋体" w:cs="宋体"/>
          <w:color w:val="auto"/>
          <w:kern w:val="2"/>
          <w:sz w:val="21"/>
          <w:szCs w:val="21"/>
          <w:highlight w:val="none"/>
          <w:u w:val="single"/>
          <w:lang w:val="en-US" w:eastAsia="zh-CN" w:bidi="ar-SA"/>
        </w:rPr>
        <w:t>￥609728.55元</w:t>
      </w:r>
      <w:r>
        <w:rPr>
          <w:rFonts w:hint="eastAsia" w:ascii="宋体" w:hAnsi="宋体" w:eastAsia="宋体" w:cs="宋体"/>
          <w:color w:val="auto"/>
          <w:kern w:val="2"/>
          <w:sz w:val="21"/>
          <w:szCs w:val="21"/>
          <w:highlight w:val="none"/>
          <w:lang w:val="en-US" w:eastAsia="zh-CN" w:bidi="ar-SA"/>
        </w:rPr>
        <w:t>，第五期年度保底金额为</w:t>
      </w:r>
      <w:r>
        <w:rPr>
          <w:rFonts w:hint="eastAsia" w:ascii="宋体" w:hAnsi="宋体" w:eastAsia="宋体" w:cs="宋体"/>
          <w:color w:val="auto"/>
          <w:kern w:val="2"/>
          <w:sz w:val="21"/>
          <w:szCs w:val="21"/>
          <w:highlight w:val="none"/>
          <w:u w:val="single"/>
          <w:lang w:val="en-US" w:eastAsia="zh-CN" w:bidi="ar-SA"/>
        </w:rPr>
        <w:t>￥628020.41元</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若十年运营管理服务期满，</w:t>
      </w:r>
      <w:r>
        <w:rPr>
          <w:rFonts w:hint="eastAsia" w:ascii="宋体" w:hAnsi="宋体" w:cs="宋体"/>
          <w:b w:val="0"/>
          <w:bCs w:val="0"/>
          <w:color w:val="auto"/>
          <w:kern w:val="2"/>
          <w:sz w:val="21"/>
          <w:szCs w:val="21"/>
          <w:highlight w:val="none"/>
          <w:lang w:val="en-US" w:eastAsia="zh-CN" w:bidi="ar-SA"/>
        </w:rPr>
        <w:t>甲方</w:t>
      </w:r>
      <w:r>
        <w:rPr>
          <w:rFonts w:hint="eastAsia" w:ascii="宋体" w:hAnsi="宋体" w:eastAsia="宋体" w:cs="宋体"/>
          <w:b w:val="0"/>
          <w:bCs w:val="0"/>
          <w:color w:val="auto"/>
          <w:kern w:val="2"/>
          <w:sz w:val="21"/>
          <w:szCs w:val="21"/>
          <w:highlight w:val="none"/>
          <w:lang w:val="en-US" w:eastAsia="zh-CN" w:bidi="ar-SA"/>
        </w:rPr>
        <w:t>累计</w:t>
      </w:r>
      <w:r>
        <w:rPr>
          <w:rFonts w:hint="eastAsia" w:ascii="宋体" w:hAnsi="宋体" w:cs="宋体"/>
          <w:b w:val="0"/>
          <w:bCs w:val="0"/>
          <w:color w:val="auto"/>
          <w:kern w:val="2"/>
          <w:sz w:val="21"/>
          <w:szCs w:val="21"/>
          <w:highlight w:val="none"/>
          <w:lang w:val="en-US" w:eastAsia="zh-CN" w:bidi="ar-SA"/>
        </w:rPr>
        <w:t>可享有</w:t>
      </w:r>
      <w:r>
        <w:rPr>
          <w:rFonts w:hint="eastAsia" w:ascii="宋体" w:hAnsi="宋体" w:eastAsia="宋体" w:cs="宋体"/>
          <w:b w:val="0"/>
          <w:bCs w:val="0"/>
          <w:color w:val="auto"/>
          <w:kern w:val="2"/>
          <w:sz w:val="21"/>
          <w:szCs w:val="21"/>
          <w:highlight w:val="none"/>
          <w:lang w:val="en-US" w:eastAsia="zh-CN" w:bidi="ar-SA"/>
        </w:rPr>
        <w:t>保底</w:t>
      </w:r>
      <w:r>
        <w:rPr>
          <w:rFonts w:hint="eastAsia" w:ascii="宋体" w:hAnsi="宋体" w:cs="宋体"/>
          <w:b w:val="0"/>
          <w:bCs w:val="0"/>
          <w:color w:val="auto"/>
          <w:kern w:val="2"/>
          <w:sz w:val="21"/>
          <w:szCs w:val="21"/>
          <w:highlight w:val="none"/>
          <w:lang w:val="en-US" w:eastAsia="zh-CN" w:bidi="ar-SA"/>
        </w:rPr>
        <w:t>收益</w:t>
      </w:r>
      <w:r>
        <w:rPr>
          <w:rFonts w:hint="eastAsia" w:ascii="宋体" w:hAnsi="宋体" w:eastAsia="宋体" w:cs="宋体"/>
          <w:b w:val="0"/>
          <w:bCs w:val="0"/>
          <w:color w:val="auto"/>
          <w:kern w:val="2"/>
          <w:sz w:val="21"/>
          <w:szCs w:val="21"/>
          <w:highlight w:val="none"/>
          <w:lang w:val="en-US" w:eastAsia="zh-CN" w:bidi="ar-SA"/>
        </w:rPr>
        <w:t>总额为</w:t>
      </w:r>
      <w:r>
        <w:rPr>
          <w:rFonts w:hint="eastAsia" w:ascii="宋体" w:hAnsi="宋体" w:eastAsia="宋体" w:cs="宋体"/>
          <w:b w:val="0"/>
          <w:bCs w:val="0"/>
          <w:color w:val="auto"/>
          <w:kern w:val="2"/>
          <w:sz w:val="21"/>
          <w:szCs w:val="21"/>
          <w:highlight w:val="none"/>
          <w:u w:val="single"/>
          <w:lang w:val="en-US" w:eastAsia="zh-CN" w:bidi="ar-SA"/>
        </w:rPr>
        <w:t>￥5785371.14元</w:t>
      </w:r>
      <w:r>
        <w:rPr>
          <w:rFonts w:hint="eastAsia" w:ascii="宋体" w:hAnsi="宋体" w:eastAsia="宋体" w:cs="宋体"/>
          <w:b w:val="0"/>
          <w:bCs w:val="0"/>
          <w:color w:val="auto"/>
          <w:kern w:val="2"/>
          <w:sz w:val="21"/>
          <w:szCs w:val="21"/>
          <w:highlight w:val="none"/>
          <w:lang w:val="en-US" w:eastAsia="zh-CN" w:bidi="ar-SA"/>
        </w:rPr>
        <w:t>。</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四、服务条款</w:t>
      </w:r>
    </w:p>
    <w:p>
      <w:pPr>
        <w:ind w:firstLine="420" w:firstLineChars="200"/>
        <w:jc w:val="left"/>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乙方负责充电站（桩）建设和设备投入，负责充电设备的日常维修及保养工作，确保充电机正常使用。乙方须为充电站购买财产险和公众责任险，相关保险单送甲方备案，公众责任险保险的年累计赔偿限额不低于1000万，每次事故赔偿限额不低于600万，</w:t>
      </w:r>
      <w:r>
        <w:rPr>
          <w:rFonts w:hint="eastAsia" w:ascii="宋体" w:hAnsi="宋体" w:cs="宋体"/>
          <w:sz w:val="24"/>
          <w:highlight w:val="none"/>
          <w:lang w:val="en-US" w:eastAsia="zh-CN"/>
        </w:rPr>
        <w:t>每次事故财产损失赔偿限额不低于200万，</w:t>
      </w:r>
      <w:r>
        <w:rPr>
          <w:rFonts w:hint="eastAsia" w:ascii="宋体" w:hAnsi="宋体" w:eastAsia="宋体" w:cs="宋体"/>
          <w:color w:val="auto"/>
          <w:kern w:val="2"/>
          <w:sz w:val="21"/>
          <w:szCs w:val="21"/>
          <w:highlight w:val="none"/>
          <w:lang w:val="en-US" w:eastAsia="zh-CN" w:bidi="ar-SA"/>
        </w:rPr>
        <w:t>每次事故人身伤害赔偿限额不低于200万，每人每次人身伤害赔偿限额不低于100万。</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（二）当充电桩发生故障时，乙方应第一时间赶赴现场排除故障。</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（三）乙方提供24小时售后服务电话，备有相应的备品备件，提供区域负责人员配备、联系电话。</w:t>
      </w:r>
    </w:p>
    <w:p>
      <w:pPr>
        <w:pStyle w:val="79"/>
        <w:keepNext w:val="0"/>
        <w:keepLines w:val="0"/>
        <w:pageBreakBefore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（四）故障维修响应时间要求：设备发生故障时，乙方的维修人员应在接到故障通知后15分钟内响应，1 小时内赶到现场，8小时内解决故障。乙方未按约定的时间响应、赶到现场或解决故障的，甲方有权委托第三方进行处理，相应的费用由乙方承担，甲方有权向乙方追偿。</w:t>
      </w:r>
    </w:p>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20" w:firstLineChars="200"/>
        <w:jc w:val="both"/>
        <w:textAlignment w:val="auto"/>
        <w:outlineLvl w:val="9"/>
        <w:rPr>
          <w:rFonts w:hint="eastAsia" w:ascii="宋体" w:hAnsi="宋体" w:eastAsia="宋体" w:cs="宋体"/>
          <w:color w:val="auto"/>
          <w:szCs w:val="21"/>
          <w:highlight w:val="none"/>
          <w:lang w:eastAsia="zh-CN"/>
        </w:rPr>
      </w:pPr>
    </w:p>
    <w:p>
      <w:pPr>
        <w:keepNext w:val="0"/>
        <w:keepLines w:val="0"/>
        <w:pageBreakBefore w:val="0"/>
        <w:tabs>
          <w:tab w:val="left" w:pos="900"/>
        </w:tabs>
        <w:kinsoku/>
        <w:wordWrap/>
        <w:overflowPunct/>
        <w:topLinePunct w:val="0"/>
        <w:autoSpaceDE/>
        <w:autoSpaceDN/>
        <w:bidi w:val="0"/>
        <w:adjustRightInd/>
        <w:snapToGrid/>
        <w:spacing w:line="312" w:lineRule="auto"/>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乙方负责人</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eastAsia="zh-CN"/>
        </w:rPr>
        <w:t>市场部</w:t>
      </w:r>
      <w:r>
        <w:rPr>
          <w:rFonts w:hint="eastAsia" w:ascii="宋体" w:hAnsi="宋体" w:eastAsia="宋体" w:cs="宋体"/>
          <w:b/>
          <w:color w:val="auto"/>
          <w:szCs w:val="21"/>
          <w:highlight w:val="none"/>
        </w:rPr>
        <w:t>，联系电话：</w:t>
      </w:r>
      <w:r>
        <w:rPr>
          <w:rFonts w:hint="eastAsia" w:ascii="宋体" w:hAnsi="宋体" w:eastAsia="宋体" w:cs="宋体"/>
          <w:b/>
          <w:color w:val="auto"/>
          <w:szCs w:val="21"/>
          <w:highlight w:val="none"/>
          <w:u w:val="single"/>
          <w:lang w:val="en-US" w:eastAsia="zh-CN"/>
        </w:rPr>
        <w:t xml:space="preserve">          </w:t>
      </w:r>
      <w:r>
        <w:rPr>
          <w:rFonts w:hint="eastAsia" w:ascii="宋体" w:hAnsi="宋体" w:eastAsia="宋体" w:cs="宋体"/>
          <w:b/>
          <w:color w:val="auto"/>
          <w:szCs w:val="21"/>
          <w:highlight w:val="none"/>
          <w:u w:val="none"/>
          <w:lang w:val="en-US" w:eastAsia="zh-CN"/>
        </w:rPr>
        <w:t>；</w:t>
      </w:r>
    </w:p>
    <w:p>
      <w:pPr>
        <w:keepNext w:val="0"/>
        <w:keepLines w:val="0"/>
        <w:pageBreakBefore w:val="0"/>
        <w:tabs>
          <w:tab w:val="left" w:pos="900"/>
        </w:tabs>
        <w:kinsoku/>
        <w:wordWrap/>
        <w:overflowPunct/>
        <w:topLinePunct w:val="0"/>
        <w:autoSpaceDE/>
        <w:autoSpaceDN/>
        <w:bidi w:val="0"/>
        <w:adjustRightInd/>
        <w:snapToGrid/>
        <w:spacing w:line="312" w:lineRule="auto"/>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 xml:space="preserve">            </w:t>
      </w:r>
      <w:r>
        <w:rPr>
          <w:rFonts w:hint="eastAsia" w:ascii="宋体" w:hAnsi="宋体" w:eastAsia="宋体" w:cs="宋体"/>
          <w:b/>
          <w:color w:val="auto"/>
          <w:szCs w:val="21"/>
          <w:highlight w:val="none"/>
        </w:rPr>
        <w:t xml:space="preserve"> </w:t>
      </w:r>
      <w:r>
        <w:rPr>
          <w:rFonts w:hint="eastAsia" w:ascii="宋体" w:hAnsi="宋体" w:eastAsia="宋体" w:cs="宋体"/>
          <w:b/>
          <w:color w:val="auto"/>
          <w:szCs w:val="21"/>
          <w:highlight w:val="none"/>
          <w:u w:val="single"/>
          <w:lang w:eastAsia="zh-CN"/>
        </w:rPr>
        <w:t>技术部</w:t>
      </w:r>
      <w:r>
        <w:rPr>
          <w:rFonts w:hint="eastAsia" w:ascii="宋体" w:hAnsi="宋体" w:eastAsia="宋体" w:cs="宋体"/>
          <w:b/>
          <w:color w:val="auto"/>
          <w:szCs w:val="21"/>
          <w:highlight w:val="none"/>
        </w:rPr>
        <w:t>，联系电话：</w:t>
      </w:r>
      <w:r>
        <w:rPr>
          <w:rFonts w:hint="eastAsia" w:ascii="宋体" w:hAnsi="宋体" w:eastAsia="宋体" w:cs="宋体"/>
          <w:b/>
          <w:color w:val="auto"/>
          <w:szCs w:val="21"/>
          <w:highlight w:val="none"/>
          <w:u w:val="single"/>
          <w:lang w:val="en-US" w:eastAsia="zh-CN"/>
        </w:rPr>
        <w:t xml:space="preserve">           </w:t>
      </w:r>
      <w:r>
        <w:rPr>
          <w:rFonts w:hint="eastAsia" w:ascii="宋体" w:hAnsi="宋体" w:eastAsia="宋体" w:cs="宋体"/>
          <w:b/>
          <w:color w:val="auto"/>
          <w:szCs w:val="21"/>
          <w:highlight w:val="none"/>
        </w:rPr>
        <w:t>。</w:t>
      </w:r>
    </w:p>
    <w:p>
      <w:pPr>
        <w:tabs>
          <w:tab w:val="left" w:pos="900"/>
        </w:tabs>
        <w:ind w:firstLine="0"/>
        <w:rPr>
          <w:rFonts w:hint="eastAsia" w:ascii="宋体" w:hAnsi="宋体" w:eastAsia="宋体" w:cs="宋体"/>
          <w:b/>
          <w:color w:val="auto"/>
          <w:szCs w:val="21"/>
          <w:highlight w:val="none"/>
        </w:rPr>
      </w:pPr>
    </w:p>
    <w:p>
      <w:pPr>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五、安全管理</w:t>
      </w:r>
    </w:p>
    <w:p>
      <w:pPr>
        <w:ind w:left="141" w:leftChars="67" w:firstLine="306" w:firstLineChars="14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（一）乙方负有充电站内充电设施安全生产、安保工作、保持环境卫生整洁责任。</w:t>
      </w:r>
    </w:p>
    <w:p>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（二）乙方应制定完善的巡查制度，每月对所有充电站的巡查次数不少于1次，若发现故障及隐患</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及时消除</w:t>
      </w:r>
      <w:r>
        <w:rPr>
          <w:rFonts w:hint="eastAsia" w:ascii="宋体" w:hAnsi="宋体" w:eastAsia="宋体" w:cs="宋体"/>
          <w:color w:val="auto"/>
          <w:szCs w:val="21"/>
          <w:highlight w:val="none"/>
          <w:lang w:eastAsia="zh-CN"/>
        </w:rPr>
        <w:t>。</w:t>
      </w:r>
    </w:p>
    <w:p>
      <w:pPr>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六、其他</w:t>
      </w:r>
    </w:p>
    <w:p>
      <w:pPr>
        <w:ind w:left="0" w:leftChars="0"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（一）针对具体站场的建设方案以双方</w:t>
      </w:r>
      <w:r>
        <w:rPr>
          <w:rFonts w:hint="eastAsia" w:ascii="宋体" w:hAnsi="宋体" w:eastAsia="宋体" w:cs="宋体"/>
          <w:color w:val="auto"/>
          <w:szCs w:val="21"/>
          <w:highlight w:val="none"/>
          <w:lang w:eastAsia="zh-CN"/>
        </w:rPr>
        <w:t>另行协商</w:t>
      </w:r>
      <w:r>
        <w:rPr>
          <w:rFonts w:hint="eastAsia" w:ascii="宋体" w:hAnsi="宋体" w:cs="宋体"/>
          <w:color w:val="auto"/>
          <w:szCs w:val="21"/>
          <w:highlight w:val="none"/>
          <w:lang w:val="en-US" w:eastAsia="zh-CN"/>
        </w:rPr>
        <w:t>并经甲方审核批准</w:t>
      </w:r>
      <w:r>
        <w:rPr>
          <w:rFonts w:hint="eastAsia" w:ascii="宋体" w:hAnsi="宋体" w:eastAsia="宋体" w:cs="宋体"/>
          <w:color w:val="auto"/>
          <w:szCs w:val="21"/>
          <w:highlight w:val="none"/>
        </w:rPr>
        <w:t>为准</w:t>
      </w:r>
      <w:r>
        <w:rPr>
          <w:rFonts w:hint="eastAsia" w:ascii="宋体" w:hAnsi="宋体" w:eastAsia="宋体" w:cs="宋体"/>
          <w:color w:val="auto"/>
          <w:szCs w:val="21"/>
          <w:highlight w:val="none"/>
          <w:lang w:eastAsia="zh-CN"/>
        </w:rPr>
        <w:t>。</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甲方在服务期内（每月不少于一次）组织相关部门对充电站进行检查和监管，并根据检查情况对中标人进行服务质量考核，考核评分按每年为一次统计周期（考核内容详见《服务质量考核评分表》）。</w:t>
      </w:r>
    </w:p>
    <w:p>
      <w:pPr>
        <w:spacing w:before="156" w:beforeLines="50" w:after="156" w:afterLines="5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七、违约条款</w:t>
      </w:r>
    </w:p>
    <w:p>
      <w:pPr>
        <w:tabs>
          <w:tab w:val="left" w:pos="720"/>
          <w:tab w:val="left" w:pos="900"/>
        </w:tabs>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（一）乙方未能按本</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规定的时间提供服务，</w:t>
      </w:r>
      <w:r>
        <w:rPr>
          <w:rFonts w:hint="eastAsia" w:ascii="宋体" w:hAnsi="宋体" w:eastAsia="宋体" w:cs="宋体"/>
          <w:color w:val="auto"/>
          <w:szCs w:val="21"/>
          <w:highlight w:val="none"/>
          <w:lang w:eastAsia="zh-CN"/>
        </w:rPr>
        <w:t>甲方有权暂停相应站场乙方服务资格，待其整改完毕且符合相应规定后，再行开展经营服务</w:t>
      </w:r>
      <w:r>
        <w:rPr>
          <w:rFonts w:hint="eastAsia" w:ascii="宋体" w:hAnsi="宋体" w:eastAsia="宋体" w:cs="宋体"/>
          <w:color w:val="auto"/>
          <w:szCs w:val="21"/>
          <w:highlight w:val="none"/>
        </w:rPr>
        <w:t>。</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（二）乙方发生下列情况之一时，甲方发出整改通知限期改正，乙方超过指定期限仍无改善时，采购人有权解除本协议：</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（1）乙方在运营管理活动中出现严重安全隐患</w:t>
      </w:r>
      <w:r>
        <w:rPr>
          <w:rFonts w:hint="eastAsia" w:ascii="宋体" w:hAnsi="宋体" w:eastAsia="宋体" w:cs="宋体"/>
          <w:color w:val="000000"/>
          <w:sz w:val="21"/>
          <w:szCs w:val="21"/>
          <w:highlight w:val="none"/>
        </w:rPr>
        <w:t>或安全事故</w:t>
      </w:r>
      <w:r>
        <w:rPr>
          <w:rFonts w:hint="eastAsia" w:ascii="宋体" w:hAnsi="宋体" w:eastAsia="宋体" w:cs="宋体"/>
          <w:color w:val="auto"/>
          <w:szCs w:val="21"/>
          <w:highlight w:val="none"/>
          <w:lang w:eastAsia="zh-CN"/>
        </w:rPr>
        <w:t>。</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（2）乙方不接受政府相关职能部门的检查、指导，不接受政府相关部门的应急指挥调动。</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（3）乙方不按甲方的相关管理规定对充电站进行管理和日常维护。</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（4）乙方未经</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lang w:eastAsia="zh-CN"/>
        </w:rPr>
        <w:t>许可将本项目抵押、转让等。</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（5）乙方运营期间所提供的服务未能满足甲方及招标文件的服务要求。</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lang w:eastAsia="zh-CN"/>
        </w:rPr>
        <w:t>乙方发生下列情形之一时，甲方可随时解除协议：</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（1）乙方在协议期内，运营中有违法、欺诈或犯罪性行为的。</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（2）破产或公司财产中主要部分被法院</w:t>
      </w:r>
      <w:r>
        <w:rPr>
          <w:rFonts w:hint="eastAsia" w:ascii="宋体" w:hAnsi="宋体" w:cs="宋体"/>
          <w:color w:val="auto"/>
          <w:szCs w:val="21"/>
          <w:highlight w:val="none"/>
          <w:lang w:val="en-US" w:eastAsia="zh-CN"/>
        </w:rPr>
        <w:t>查封、</w:t>
      </w:r>
      <w:r>
        <w:rPr>
          <w:rFonts w:hint="eastAsia" w:ascii="宋体" w:hAnsi="宋体" w:eastAsia="宋体" w:cs="宋体"/>
          <w:color w:val="auto"/>
          <w:szCs w:val="21"/>
          <w:highlight w:val="none"/>
          <w:lang w:eastAsia="zh-CN"/>
        </w:rPr>
        <w:t>强制执行</w:t>
      </w:r>
      <w:r>
        <w:rPr>
          <w:rFonts w:hint="eastAsia" w:ascii="宋体" w:hAnsi="宋体" w:cs="宋体"/>
          <w:color w:val="auto"/>
          <w:szCs w:val="21"/>
          <w:highlight w:val="none"/>
          <w:lang w:val="en-US" w:eastAsia="zh-CN"/>
        </w:rPr>
        <w:t>或受到</w:t>
      </w:r>
      <w:r>
        <w:rPr>
          <w:rFonts w:hint="eastAsia" w:ascii="宋体" w:hAnsi="宋体" w:eastAsia="宋体" w:cs="宋体"/>
          <w:color w:val="auto"/>
          <w:szCs w:val="21"/>
          <w:highlight w:val="none"/>
          <w:lang w:eastAsia="zh-CN"/>
        </w:rPr>
        <w:t>特别清产核资等处分。</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（3）乙方放弃服务经营权。</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（4）乙方有违反劳动法</w:t>
      </w:r>
      <w:r>
        <w:rPr>
          <w:rFonts w:hint="eastAsia" w:ascii="宋体" w:hAnsi="宋体" w:cs="宋体"/>
          <w:color w:val="auto"/>
          <w:szCs w:val="21"/>
          <w:highlight w:val="none"/>
          <w:lang w:val="en-US" w:eastAsia="zh-CN"/>
        </w:rPr>
        <w:t>情形</w:t>
      </w:r>
      <w:r>
        <w:rPr>
          <w:rFonts w:hint="eastAsia" w:ascii="宋体" w:hAnsi="宋体" w:eastAsia="宋体" w:cs="宋体"/>
          <w:color w:val="auto"/>
          <w:szCs w:val="21"/>
          <w:highlight w:val="none"/>
          <w:lang w:eastAsia="zh-CN"/>
        </w:rPr>
        <w:t>，损害劳动</w:t>
      </w:r>
      <w:r>
        <w:rPr>
          <w:rFonts w:hint="eastAsia" w:ascii="宋体" w:hAnsi="宋体" w:cs="宋体"/>
          <w:color w:val="auto"/>
          <w:szCs w:val="21"/>
          <w:highlight w:val="none"/>
          <w:lang w:val="en-US" w:eastAsia="zh-CN"/>
        </w:rPr>
        <w:t>合法</w:t>
      </w:r>
      <w:r>
        <w:rPr>
          <w:rFonts w:hint="eastAsia" w:ascii="宋体" w:hAnsi="宋体" w:eastAsia="宋体" w:cs="宋体"/>
          <w:color w:val="auto"/>
          <w:szCs w:val="21"/>
          <w:highlight w:val="none"/>
          <w:lang w:eastAsia="zh-CN"/>
        </w:rPr>
        <w:t>权益，情节恶劣或乙方漠视工人权益造成怠工、罢工的；或有纵容、煽动员工怠工、罢工等过激行为的。</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（5）中标后出现分包、转包情况的，</w:t>
      </w:r>
      <w:r>
        <w:rPr>
          <w:rFonts w:hint="eastAsia" w:ascii="宋体" w:hAnsi="宋体" w:eastAsia="宋体" w:cs="宋体"/>
          <w:color w:val="auto"/>
          <w:szCs w:val="21"/>
          <w:highlight w:val="none"/>
        </w:rPr>
        <w:t>未能按本</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规定</w:t>
      </w:r>
      <w:r>
        <w:rPr>
          <w:rFonts w:hint="eastAsia" w:ascii="宋体" w:hAnsi="宋体" w:eastAsia="宋体" w:cs="宋体"/>
          <w:color w:val="auto"/>
          <w:szCs w:val="21"/>
          <w:highlight w:val="none"/>
          <w:lang w:eastAsia="zh-CN"/>
        </w:rPr>
        <w:t>的时间完成充电站建设的。</w:t>
      </w:r>
    </w:p>
    <w:p>
      <w:pPr>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（6）在一次统计周期内，服务质量考核评分分值在75分（不含）以下的次数达到2次的。</w:t>
      </w:r>
    </w:p>
    <w:p>
      <w:pPr>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拖欠收益分成款项两个月或以上，不按时支付年度保底金额。</w:t>
      </w:r>
    </w:p>
    <w:p>
      <w:pPr>
        <w:ind w:firstLine="420" w:firstLineChars="200"/>
        <w:jc w:val="left"/>
        <w:rPr>
          <w:rFonts w:hint="eastAsia" w:ascii="宋体" w:hAnsi="宋体" w:eastAsia="宋体" w:cs="宋体"/>
          <w:bCs w:val="0"/>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其它违</w:t>
      </w:r>
      <w:r>
        <w:rPr>
          <w:rFonts w:hint="eastAsia" w:ascii="宋体" w:hAnsi="宋体" w:eastAsia="宋体" w:cs="宋体"/>
          <w:bCs w:val="0"/>
          <w:color w:val="auto"/>
          <w:szCs w:val="21"/>
          <w:highlight w:val="none"/>
        </w:rPr>
        <w:t>约责任按《中华人民共和国民法典》</w:t>
      </w:r>
      <w:r>
        <w:rPr>
          <w:rFonts w:hint="eastAsia" w:ascii="宋体" w:hAnsi="宋体" w:cs="宋体"/>
          <w:bCs w:val="0"/>
          <w:color w:val="auto"/>
          <w:szCs w:val="21"/>
          <w:highlight w:val="none"/>
          <w:lang w:val="en-US" w:eastAsia="zh-CN"/>
        </w:rPr>
        <w:t>或相关法律法规</w:t>
      </w:r>
      <w:r>
        <w:rPr>
          <w:rFonts w:hint="eastAsia" w:ascii="宋体" w:hAnsi="宋体" w:eastAsia="宋体" w:cs="宋体"/>
          <w:bCs w:val="0"/>
          <w:color w:val="auto"/>
          <w:szCs w:val="21"/>
          <w:highlight w:val="none"/>
        </w:rPr>
        <w:t>处理。</w:t>
      </w:r>
    </w:p>
    <w:p>
      <w:pPr>
        <w:ind w:firstLine="0" w:firstLineChars="0"/>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八、违约责任</w:t>
      </w:r>
    </w:p>
    <w:p>
      <w:pPr>
        <w:spacing w:before="120" w:beforeLines="50" w:after="120" w:afterLines="50" w:line="400" w:lineRule="exact"/>
        <w:ind w:right="105" w:rightChars="50"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（一）</w:t>
      </w:r>
      <w:r>
        <w:rPr>
          <w:rFonts w:ascii="宋体" w:hAnsi="宋体" w:cs="宋体"/>
          <w:sz w:val="21"/>
          <w:szCs w:val="21"/>
          <w:highlight w:val="none"/>
        </w:rPr>
        <w:t>如果本</w:t>
      </w:r>
      <w:r>
        <w:rPr>
          <w:rFonts w:hint="eastAsia" w:ascii="宋体" w:hAnsi="宋体" w:cs="宋体"/>
          <w:sz w:val="21"/>
          <w:szCs w:val="21"/>
          <w:highlight w:val="none"/>
          <w:lang w:eastAsia="zh-CN"/>
        </w:rPr>
        <w:t>协议</w:t>
      </w:r>
      <w:r>
        <w:rPr>
          <w:rFonts w:ascii="宋体" w:hAnsi="宋体" w:cs="宋体"/>
          <w:sz w:val="21"/>
          <w:szCs w:val="21"/>
          <w:highlight w:val="none"/>
        </w:rPr>
        <w:t>双方中的任何一方未按照本</w:t>
      </w:r>
      <w:r>
        <w:rPr>
          <w:rFonts w:hint="eastAsia" w:ascii="宋体" w:hAnsi="宋体" w:cs="宋体"/>
          <w:sz w:val="21"/>
          <w:szCs w:val="21"/>
          <w:highlight w:val="none"/>
          <w:lang w:eastAsia="zh-CN"/>
        </w:rPr>
        <w:t>协议</w:t>
      </w:r>
      <w:r>
        <w:rPr>
          <w:rFonts w:ascii="宋体" w:hAnsi="宋体" w:cs="宋体"/>
          <w:sz w:val="21"/>
          <w:szCs w:val="21"/>
          <w:highlight w:val="none"/>
        </w:rPr>
        <w:t>的约定履行义务，则构成违约，违约方应赔偿对方因其违约行为而受到的全部损失。</w:t>
      </w:r>
    </w:p>
    <w:p>
      <w:pPr>
        <w:spacing w:before="120" w:beforeLines="50" w:after="120" w:afterLines="50" w:line="400" w:lineRule="exact"/>
        <w:ind w:right="105" w:rightChars="50"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（二）</w:t>
      </w:r>
      <w:r>
        <w:rPr>
          <w:rFonts w:ascii="宋体" w:hAnsi="宋体" w:cs="宋体"/>
          <w:sz w:val="21"/>
          <w:szCs w:val="21"/>
          <w:highlight w:val="none"/>
        </w:rPr>
        <w:t>本</w:t>
      </w:r>
      <w:r>
        <w:rPr>
          <w:rFonts w:hint="eastAsia" w:ascii="宋体" w:hAnsi="宋体" w:cs="宋体"/>
          <w:sz w:val="21"/>
          <w:szCs w:val="21"/>
          <w:highlight w:val="none"/>
          <w:lang w:eastAsia="zh-CN"/>
        </w:rPr>
        <w:t>协议</w:t>
      </w:r>
      <w:r>
        <w:rPr>
          <w:rFonts w:ascii="宋体" w:hAnsi="宋体" w:cs="宋体"/>
          <w:sz w:val="21"/>
          <w:szCs w:val="21"/>
          <w:highlight w:val="none"/>
        </w:rPr>
        <w:t>一方就另一方的任何违约行为给予的任何宽限或延缓行使根据法律</w:t>
      </w:r>
      <w:r>
        <w:rPr>
          <w:rFonts w:hint="eastAsia" w:ascii="宋体" w:hAnsi="宋体" w:cs="宋体"/>
          <w:sz w:val="21"/>
          <w:szCs w:val="21"/>
          <w:highlight w:val="none"/>
          <w:lang w:val="en-US" w:eastAsia="zh-CN"/>
        </w:rPr>
        <w:t>规定</w:t>
      </w:r>
      <w:r>
        <w:rPr>
          <w:rFonts w:ascii="宋体" w:hAnsi="宋体" w:cs="宋体"/>
          <w:sz w:val="21"/>
          <w:szCs w:val="21"/>
          <w:highlight w:val="none"/>
        </w:rPr>
        <w:t>或本</w:t>
      </w:r>
      <w:r>
        <w:rPr>
          <w:rFonts w:hint="eastAsia" w:ascii="宋体" w:hAnsi="宋体" w:cs="宋体"/>
          <w:sz w:val="21"/>
          <w:szCs w:val="21"/>
          <w:highlight w:val="none"/>
          <w:lang w:eastAsia="zh-CN"/>
        </w:rPr>
        <w:t>协议</w:t>
      </w:r>
      <w:r>
        <w:rPr>
          <w:rFonts w:hint="eastAsia" w:ascii="宋体" w:hAnsi="宋体" w:cs="宋体"/>
          <w:sz w:val="21"/>
          <w:szCs w:val="21"/>
          <w:highlight w:val="none"/>
          <w:lang w:val="en-US" w:eastAsia="zh-CN"/>
        </w:rPr>
        <w:t>约定</w:t>
      </w:r>
      <w:r>
        <w:rPr>
          <w:rFonts w:ascii="宋体" w:hAnsi="宋体" w:cs="宋体"/>
          <w:sz w:val="21"/>
          <w:szCs w:val="21"/>
          <w:highlight w:val="none"/>
        </w:rPr>
        <w:t>享有的权利，不被视为该方对自身权利的放弃。</w:t>
      </w:r>
    </w:p>
    <w:p>
      <w:pPr>
        <w:spacing w:before="120" w:beforeLines="50" w:after="120" w:afterLines="50" w:line="400" w:lineRule="exact"/>
        <w:ind w:right="105" w:rightChars="50"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（三）若乙方</w:t>
      </w:r>
      <w:r>
        <w:rPr>
          <w:rFonts w:ascii="宋体" w:hAnsi="宋体" w:cs="宋体"/>
          <w:sz w:val="21"/>
          <w:szCs w:val="21"/>
          <w:highlight w:val="none"/>
        </w:rPr>
        <w:t>故意或恶意漏报、少报充电服务费总额，</w:t>
      </w:r>
      <w:r>
        <w:rPr>
          <w:rFonts w:hint="eastAsia" w:ascii="宋体" w:hAnsi="宋体" w:cs="宋体"/>
          <w:sz w:val="21"/>
          <w:szCs w:val="21"/>
          <w:highlight w:val="none"/>
          <w:lang w:val="en-US" w:eastAsia="zh-CN"/>
        </w:rPr>
        <w:t>应就</w:t>
      </w:r>
      <w:r>
        <w:rPr>
          <w:rFonts w:ascii="宋体" w:hAnsi="宋体" w:cs="宋体"/>
          <w:sz w:val="21"/>
          <w:szCs w:val="21"/>
          <w:highlight w:val="none"/>
        </w:rPr>
        <w:t>差额部分</w:t>
      </w:r>
      <w:r>
        <w:rPr>
          <w:rFonts w:hint="eastAsia" w:ascii="宋体" w:hAnsi="宋体" w:cs="宋体"/>
          <w:sz w:val="21"/>
          <w:szCs w:val="21"/>
          <w:highlight w:val="none"/>
          <w:lang w:val="en-US" w:eastAsia="zh-CN"/>
        </w:rPr>
        <w:t>五倍赔偿予甲方</w:t>
      </w:r>
      <w:r>
        <w:rPr>
          <w:rFonts w:ascii="宋体" w:hAnsi="宋体" w:cs="宋体"/>
          <w:sz w:val="21"/>
          <w:szCs w:val="21"/>
          <w:highlight w:val="none"/>
        </w:rPr>
        <w:t>。</w:t>
      </w:r>
    </w:p>
    <w:p>
      <w:pPr>
        <w:spacing w:before="120" w:beforeLines="50" w:after="120" w:afterLines="50" w:line="400" w:lineRule="exact"/>
        <w:ind w:right="105" w:rightChars="50"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（四）乙方每逾期竣工一天，则每日按应付首年年度保底金额的千分之三作为违约金赔偿给甲方。乙方</w:t>
      </w:r>
      <w:r>
        <w:rPr>
          <w:rFonts w:ascii="宋体" w:hAnsi="宋体" w:cs="宋体"/>
          <w:sz w:val="21"/>
          <w:szCs w:val="21"/>
          <w:highlight w:val="none"/>
        </w:rPr>
        <w:t>逾期支付</w:t>
      </w:r>
      <w:r>
        <w:rPr>
          <w:rFonts w:hint="eastAsia" w:ascii="宋体" w:hAnsi="宋体" w:cs="宋体"/>
          <w:sz w:val="21"/>
          <w:szCs w:val="21"/>
          <w:highlight w:val="none"/>
        </w:rPr>
        <w:t>充电服务费收益分成的，则每日按应付总金额的千分之一作为违约金赔偿给</w:t>
      </w:r>
      <w:r>
        <w:rPr>
          <w:rFonts w:hint="eastAsia" w:ascii="宋体" w:hAnsi="宋体" w:cs="宋体"/>
          <w:sz w:val="21"/>
          <w:szCs w:val="21"/>
          <w:highlight w:val="none"/>
          <w:lang w:eastAsia="zh-CN"/>
        </w:rPr>
        <w:t>甲方</w:t>
      </w:r>
      <w:r>
        <w:rPr>
          <w:rFonts w:hint="eastAsia" w:ascii="宋体" w:hAnsi="宋体" w:cs="宋体"/>
          <w:sz w:val="21"/>
          <w:szCs w:val="21"/>
          <w:highlight w:val="none"/>
        </w:rPr>
        <w:t>。</w:t>
      </w:r>
    </w:p>
    <w:p>
      <w:pPr>
        <w:spacing w:before="120" w:beforeLines="50" w:after="120" w:afterLines="50" w:line="400" w:lineRule="exact"/>
        <w:ind w:right="105" w:rightChars="50" w:firstLine="420" w:firstLineChars="200"/>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（五）因乙方的原因、过错导致合同解除、终止或因考核不达标而不能再续签下一期服务协议的，甲方有权没收乙方的履约保证金。</w:t>
      </w:r>
    </w:p>
    <w:p>
      <w:pPr>
        <w:ind w:firstLine="0" w:firstLineChars="0"/>
        <w:jc w:val="left"/>
        <w:rPr>
          <w:rFonts w:hint="default" w:ascii="宋体" w:hAnsi="宋体" w:cs="宋体"/>
          <w:bCs w:val="0"/>
          <w:color w:val="auto"/>
          <w:szCs w:val="21"/>
          <w:highlight w:val="none"/>
          <w:lang w:val="en-US" w:eastAsia="zh-CN"/>
        </w:rPr>
      </w:pPr>
    </w:p>
    <w:p>
      <w:pPr>
        <w:ind w:firstLine="0" w:firstLineChars="0"/>
        <w:jc w:val="left"/>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九</w:t>
      </w:r>
      <w:r>
        <w:rPr>
          <w:rFonts w:hint="eastAsia" w:ascii="宋体" w:hAnsi="宋体" w:eastAsia="宋体" w:cs="宋体"/>
          <w:b/>
          <w:color w:val="auto"/>
          <w:szCs w:val="21"/>
          <w:highlight w:val="none"/>
        </w:rPr>
        <w:t>、协议生效及其他</w:t>
      </w:r>
    </w:p>
    <w:p>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一</w:t>
      </w:r>
      <w:r>
        <w:rPr>
          <w:rFonts w:hint="eastAsia" w:ascii="宋体" w:hAnsi="宋体" w:eastAsia="宋体" w:cs="宋体"/>
          <w:color w:val="auto"/>
          <w:szCs w:val="21"/>
          <w:highlight w:val="none"/>
        </w:rPr>
        <w:t>）本协议生效期间若与政府现行、新颁政策法规不一致,甲乙双方参照政策法规协商调整本协议相关内容。</w:t>
      </w:r>
    </w:p>
    <w:p>
      <w:pPr>
        <w:ind w:left="840" w:leftChars="200" w:hanging="420" w:hanging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）因本协议产生的任何争议，双方应通过友好协商解决；自争议纠纷发生之日起 30日内</w:t>
      </w:r>
    </w:p>
    <w:p>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无法协商解决的，任何一方均可向本项目所在地</w:t>
      </w:r>
      <w:r>
        <w:rPr>
          <w:rFonts w:hint="eastAsia" w:ascii="宋体" w:hAnsi="宋体" w:eastAsia="宋体" w:cs="宋体"/>
          <w:color w:val="auto"/>
          <w:szCs w:val="21"/>
          <w:highlight w:val="none"/>
          <w:lang w:eastAsia="zh-CN"/>
        </w:rPr>
        <w:t>佛山市南海区</w:t>
      </w:r>
      <w:r>
        <w:rPr>
          <w:rFonts w:hint="eastAsia" w:ascii="宋体" w:hAnsi="宋体" w:eastAsia="宋体" w:cs="宋体"/>
          <w:color w:val="auto"/>
          <w:szCs w:val="21"/>
          <w:highlight w:val="none"/>
        </w:rPr>
        <w:t>人民法院提起诉讼。</w:t>
      </w:r>
    </w:p>
    <w:p>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）在争议纠纷解决期间，除争议纠纷事项外，双方应继续履行本协议约定的其他各项义务。</w:t>
      </w:r>
    </w:p>
    <w:p>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）甲乙双方应对对方涉及的商业秘密等信息如尚未公布即应保密，未经另一方事先书面同意，在双方约定的时间内不得向第三方透露或公开，但是法律要求公开的信息除外。</w:t>
      </w:r>
    </w:p>
    <w:p>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五</w:t>
      </w:r>
      <w:r>
        <w:rPr>
          <w:rFonts w:hint="eastAsia" w:ascii="宋体" w:hAnsi="宋体" w:eastAsia="宋体" w:cs="宋体"/>
          <w:color w:val="auto"/>
          <w:szCs w:val="21"/>
          <w:highlight w:val="none"/>
        </w:rPr>
        <w:t>）本协议一式</w:t>
      </w:r>
      <w:r>
        <w:rPr>
          <w:rFonts w:hint="eastAsia" w:ascii="宋体" w:hAnsi="宋体" w:eastAsia="宋体" w:cs="宋体"/>
          <w:color w:val="auto"/>
          <w:szCs w:val="21"/>
          <w:highlight w:val="none"/>
          <w:u w:val="single"/>
          <w:lang w:eastAsia="zh-CN"/>
        </w:rPr>
        <w:t>陆</w:t>
      </w:r>
      <w:r>
        <w:rPr>
          <w:rFonts w:hint="eastAsia" w:ascii="宋体" w:hAnsi="宋体" w:eastAsia="宋体" w:cs="宋体"/>
          <w:color w:val="auto"/>
          <w:szCs w:val="21"/>
          <w:highlight w:val="none"/>
        </w:rPr>
        <w:t>份，甲、乙双方各执</w:t>
      </w:r>
      <w:r>
        <w:rPr>
          <w:rFonts w:hint="eastAsia" w:ascii="宋体" w:hAnsi="宋体" w:eastAsia="宋体" w:cs="宋体"/>
          <w:color w:val="auto"/>
          <w:szCs w:val="21"/>
          <w:highlight w:val="none"/>
          <w:lang w:eastAsia="zh-CN"/>
        </w:rPr>
        <w:t>叁</w:t>
      </w:r>
      <w:r>
        <w:rPr>
          <w:rFonts w:hint="eastAsia" w:ascii="宋体" w:hAnsi="宋体" w:eastAsia="宋体" w:cs="宋体"/>
          <w:color w:val="auto"/>
          <w:szCs w:val="21"/>
          <w:highlight w:val="none"/>
        </w:rPr>
        <w:t>份，由双方法定代表人或授权委托人签字，并</w:t>
      </w:r>
      <w:r>
        <w:rPr>
          <w:rFonts w:hint="eastAsia" w:ascii="宋体" w:hAnsi="宋体" w:cs="宋体"/>
          <w:color w:val="auto"/>
          <w:szCs w:val="21"/>
          <w:highlight w:val="none"/>
          <w:lang w:val="en-US" w:eastAsia="zh-CN"/>
        </w:rPr>
        <w:t>自</w:t>
      </w:r>
      <w:r>
        <w:rPr>
          <w:rFonts w:hint="eastAsia" w:ascii="宋体" w:hAnsi="宋体" w:eastAsia="宋体" w:cs="宋体"/>
          <w:color w:val="auto"/>
          <w:szCs w:val="21"/>
          <w:highlight w:val="none"/>
        </w:rPr>
        <w:t>加盖单位（公司）公章之日起生效。</w:t>
      </w:r>
    </w:p>
    <w:p>
      <w:pPr>
        <w:ind w:firstLine="420" w:firstLineChars="200"/>
        <w:jc w:val="left"/>
        <w:rPr>
          <w:rFonts w:hint="eastAsia" w:ascii="宋体" w:hAnsi="宋体" w:eastAsia="宋体" w:cs="宋体"/>
          <w:color w:val="auto"/>
          <w:szCs w:val="21"/>
          <w:highlight w:val="none"/>
        </w:rPr>
      </w:pPr>
    </w:p>
    <w:p>
      <w:pPr>
        <w:spacing w:line="480" w:lineRule="auto"/>
        <w:rPr>
          <w:rFonts w:hint="eastAsia" w:ascii="宋体" w:hAnsi="宋体" w:eastAsia="宋体" w:cs="宋体"/>
          <w:b/>
          <w:color w:val="auto"/>
          <w:szCs w:val="21"/>
          <w:highlight w:val="none"/>
        </w:rPr>
      </w:pPr>
    </w:p>
    <w:p>
      <w:pPr>
        <w:spacing w:line="480" w:lineRule="auto"/>
        <w:ind w:firstLine="413" w:firstLineChars="196"/>
        <w:rPr>
          <w:rFonts w:hint="eastAsia" w:ascii="宋体" w:hAnsi="宋体" w:eastAsia="宋体" w:cs="宋体"/>
          <w:b/>
          <w:color w:val="auto"/>
          <w:szCs w:val="21"/>
          <w:highlight w:val="none"/>
          <w:lang w:eastAsia="zh-CN"/>
        </w:rPr>
      </w:pPr>
    </w:p>
    <w:p>
      <w:pPr>
        <w:spacing w:line="48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甲方（盖章）：                                 乙方（盖章）：</w:t>
      </w:r>
    </w:p>
    <w:p>
      <w:pPr>
        <w:spacing w:line="48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代 表：                                        代 表： </w:t>
      </w:r>
    </w:p>
    <w:p>
      <w:pPr>
        <w:spacing w:line="480" w:lineRule="auto"/>
        <w:ind w:firstLine="420" w:firstLineChars="200"/>
        <w:jc w:val="left"/>
        <w:rPr>
          <w:rFonts w:hint="eastAsia" w:ascii="宋体" w:hAnsi="宋体" w:eastAsia="宋体" w:cs="宋体"/>
          <w:b/>
          <w:bCs/>
          <w:sz w:val="40"/>
          <w:szCs w:val="40"/>
          <w:highlight w:val="none"/>
        </w:rPr>
      </w:pPr>
      <w:r>
        <w:rPr>
          <w:rFonts w:hint="eastAsia" w:ascii="宋体" w:hAnsi="宋体" w:eastAsia="宋体" w:cs="宋体"/>
          <w:color w:val="auto"/>
          <w:szCs w:val="21"/>
          <w:highlight w:val="none"/>
        </w:rPr>
        <w:t xml:space="preserve">日 期：     年     月    日                   日 期：       年     月     日 </w:t>
      </w:r>
    </w:p>
    <w:p>
      <w:pPr>
        <w:tabs>
          <w:tab w:val="left" w:pos="720"/>
        </w:tabs>
        <w:spacing w:line="360" w:lineRule="auto"/>
        <w:jc w:val="center"/>
        <w:rPr>
          <w:rFonts w:ascii="宋体" w:hAnsi="宋体" w:cs="宋体"/>
          <w:b/>
          <w:bCs/>
          <w:sz w:val="40"/>
          <w:szCs w:val="40"/>
          <w:highlight w:val="none"/>
        </w:rPr>
      </w:pPr>
    </w:p>
    <w:p>
      <w:pPr>
        <w:jc w:val="center"/>
        <w:rPr>
          <w:rFonts w:ascii="宋体" w:hAnsi="宋体" w:cs="宋体"/>
          <w:b/>
          <w:bCs/>
          <w:sz w:val="36"/>
          <w:szCs w:val="36"/>
          <w:highlight w:val="none"/>
        </w:rPr>
      </w:pPr>
      <w:r>
        <w:rPr>
          <w:rFonts w:ascii="宋体" w:hAnsi="宋体" w:cs="宋体"/>
          <w:b/>
          <w:bCs/>
          <w:sz w:val="36"/>
          <w:szCs w:val="36"/>
          <w:highlight w:val="none"/>
        </w:rPr>
        <w:br w:type="page"/>
      </w:r>
    </w:p>
    <w:p>
      <w:pPr>
        <w:jc w:val="center"/>
        <w:rPr>
          <w:rFonts w:ascii="宋体" w:hAnsi="宋体" w:cs="宋体"/>
          <w:highlight w:val="none"/>
        </w:rPr>
      </w:pPr>
      <w:r>
        <w:rPr>
          <w:rFonts w:ascii="宋体" w:hAnsi="宋体" w:cs="宋体"/>
          <w:b/>
          <w:bCs/>
          <w:sz w:val="36"/>
          <w:szCs w:val="36"/>
          <w:highlight w:val="none"/>
        </w:rPr>
        <w:t xml:space="preserve"> </w:t>
      </w:r>
      <w:r>
        <w:rPr>
          <w:rFonts w:ascii="宋体" w:hAnsi="宋体" w:cs="宋体"/>
          <w:b/>
          <w:bCs/>
          <w:sz w:val="24"/>
          <w:highlight w:val="none"/>
        </w:rPr>
        <w:t>服务质量考核评分表</w:t>
      </w:r>
    </w:p>
    <w:tbl>
      <w:tblPr>
        <w:tblStyle w:val="35"/>
        <w:tblW w:w="94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6946"/>
        <w:gridCol w:w="850"/>
        <w:gridCol w:w="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9418" w:type="dxa"/>
            <w:gridSpan w:val="4"/>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Align w:val="center"/>
          </w:tcPr>
          <w:p>
            <w:pPr>
              <w:autoSpaceDE w:val="0"/>
              <w:autoSpaceDN w:val="0"/>
              <w:adjustRightInd w:val="0"/>
              <w:ind w:left="-21" w:leftChars="-67" w:right="-107" w:rightChars="-51" w:hanging="120" w:hangingChars="50"/>
              <w:jc w:val="center"/>
              <w:rPr>
                <w:rFonts w:ascii="宋体" w:hAnsi="宋体" w:cs="宋体"/>
                <w:sz w:val="24"/>
                <w:highlight w:val="none"/>
              </w:rPr>
            </w:pPr>
            <w:r>
              <w:rPr>
                <w:rFonts w:ascii="宋体" w:hAnsi="宋体" w:cs="宋体"/>
                <w:sz w:val="24"/>
                <w:highlight w:val="none"/>
              </w:rPr>
              <w:t>序号</w:t>
            </w:r>
          </w:p>
        </w:tc>
        <w:tc>
          <w:tcPr>
            <w:tcW w:w="6946"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评分内容</w:t>
            </w:r>
          </w:p>
        </w:tc>
        <w:tc>
          <w:tcPr>
            <w:tcW w:w="850"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总分</w:t>
            </w:r>
          </w:p>
        </w:tc>
        <w:tc>
          <w:tcPr>
            <w:tcW w:w="805"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1</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对中标人的运营管理情况进行评价（包括但不限于工作岗位分配、工作流程、规章制度、职责、责任人等）；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优秀：6-7分；良好：3-5分；一般：1-2分；差：0分。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7分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2</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对工作人员的评价（包括但不限于仪容仪表、文明用语、服务态度、服务效率、服务人员配备情况等）；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优秀：4-5分；良好：2-3分；一般：1分；差：0分。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5分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3</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对充电站的管理（包括但不限于清洁卫生、环境安全、安全标识、车辆充电停放管理、站内交通等）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优秀：6-8分；良好：3-5分；一般：1-2分；差：0分。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8分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4</w:t>
            </w:r>
          </w:p>
        </w:tc>
        <w:tc>
          <w:tcPr>
            <w:tcW w:w="6946" w:type="dxa"/>
            <w:vAlign w:val="center"/>
          </w:tcPr>
          <w:p>
            <w:pPr>
              <w:ind w:left="-13" w:leftChars="-6" w:right="10" w:firstLine="12" w:firstLineChars="5"/>
              <w:rPr>
                <w:rFonts w:ascii="宋体" w:hAnsi="宋体" w:cs="宋体"/>
                <w:sz w:val="24"/>
                <w:highlight w:val="none"/>
              </w:rPr>
            </w:pPr>
            <w:r>
              <w:rPr>
                <w:rFonts w:ascii="宋体" w:hAnsi="宋体" w:cs="宋体"/>
                <w:sz w:val="24"/>
                <w:highlight w:val="none"/>
              </w:rPr>
              <w:t>对充电设施的管理（包括但不限于计量器具的准确、充电设施的维护、系统管理、软件升级、设施使用情况等）</w:t>
            </w:r>
          </w:p>
          <w:p>
            <w:pPr>
              <w:ind w:left="-13" w:leftChars="-6" w:right="10" w:firstLine="12" w:firstLineChars="5"/>
              <w:jc w:val="left"/>
              <w:rPr>
                <w:rFonts w:ascii="宋体" w:hAnsi="宋体" w:cs="宋体"/>
                <w:sz w:val="24"/>
                <w:highlight w:val="none"/>
              </w:rPr>
            </w:pPr>
            <w:r>
              <w:rPr>
                <w:rFonts w:ascii="宋体" w:hAnsi="宋体" w:cs="宋体"/>
                <w:sz w:val="24"/>
                <w:highlight w:val="none"/>
              </w:rPr>
              <w:t>优秀：8-10分；良好：5-7分；一般：1-4分；差：0分。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5</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对日常维护和技术支持的服务质量（包括但不限于快速响应程度、日常维修和故障抢修效率、设备正常使用率、维修人员配备情况等）</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优秀：15-20分；良好：10-14分；一般：1-9分；差：0分。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20分</w:t>
            </w:r>
          </w:p>
        </w:tc>
        <w:tc>
          <w:tcPr>
            <w:tcW w:w="805" w:type="dxa"/>
            <w:vAlign w:val="center"/>
          </w:tcPr>
          <w:p>
            <w:pPr>
              <w:autoSpaceDE w:val="0"/>
              <w:autoSpaceDN w:val="0"/>
              <w:adjustRightInd w:val="0"/>
              <w:ind w:left="108" w:firstLine="56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6</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每发生一次安全事故，扣5分；发生安全事故是否及时处理和处理得当；</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优秀：15-20分；良好：10-14分；一般：1-9分；差：0分。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20分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7</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充电服务费收费、充电量计量是否按相关标准；</w:t>
            </w:r>
          </w:p>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每发现一次不符合标准扣5分。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8</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每收到一个真实、合理的投诉扣2分，最高扣10分。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17" w:type="dxa"/>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9</w:t>
            </w:r>
          </w:p>
        </w:tc>
        <w:tc>
          <w:tcPr>
            <w:tcW w:w="6946" w:type="dxa"/>
            <w:vAlign w:val="center"/>
          </w:tcPr>
          <w:p>
            <w:pPr>
              <w:autoSpaceDE w:val="0"/>
              <w:autoSpaceDN w:val="0"/>
              <w:adjustRightInd w:val="0"/>
              <w:ind w:left="-13" w:leftChars="-6" w:right="10" w:firstLine="12" w:firstLineChars="5"/>
              <w:jc w:val="left"/>
              <w:rPr>
                <w:rFonts w:ascii="宋体" w:hAnsi="宋体" w:cs="宋体"/>
                <w:sz w:val="24"/>
                <w:highlight w:val="none"/>
              </w:rPr>
            </w:pPr>
            <w:r>
              <w:rPr>
                <w:rFonts w:ascii="宋体" w:hAnsi="宋体" w:cs="宋体"/>
                <w:sz w:val="24"/>
                <w:highlight w:val="none"/>
              </w:rPr>
              <w:t>如有违反招标文件及</w:t>
            </w:r>
            <w:r>
              <w:rPr>
                <w:rFonts w:hint="eastAsia" w:ascii="宋体" w:hAnsi="宋体" w:cs="宋体"/>
                <w:sz w:val="24"/>
                <w:highlight w:val="none"/>
                <w:lang w:eastAsia="zh-CN"/>
              </w:rPr>
              <w:t>协议</w:t>
            </w:r>
            <w:r>
              <w:rPr>
                <w:rFonts w:ascii="宋体" w:hAnsi="宋体" w:cs="宋体"/>
                <w:sz w:val="24"/>
                <w:highlight w:val="none"/>
              </w:rPr>
              <w:t>规定的条款，根据违约性质进行评分：</w:t>
            </w:r>
          </w:p>
          <w:p>
            <w:pPr>
              <w:autoSpaceDE w:val="0"/>
              <w:autoSpaceDN w:val="0"/>
              <w:adjustRightInd w:val="0"/>
              <w:ind w:left="-13" w:leftChars="-6" w:right="10" w:firstLine="12" w:firstLineChars="5"/>
              <w:jc w:val="left"/>
              <w:rPr>
                <w:rFonts w:hint="default" w:ascii="宋体" w:hAnsi="宋体" w:eastAsia="宋体" w:cs="宋体"/>
                <w:sz w:val="24"/>
                <w:highlight w:val="none"/>
                <w:lang w:val="en-US" w:eastAsia="zh-CN"/>
              </w:rPr>
            </w:pPr>
            <w:r>
              <w:rPr>
                <w:rFonts w:hint="eastAsia" w:ascii="宋体" w:hAnsi="宋体" w:cs="宋体"/>
                <w:sz w:val="24"/>
                <w:highlight w:val="none"/>
              </w:rPr>
              <w:t>严重违反约定条款，扣8-10</w:t>
            </w:r>
            <w:r>
              <w:rPr>
                <w:rFonts w:hint="eastAsia" w:ascii="宋体" w:hAnsi="宋体" w:cs="宋体"/>
                <w:sz w:val="24"/>
                <w:highlight w:val="none"/>
                <w:lang w:eastAsia="zh-CN"/>
              </w:rPr>
              <w:t>分；</w:t>
            </w:r>
            <w:r>
              <w:rPr>
                <w:rFonts w:hint="eastAsia" w:ascii="宋体" w:hAnsi="宋体" w:cs="宋体"/>
                <w:sz w:val="24"/>
                <w:highlight w:val="none"/>
              </w:rPr>
              <w:t>偏离约定条款，扣5-7</w:t>
            </w:r>
            <w:r>
              <w:rPr>
                <w:rFonts w:hint="eastAsia" w:ascii="宋体" w:hAnsi="宋体" w:cs="宋体"/>
                <w:sz w:val="24"/>
                <w:highlight w:val="none"/>
                <w:lang w:eastAsia="zh-CN"/>
              </w:rPr>
              <w:t>分；</w:t>
            </w:r>
            <w:r>
              <w:rPr>
                <w:rFonts w:hint="eastAsia" w:ascii="宋体" w:hAnsi="宋体" w:cs="宋体"/>
                <w:sz w:val="24"/>
                <w:highlight w:val="none"/>
              </w:rPr>
              <w:t>基本履行条款，扣</w:t>
            </w:r>
            <w:r>
              <w:rPr>
                <w:rFonts w:hint="eastAsia" w:ascii="宋体" w:hAnsi="宋体" w:cs="宋体"/>
                <w:sz w:val="24"/>
                <w:highlight w:val="none"/>
                <w:lang w:val="en-US" w:eastAsia="zh-CN"/>
              </w:rPr>
              <w:t>0-4分。</w:t>
            </w:r>
          </w:p>
        </w:tc>
        <w:tc>
          <w:tcPr>
            <w:tcW w:w="850" w:type="dxa"/>
            <w:vAlign w:val="center"/>
          </w:tcPr>
          <w:p>
            <w:pPr>
              <w:autoSpaceDE w:val="0"/>
              <w:autoSpaceDN w:val="0"/>
              <w:adjustRightInd w:val="0"/>
              <w:ind w:left="-113" w:leftChars="-54" w:right="-113" w:rightChars="-54"/>
              <w:jc w:val="center"/>
              <w:rPr>
                <w:rFonts w:ascii="宋体" w:hAnsi="宋体" w:cs="宋体"/>
                <w:sz w:val="24"/>
                <w:highlight w:val="none"/>
              </w:rPr>
            </w:pPr>
            <w:r>
              <w:rPr>
                <w:rFonts w:ascii="宋体" w:hAnsi="宋体" w:cs="宋体"/>
                <w:sz w:val="24"/>
                <w:highlight w:val="none"/>
              </w:rPr>
              <w:t>10分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763" w:type="dxa"/>
            <w:gridSpan w:val="2"/>
            <w:vAlign w:val="center"/>
          </w:tcPr>
          <w:p>
            <w:pPr>
              <w:autoSpaceDE w:val="0"/>
              <w:autoSpaceDN w:val="0"/>
              <w:adjustRightInd w:val="0"/>
              <w:jc w:val="center"/>
              <w:rPr>
                <w:rFonts w:ascii="宋体" w:hAnsi="宋体" w:cs="宋体"/>
                <w:sz w:val="24"/>
                <w:highlight w:val="none"/>
              </w:rPr>
            </w:pPr>
            <w:r>
              <w:rPr>
                <w:rFonts w:ascii="宋体" w:hAnsi="宋体" w:cs="宋体"/>
                <w:sz w:val="24"/>
                <w:highlight w:val="none"/>
              </w:rPr>
              <w:t>合计</w:t>
            </w:r>
          </w:p>
        </w:tc>
        <w:tc>
          <w:tcPr>
            <w:tcW w:w="850" w:type="dxa"/>
            <w:vAlign w:val="center"/>
          </w:tcPr>
          <w:p>
            <w:pPr>
              <w:autoSpaceDE w:val="0"/>
              <w:autoSpaceDN w:val="0"/>
              <w:adjustRightInd w:val="0"/>
              <w:ind w:right="-107" w:rightChars="-51"/>
              <w:jc w:val="center"/>
              <w:rPr>
                <w:rFonts w:ascii="宋体" w:hAnsi="宋体" w:cs="宋体"/>
                <w:sz w:val="24"/>
                <w:highlight w:val="none"/>
              </w:rPr>
            </w:pPr>
            <w:r>
              <w:rPr>
                <w:rFonts w:ascii="宋体" w:hAnsi="宋体" w:cs="宋体"/>
                <w:sz w:val="24"/>
                <w:highlight w:val="none"/>
              </w:rPr>
              <w:t>100分</w:t>
            </w:r>
          </w:p>
        </w:tc>
        <w:tc>
          <w:tcPr>
            <w:tcW w:w="805" w:type="dxa"/>
            <w:vAlign w:val="center"/>
          </w:tcPr>
          <w:p>
            <w:pPr>
              <w:autoSpaceDE w:val="0"/>
              <w:autoSpaceDN w:val="0"/>
              <w:adjustRightInd w:val="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418" w:type="dxa"/>
            <w:gridSpan w:val="4"/>
            <w:vAlign w:val="center"/>
          </w:tcPr>
          <w:p>
            <w:pPr>
              <w:autoSpaceDE w:val="0"/>
              <w:autoSpaceDN w:val="0"/>
              <w:adjustRightInd w:val="0"/>
              <w:ind w:left="720" w:hanging="720" w:hangingChars="300"/>
              <w:jc w:val="left"/>
              <w:rPr>
                <w:rFonts w:hint="eastAsia" w:ascii="宋体" w:hAnsi="宋体" w:cs="宋体"/>
                <w:sz w:val="24"/>
                <w:highlight w:val="none"/>
                <w:lang w:eastAsia="zh-CN"/>
              </w:rPr>
            </w:pPr>
            <w:r>
              <w:rPr>
                <w:rFonts w:hint="eastAsia" w:ascii="宋体" w:hAnsi="宋体" w:cs="宋体"/>
                <w:sz w:val="24"/>
                <w:highlight w:val="none"/>
                <w:lang w:eastAsia="zh-CN"/>
              </w:rPr>
              <w:t>备注：</w:t>
            </w:r>
          </w:p>
          <w:p>
            <w:pPr>
              <w:numPr>
                <w:ilvl w:val="0"/>
                <w:numId w:val="7"/>
              </w:numPr>
              <w:autoSpaceDE w:val="0"/>
              <w:autoSpaceDN w:val="0"/>
              <w:adjustRightInd w:val="0"/>
              <w:ind w:left="720" w:hanging="720" w:hangingChars="300"/>
              <w:jc w:val="both"/>
              <w:rPr>
                <w:rFonts w:hint="eastAsia" w:ascii="宋体" w:hAnsi="宋体" w:cs="宋体"/>
                <w:sz w:val="24"/>
                <w:highlight w:val="none"/>
                <w:lang w:val="en-US" w:eastAsia="zh-CN"/>
              </w:rPr>
            </w:pPr>
            <w:r>
              <w:rPr>
                <w:rFonts w:hint="eastAsia" w:ascii="宋体" w:hAnsi="宋体" w:cs="宋体"/>
                <w:sz w:val="24"/>
                <w:highlight w:val="none"/>
                <w:lang w:val="en-US" w:eastAsia="zh-CN"/>
              </w:rPr>
              <w:t>当评分分值在75分（不含）以下，甲方可对乙方进行罚款，每扣减一分，相应扣罚100元。（例如：评分分值为60分时，可扣罚4000元）。</w:t>
            </w:r>
          </w:p>
          <w:p>
            <w:pPr>
              <w:numPr>
                <w:ilvl w:val="0"/>
                <w:numId w:val="7"/>
              </w:numPr>
              <w:autoSpaceDE w:val="0"/>
              <w:autoSpaceDN w:val="0"/>
              <w:adjustRightInd w:val="0"/>
              <w:ind w:left="720" w:hanging="720" w:hangingChars="300"/>
              <w:jc w:val="left"/>
              <w:rPr>
                <w:rFonts w:hint="default" w:ascii="宋体" w:hAnsi="宋体" w:cs="宋体"/>
                <w:sz w:val="24"/>
                <w:highlight w:val="none"/>
                <w:lang w:val="en-US" w:eastAsia="zh-CN"/>
              </w:rPr>
            </w:pPr>
            <w:r>
              <w:rPr>
                <w:rFonts w:hint="default" w:ascii="宋体" w:hAnsi="宋体" w:cs="宋体"/>
                <w:sz w:val="24"/>
                <w:highlight w:val="none"/>
                <w:lang w:val="en-US" w:eastAsia="zh-CN"/>
              </w:rPr>
              <w:t>对充电站存在的问题，乙方逾期不处理的，甲方可先行处理，所有费用由乙方承担。甲方可根据相应的考核内容对乙方进行罚款，每扣减一分，相应扣罚100元。</w:t>
            </w:r>
          </w:p>
          <w:p>
            <w:pPr>
              <w:numPr>
                <w:ilvl w:val="0"/>
                <w:numId w:val="0"/>
              </w:numPr>
              <w:autoSpaceDE w:val="0"/>
              <w:autoSpaceDN w:val="0"/>
              <w:adjustRightInd w:val="0"/>
              <w:ind w:leftChars="-3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1、</w:t>
            </w:r>
          </w:p>
        </w:tc>
      </w:tr>
    </w:tbl>
    <w:p>
      <w:pPr>
        <w:spacing w:line="360" w:lineRule="auto"/>
        <w:rPr>
          <w:rFonts w:ascii="宋体" w:hAnsi="宋体" w:cs="宋体"/>
          <w:sz w:val="44"/>
          <w:highlight w:val="none"/>
        </w:rPr>
      </w:pPr>
      <w:r>
        <w:rPr>
          <w:rFonts w:ascii="宋体" w:hAnsi="宋体" w:cs="宋体"/>
          <w:sz w:val="44"/>
          <w:highlight w:val="none"/>
        </w:rPr>
        <w:br w:type="page"/>
      </w:r>
    </w:p>
    <w:p>
      <w:pPr>
        <w:rPr>
          <w:highlight w:val="none"/>
        </w:rPr>
      </w:pPr>
    </w:p>
    <w:p>
      <w:pPr>
        <w:rPr>
          <w:highlight w:val="none"/>
        </w:rPr>
      </w:pPr>
    </w:p>
    <w:p>
      <w:pPr>
        <w:rPr>
          <w:highlight w:val="none"/>
        </w:rPr>
      </w:pPr>
    </w:p>
    <w:p>
      <w:pPr>
        <w:pStyle w:val="3"/>
        <w:spacing w:line="360" w:lineRule="auto"/>
        <w:rPr>
          <w:rFonts w:ascii="宋体" w:hAnsi="宋体" w:cs="宋体"/>
          <w:sz w:val="44"/>
          <w:highlight w:val="none"/>
        </w:rPr>
        <w:sectPr>
          <w:pgSz w:w="11906" w:h="16838"/>
          <w:pgMar w:top="1440" w:right="1469" w:bottom="1440" w:left="1440" w:header="851" w:footer="992" w:gutter="0"/>
          <w:cols w:space="720" w:num="1"/>
          <w:titlePg/>
          <w:docGrid w:linePitch="462" w:charSpace="0"/>
        </w:sectPr>
      </w:pPr>
      <w:bookmarkStart w:id="62" w:name="_Toc7739"/>
      <w:bookmarkStart w:id="63" w:name="_Toc13293"/>
      <w:bookmarkStart w:id="64" w:name="_Toc6156"/>
      <w:bookmarkStart w:id="65" w:name="_Toc19330"/>
      <w:bookmarkStart w:id="66" w:name="_Toc6343"/>
      <w:bookmarkStart w:id="67" w:name="_Toc2054"/>
      <w:bookmarkStart w:id="68" w:name="_Toc28668"/>
      <w:bookmarkStart w:id="69" w:name="_Toc23415"/>
      <w:bookmarkStart w:id="70" w:name="_Toc26164"/>
      <w:bookmarkStart w:id="71" w:name="_Toc11463"/>
      <w:bookmarkStart w:id="72" w:name="_Toc544"/>
      <w:bookmarkStart w:id="73" w:name="_Toc10656"/>
      <w:bookmarkStart w:id="74" w:name="_Toc26524"/>
      <w:r>
        <w:rPr>
          <w:rFonts w:ascii="宋体" w:hAnsi="宋体" w:cs="宋体"/>
          <w:sz w:val="44"/>
          <w:highlight w:val="none"/>
        </w:rPr>
        <w:t>第五部分　投标文件格式</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18"/>
        <w:tabs>
          <w:tab w:val="left" w:pos="1260"/>
        </w:tabs>
        <w:spacing w:line="360" w:lineRule="auto"/>
        <w:jc w:val="center"/>
        <w:rPr>
          <w:rFonts w:hAnsi="宋体" w:cs="宋体"/>
          <w:b/>
          <w:spacing w:val="100"/>
          <w:w w:val="110"/>
          <w:kern w:val="0"/>
          <w:sz w:val="44"/>
          <w:szCs w:val="44"/>
          <w:highlight w:val="none"/>
        </w:rPr>
      </w:pPr>
    </w:p>
    <w:p>
      <w:pPr>
        <w:pStyle w:val="18"/>
        <w:tabs>
          <w:tab w:val="left" w:pos="1260"/>
        </w:tabs>
        <w:spacing w:line="360" w:lineRule="auto"/>
        <w:jc w:val="center"/>
        <w:rPr>
          <w:rFonts w:hAnsi="宋体" w:cs="宋体"/>
          <w:b/>
          <w:spacing w:val="100"/>
          <w:w w:val="110"/>
          <w:kern w:val="0"/>
          <w:sz w:val="44"/>
          <w:szCs w:val="44"/>
          <w:highlight w:val="none"/>
        </w:rPr>
      </w:pPr>
    </w:p>
    <w:p>
      <w:pPr>
        <w:pStyle w:val="18"/>
        <w:tabs>
          <w:tab w:val="left" w:pos="1260"/>
        </w:tabs>
        <w:spacing w:line="360" w:lineRule="auto"/>
        <w:jc w:val="center"/>
        <w:rPr>
          <w:rFonts w:hAnsi="宋体" w:cs="宋体"/>
          <w:b/>
          <w:spacing w:val="100"/>
          <w:w w:val="110"/>
          <w:kern w:val="0"/>
          <w:sz w:val="44"/>
          <w:szCs w:val="44"/>
          <w:highlight w:val="none"/>
        </w:rPr>
      </w:pPr>
    </w:p>
    <w:p>
      <w:pPr>
        <w:pStyle w:val="18"/>
        <w:tabs>
          <w:tab w:val="left" w:pos="1260"/>
        </w:tabs>
        <w:spacing w:line="360" w:lineRule="auto"/>
        <w:jc w:val="center"/>
        <w:rPr>
          <w:rFonts w:hAnsi="宋体" w:cs="宋体"/>
          <w:b/>
          <w:spacing w:val="100"/>
          <w:w w:val="110"/>
          <w:kern w:val="0"/>
          <w:sz w:val="44"/>
          <w:szCs w:val="44"/>
          <w:highlight w:val="none"/>
        </w:rPr>
      </w:pPr>
      <w:r>
        <w:rPr>
          <w:rFonts w:hAnsi="宋体" w:cs="宋体"/>
          <w:b/>
          <w:spacing w:val="100"/>
          <w:w w:val="110"/>
          <w:kern w:val="0"/>
          <w:sz w:val="44"/>
          <w:szCs w:val="44"/>
          <w:highlight w:val="none"/>
        </w:rPr>
        <w:t>投标文件-资格审查部分</w:t>
      </w:r>
    </w:p>
    <w:p>
      <w:pPr>
        <w:rPr>
          <w:rFonts w:ascii="宋体" w:hAnsi="宋体" w:cs="宋体"/>
          <w:highlight w:val="none"/>
        </w:rPr>
      </w:pPr>
    </w:p>
    <w:p>
      <w:pPr>
        <w:pStyle w:val="18"/>
        <w:spacing w:line="360" w:lineRule="auto"/>
        <w:jc w:val="center"/>
        <w:rPr>
          <w:rFonts w:hAnsi="宋体" w:cs="宋体"/>
          <w:b/>
          <w:sz w:val="44"/>
          <w:szCs w:val="44"/>
          <w:highlight w:val="none"/>
        </w:rPr>
      </w:pPr>
      <w:r>
        <w:rPr>
          <w:rFonts w:hAnsi="宋体" w:cs="宋体"/>
          <w:b/>
          <w:sz w:val="44"/>
          <w:szCs w:val="44"/>
          <w:highlight w:val="none"/>
        </w:rPr>
        <w:t>（正本/副本）</w:t>
      </w:r>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ind w:firstLine="1501" w:firstLineChars="534"/>
        <w:rPr>
          <w:rFonts w:hAnsi="宋体" w:cs="宋体"/>
          <w:b/>
          <w:sz w:val="28"/>
          <w:szCs w:val="28"/>
          <w:highlight w:val="none"/>
          <w:u w:val="single"/>
        </w:rPr>
      </w:pPr>
      <w:r>
        <w:rPr>
          <w:rFonts w:hAnsi="宋体" w:cs="宋体"/>
          <w:b/>
          <w:sz w:val="28"/>
          <w:szCs w:val="28"/>
          <w:highlight w:val="none"/>
        </w:rPr>
        <w:t>采购项目编号：</w:t>
      </w:r>
      <w:r>
        <w:rPr>
          <w:rFonts w:hAnsi="宋体" w:cs="宋体"/>
          <w:b/>
          <w:sz w:val="28"/>
          <w:szCs w:val="28"/>
          <w:highlight w:val="none"/>
          <w:u w:val="single"/>
        </w:rPr>
        <w:t xml:space="preserve">              </w:t>
      </w:r>
    </w:p>
    <w:p>
      <w:pPr>
        <w:pStyle w:val="18"/>
        <w:spacing w:line="360" w:lineRule="auto"/>
        <w:ind w:firstLine="1661" w:firstLineChars="591"/>
        <w:rPr>
          <w:rFonts w:hAnsi="宋体" w:cs="宋体"/>
          <w:b/>
          <w:sz w:val="28"/>
          <w:szCs w:val="28"/>
          <w:highlight w:val="none"/>
        </w:rPr>
      </w:pPr>
    </w:p>
    <w:p>
      <w:pPr>
        <w:pStyle w:val="18"/>
        <w:spacing w:line="360" w:lineRule="auto"/>
        <w:ind w:left="3357" w:leftChars="699" w:hanging="1889" w:hangingChars="672"/>
        <w:rPr>
          <w:rFonts w:hAnsi="宋体" w:cs="宋体"/>
          <w:b/>
          <w:sz w:val="28"/>
          <w:szCs w:val="28"/>
          <w:highlight w:val="none"/>
        </w:rPr>
      </w:pPr>
      <w:r>
        <w:rPr>
          <w:rFonts w:hAnsi="宋体" w:cs="宋体"/>
          <w:b/>
          <w:sz w:val="28"/>
          <w:szCs w:val="28"/>
          <w:highlight w:val="none"/>
        </w:rPr>
        <w:t>采购项目名称：</w:t>
      </w:r>
      <w:r>
        <w:rPr>
          <w:rFonts w:hAnsi="宋体" w:cs="宋体"/>
          <w:b/>
          <w:sz w:val="28"/>
          <w:szCs w:val="28"/>
          <w:highlight w:val="none"/>
          <w:u w:val="single"/>
        </w:rPr>
        <w:t xml:space="preserve">               </w:t>
      </w:r>
    </w:p>
    <w:p>
      <w:pPr>
        <w:pStyle w:val="18"/>
        <w:spacing w:line="360" w:lineRule="auto"/>
        <w:ind w:firstLine="843" w:firstLineChars="300"/>
        <w:rPr>
          <w:rFonts w:hAnsi="宋体" w:cs="宋体"/>
          <w:b/>
          <w:sz w:val="28"/>
          <w:szCs w:val="28"/>
          <w:highlight w:val="none"/>
        </w:rPr>
      </w:pPr>
    </w:p>
    <w:p>
      <w:pPr>
        <w:pStyle w:val="18"/>
        <w:spacing w:line="360" w:lineRule="auto"/>
        <w:ind w:firstLine="933" w:firstLineChars="332"/>
        <w:rPr>
          <w:rFonts w:hAnsi="宋体" w:cs="宋体"/>
          <w:b/>
          <w:sz w:val="28"/>
          <w:szCs w:val="28"/>
          <w:highlight w:val="none"/>
        </w:rPr>
      </w:pPr>
    </w:p>
    <w:p>
      <w:pPr>
        <w:pStyle w:val="18"/>
        <w:spacing w:line="360" w:lineRule="auto"/>
        <w:ind w:firstLine="1521" w:firstLineChars="541"/>
        <w:rPr>
          <w:rFonts w:hAnsi="宋体" w:cs="宋体"/>
          <w:b/>
          <w:sz w:val="28"/>
          <w:szCs w:val="28"/>
          <w:highlight w:val="none"/>
          <w:u w:val="single"/>
        </w:rPr>
      </w:pPr>
      <w:r>
        <w:rPr>
          <w:rFonts w:hAnsi="宋体" w:cs="宋体"/>
          <w:b/>
          <w:sz w:val="28"/>
          <w:szCs w:val="28"/>
          <w:highlight w:val="none"/>
        </w:rPr>
        <w:t>投标人名称：</w:t>
      </w:r>
      <w:r>
        <w:rPr>
          <w:rFonts w:hAnsi="宋体" w:cs="宋体"/>
          <w:b/>
          <w:sz w:val="28"/>
          <w:szCs w:val="28"/>
          <w:highlight w:val="none"/>
          <w:u w:val="single"/>
        </w:rPr>
        <w:t xml:space="preserve">                </w:t>
      </w:r>
    </w:p>
    <w:p>
      <w:pPr>
        <w:rPr>
          <w:rFonts w:ascii="宋体" w:hAnsi="宋体" w:cs="宋体"/>
          <w:highlight w:val="none"/>
        </w:rPr>
      </w:pPr>
    </w:p>
    <w:p>
      <w:pPr>
        <w:autoSpaceDE w:val="0"/>
        <w:autoSpaceDN w:val="0"/>
        <w:spacing w:line="360" w:lineRule="auto"/>
        <w:ind w:firstLine="1521" w:firstLineChars="541"/>
        <w:rPr>
          <w:rFonts w:ascii="宋体" w:hAnsi="宋体" w:cs="宋体"/>
          <w:b/>
          <w:sz w:val="28"/>
          <w:szCs w:val="28"/>
          <w:highlight w:val="none"/>
          <w:u w:val="single"/>
        </w:rPr>
      </w:pPr>
      <w:r>
        <w:rPr>
          <w:rFonts w:ascii="宋体" w:hAnsi="宋体" w:cs="宋体"/>
          <w:b/>
          <w:sz w:val="28"/>
          <w:szCs w:val="28"/>
          <w:highlight w:val="none"/>
        </w:rPr>
        <w:t>日期：</w:t>
      </w:r>
      <w:r>
        <w:rPr>
          <w:rFonts w:ascii="宋体" w:hAnsi="宋体" w:cs="宋体"/>
          <w:b/>
          <w:sz w:val="28"/>
          <w:szCs w:val="28"/>
          <w:highlight w:val="none"/>
          <w:u w:val="single"/>
        </w:rPr>
        <w:t xml:space="preserve">      </w:t>
      </w:r>
      <w:r>
        <w:rPr>
          <w:rFonts w:ascii="宋体" w:hAnsi="宋体" w:cs="宋体"/>
          <w:b/>
          <w:sz w:val="28"/>
          <w:szCs w:val="28"/>
          <w:highlight w:val="none"/>
        </w:rPr>
        <w:t>年</w:t>
      </w:r>
      <w:r>
        <w:rPr>
          <w:rFonts w:ascii="宋体" w:hAnsi="宋体" w:cs="宋体"/>
          <w:b/>
          <w:sz w:val="28"/>
          <w:szCs w:val="28"/>
          <w:highlight w:val="none"/>
          <w:u w:val="single"/>
        </w:rPr>
        <w:t xml:space="preserve">      </w:t>
      </w:r>
      <w:r>
        <w:rPr>
          <w:rFonts w:ascii="宋体" w:hAnsi="宋体" w:cs="宋体"/>
          <w:b/>
          <w:sz w:val="28"/>
          <w:szCs w:val="28"/>
          <w:highlight w:val="none"/>
        </w:rPr>
        <w:t>月</w:t>
      </w:r>
      <w:r>
        <w:rPr>
          <w:rFonts w:ascii="宋体" w:hAnsi="宋体" w:cs="宋体"/>
          <w:b/>
          <w:sz w:val="28"/>
          <w:szCs w:val="28"/>
          <w:highlight w:val="none"/>
          <w:u w:val="single"/>
        </w:rPr>
        <w:t xml:space="preserve">      </w:t>
      </w:r>
      <w:r>
        <w:rPr>
          <w:rFonts w:ascii="宋体" w:hAnsi="宋体" w:cs="宋体"/>
          <w:b/>
          <w:sz w:val="28"/>
          <w:szCs w:val="28"/>
          <w:highlight w:val="none"/>
        </w:rPr>
        <w:t>日</w:t>
      </w: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pStyle w:val="4"/>
        <w:spacing w:before="0" w:after="0" w:line="360" w:lineRule="auto"/>
        <w:jc w:val="center"/>
        <w:rPr>
          <w:rFonts w:ascii="宋体" w:hAnsi="宋体" w:eastAsia="宋体" w:cs="宋体"/>
          <w:sz w:val="28"/>
          <w:szCs w:val="28"/>
          <w:highlight w:val="none"/>
        </w:rPr>
      </w:pPr>
      <w:bookmarkStart w:id="75" w:name="OLE_LINK12"/>
      <w:r>
        <w:rPr>
          <w:rFonts w:ascii="宋体" w:hAnsi="宋体" w:cs="宋体"/>
          <w:kern w:val="0"/>
          <w:sz w:val="24"/>
          <w:highlight w:val="none"/>
        </w:rPr>
        <w:br w:type="page"/>
      </w:r>
      <w:r>
        <w:rPr>
          <w:rFonts w:ascii="宋体" w:hAnsi="宋体" w:eastAsia="宋体" w:cs="宋体"/>
          <w:sz w:val="28"/>
          <w:szCs w:val="28"/>
          <w:highlight w:val="none"/>
        </w:rPr>
        <w:t>关于资格的声明函</w:t>
      </w:r>
      <w:bookmarkEnd w:id="75"/>
    </w:p>
    <w:p>
      <w:pPr>
        <w:adjustRightInd w:val="0"/>
        <w:snapToGrid w:val="0"/>
        <w:spacing w:line="360" w:lineRule="auto"/>
        <w:ind w:firstLine="120" w:firstLineChars="50"/>
        <w:rPr>
          <w:rFonts w:ascii="宋体" w:hAnsi="宋体" w:cs="宋体"/>
          <w:sz w:val="24"/>
          <w:highlight w:val="none"/>
        </w:rPr>
      </w:pPr>
    </w:p>
    <w:p>
      <w:pPr>
        <w:adjustRightInd w:val="0"/>
        <w:snapToGrid w:val="0"/>
        <w:spacing w:line="360" w:lineRule="auto"/>
        <w:ind w:firstLine="120" w:firstLineChars="50"/>
        <w:rPr>
          <w:rFonts w:ascii="宋体" w:hAnsi="宋体" w:cs="宋体"/>
          <w:szCs w:val="21"/>
          <w:highlight w:val="none"/>
        </w:rPr>
      </w:pPr>
      <w:r>
        <w:rPr>
          <w:rFonts w:ascii="宋体" w:hAnsi="宋体" w:cs="宋体"/>
          <w:sz w:val="24"/>
          <w:highlight w:val="none"/>
        </w:rPr>
        <w:t>致</w:t>
      </w:r>
      <w:r>
        <w:rPr>
          <w:rFonts w:ascii="宋体" w:hAnsi="宋体" w:cs="宋体"/>
          <w:sz w:val="24"/>
          <w:highlight w:val="none"/>
          <w:u w:val="single"/>
        </w:rPr>
        <w:t>佛山市XXXXXX公司</w:t>
      </w:r>
      <w:r>
        <w:rPr>
          <w:rFonts w:ascii="宋体" w:hAnsi="宋体" w:cs="宋体"/>
          <w:sz w:val="24"/>
          <w:highlight w:val="none"/>
        </w:rPr>
        <w:t>：</w:t>
      </w:r>
      <w:r>
        <w:rPr>
          <w:rFonts w:ascii="宋体" w:hAnsi="宋体" w:cs="宋体"/>
          <w:szCs w:val="21"/>
          <w:highlight w:val="none"/>
        </w:rPr>
        <w:t xml:space="preserve"> </w:t>
      </w:r>
    </w:p>
    <w:p>
      <w:pPr>
        <w:spacing w:line="400" w:lineRule="exact"/>
        <w:rPr>
          <w:rFonts w:ascii="宋体" w:hAnsi="宋体" w:cs="宋体"/>
          <w:sz w:val="24"/>
          <w:highlight w:val="none"/>
        </w:rPr>
      </w:pPr>
      <w:r>
        <w:rPr>
          <w:rFonts w:ascii="宋体" w:hAnsi="宋体" w:cs="宋体"/>
          <w:sz w:val="24"/>
          <w:highlight w:val="none"/>
        </w:rPr>
        <w:t xml:space="preserve">    关于贵方</w:t>
      </w:r>
      <w:r>
        <w:rPr>
          <w:rFonts w:hint="eastAsia" w:ascii="宋体" w:hAnsi="宋体" w:cs="宋体"/>
          <w:sz w:val="24"/>
          <w:highlight w:val="none"/>
          <w:u w:val="single"/>
          <w:lang w:eastAsia="zh-CN"/>
        </w:rPr>
        <w:t>景裕豪园和宇佳水岸新都花园两处公交站场充电站</w:t>
      </w:r>
      <w:r>
        <w:rPr>
          <w:rFonts w:ascii="宋体" w:hAnsi="宋体" w:cs="宋体"/>
          <w:sz w:val="24"/>
          <w:highlight w:val="none"/>
          <w:u w:val="single"/>
        </w:rPr>
        <w:t>建设运营服务资格项目</w:t>
      </w:r>
      <w:r>
        <w:rPr>
          <w:rFonts w:ascii="宋体" w:hAnsi="宋体" w:cs="宋体"/>
          <w:sz w:val="24"/>
          <w:highlight w:val="none"/>
        </w:rPr>
        <w:t>投标邀请，本签</w:t>
      </w:r>
      <w:r>
        <w:rPr>
          <w:rFonts w:hint="eastAsia" w:ascii="宋体" w:hAnsi="宋体" w:cs="宋体"/>
          <w:sz w:val="24"/>
          <w:highlight w:val="none"/>
          <w:lang w:val="en-US" w:eastAsia="zh-CN"/>
        </w:rPr>
        <w:t>章</w:t>
      </w:r>
      <w:r>
        <w:rPr>
          <w:rFonts w:ascii="宋体" w:hAnsi="宋体" w:cs="宋体"/>
          <w:sz w:val="24"/>
          <w:highlight w:val="none"/>
        </w:rPr>
        <w:t>人愿意参加投标，如有欺诈、隐瞒事实违法行为，愿接受相关部门的依法处理。</w:t>
      </w:r>
    </w:p>
    <w:p>
      <w:pPr>
        <w:spacing w:line="400" w:lineRule="exact"/>
        <w:ind w:left="570"/>
        <w:rPr>
          <w:rFonts w:ascii="宋体" w:hAnsi="宋体" w:cs="宋体"/>
          <w:sz w:val="24"/>
          <w:highlight w:val="none"/>
        </w:rPr>
      </w:pPr>
      <w:r>
        <w:rPr>
          <w:rFonts w:ascii="宋体" w:hAnsi="宋体" w:cs="宋体"/>
          <w:sz w:val="24"/>
          <w:highlight w:val="none"/>
        </w:rPr>
        <w:t>一、我方作出以下承诺：</w:t>
      </w:r>
    </w:p>
    <w:p>
      <w:pPr>
        <w:spacing w:line="400" w:lineRule="exact"/>
        <w:ind w:left="569" w:hanging="568" w:hangingChars="237"/>
        <w:rPr>
          <w:rFonts w:ascii="宋体" w:hAnsi="宋体" w:cs="宋体"/>
          <w:sz w:val="24"/>
          <w:highlight w:val="none"/>
        </w:rPr>
      </w:pPr>
      <w:r>
        <w:rPr>
          <w:rFonts w:ascii="宋体" w:hAnsi="宋体" w:cs="宋体"/>
          <w:sz w:val="24"/>
          <w:highlight w:val="none"/>
        </w:rPr>
        <w:t>1.我方(</w:t>
      </w:r>
      <w:r>
        <w:rPr>
          <w:rFonts w:ascii="宋体" w:hAnsi="宋体" w:cs="宋体"/>
          <w:sz w:val="24"/>
          <w:highlight w:val="none"/>
          <w:u w:val="single"/>
        </w:rPr>
        <w:t>填“具有”/“不具有”</w:t>
      </w:r>
      <w:r>
        <w:rPr>
          <w:rFonts w:ascii="宋体" w:hAnsi="宋体" w:cs="宋体"/>
          <w:sz w:val="24"/>
          <w:highlight w:val="none"/>
        </w:rPr>
        <w:t xml:space="preserve">)独立承担民事责任的能力； </w:t>
      </w:r>
    </w:p>
    <w:p>
      <w:pPr>
        <w:spacing w:line="400" w:lineRule="exact"/>
        <w:ind w:left="569" w:hanging="568" w:hangingChars="237"/>
        <w:rPr>
          <w:rFonts w:ascii="宋体" w:hAnsi="宋体" w:cs="宋体"/>
          <w:sz w:val="24"/>
          <w:highlight w:val="none"/>
        </w:rPr>
      </w:pPr>
      <w:r>
        <w:rPr>
          <w:rFonts w:ascii="宋体" w:hAnsi="宋体" w:cs="宋体"/>
          <w:sz w:val="24"/>
          <w:highlight w:val="none"/>
        </w:rPr>
        <w:t>2.我方(</w:t>
      </w:r>
      <w:r>
        <w:rPr>
          <w:rFonts w:ascii="宋体" w:hAnsi="宋体" w:cs="宋体"/>
          <w:sz w:val="24"/>
          <w:highlight w:val="none"/>
          <w:u w:val="single"/>
        </w:rPr>
        <w:t>填“具有”/“不具有”</w:t>
      </w:r>
      <w:r>
        <w:rPr>
          <w:rFonts w:ascii="宋体" w:hAnsi="宋体" w:cs="宋体"/>
          <w:sz w:val="24"/>
          <w:highlight w:val="none"/>
        </w:rPr>
        <w:t xml:space="preserve">)良好的商业信誉和健全的财务会计制度； </w:t>
      </w:r>
    </w:p>
    <w:p>
      <w:pPr>
        <w:spacing w:line="400" w:lineRule="exact"/>
        <w:ind w:left="569" w:hanging="568" w:hangingChars="237"/>
        <w:rPr>
          <w:rFonts w:ascii="宋体" w:hAnsi="宋体" w:cs="宋体"/>
          <w:sz w:val="24"/>
          <w:highlight w:val="none"/>
        </w:rPr>
      </w:pPr>
      <w:r>
        <w:rPr>
          <w:rFonts w:ascii="宋体" w:hAnsi="宋体" w:cs="宋体"/>
          <w:sz w:val="24"/>
          <w:highlight w:val="none"/>
        </w:rPr>
        <w:t>3.我方(</w:t>
      </w:r>
      <w:r>
        <w:rPr>
          <w:rFonts w:ascii="宋体" w:hAnsi="宋体" w:cs="宋体"/>
          <w:sz w:val="24"/>
          <w:highlight w:val="none"/>
          <w:u w:val="single"/>
        </w:rPr>
        <w:t>填“具有”/“不具有”</w:t>
      </w:r>
      <w:r>
        <w:rPr>
          <w:rFonts w:ascii="宋体" w:hAnsi="宋体" w:cs="宋体"/>
          <w:sz w:val="24"/>
          <w:highlight w:val="none"/>
        </w:rPr>
        <w:t xml:space="preserve">)履行合同所必需的设备和专业技术能力； </w:t>
      </w:r>
    </w:p>
    <w:p>
      <w:pPr>
        <w:spacing w:line="400" w:lineRule="exact"/>
        <w:ind w:left="569" w:hanging="568" w:hangingChars="237"/>
        <w:rPr>
          <w:rFonts w:ascii="宋体" w:hAnsi="宋体" w:cs="宋体"/>
          <w:sz w:val="24"/>
          <w:highlight w:val="none"/>
        </w:rPr>
      </w:pPr>
      <w:r>
        <w:rPr>
          <w:rFonts w:ascii="宋体" w:hAnsi="宋体" w:cs="宋体"/>
          <w:sz w:val="24"/>
          <w:highlight w:val="none"/>
        </w:rPr>
        <w:t>4.我方(</w:t>
      </w:r>
      <w:r>
        <w:rPr>
          <w:rFonts w:ascii="宋体" w:hAnsi="宋体" w:cs="宋体"/>
          <w:sz w:val="24"/>
          <w:highlight w:val="none"/>
          <w:u w:val="single"/>
        </w:rPr>
        <w:t>填“有”/“无”</w:t>
      </w:r>
      <w:r>
        <w:rPr>
          <w:rFonts w:ascii="宋体" w:hAnsi="宋体" w:cs="宋体"/>
          <w:sz w:val="24"/>
          <w:highlight w:val="none"/>
        </w:rPr>
        <w:t xml:space="preserve">)依法缴纳税收和社会保障资金的良好记录； </w:t>
      </w:r>
    </w:p>
    <w:p>
      <w:pPr>
        <w:spacing w:line="400" w:lineRule="exact"/>
        <w:ind w:left="569" w:hanging="568" w:hangingChars="237"/>
        <w:rPr>
          <w:rFonts w:ascii="宋体" w:hAnsi="宋体" w:cs="宋体"/>
          <w:sz w:val="24"/>
          <w:highlight w:val="none"/>
        </w:rPr>
      </w:pPr>
      <w:r>
        <w:rPr>
          <w:rFonts w:ascii="宋体" w:hAnsi="宋体" w:cs="宋体"/>
          <w:sz w:val="24"/>
          <w:highlight w:val="none"/>
        </w:rPr>
        <w:t>5.我方参与本项目采购前三年内，在经营活动中(</w:t>
      </w:r>
      <w:r>
        <w:rPr>
          <w:rFonts w:ascii="宋体" w:hAnsi="宋体" w:cs="宋体"/>
          <w:sz w:val="24"/>
          <w:highlight w:val="none"/>
          <w:u w:val="single"/>
        </w:rPr>
        <w:t>填“有”或“无”</w:t>
      </w:r>
      <w:r>
        <w:rPr>
          <w:rFonts w:ascii="宋体" w:hAnsi="宋体" w:cs="宋体"/>
          <w:sz w:val="24"/>
          <w:highlight w:val="none"/>
        </w:rPr>
        <w:t xml:space="preserve">)重大违法记录； </w:t>
      </w:r>
    </w:p>
    <w:p>
      <w:pPr>
        <w:spacing w:line="400" w:lineRule="exact"/>
        <w:ind w:left="569" w:hanging="568" w:hangingChars="237"/>
        <w:rPr>
          <w:rFonts w:ascii="宋体" w:hAnsi="宋体" w:cs="宋体"/>
          <w:sz w:val="24"/>
          <w:highlight w:val="none"/>
        </w:rPr>
      </w:pPr>
      <w:r>
        <w:rPr>
          <w:rFonts w:ascii="宋体" w:hAnsi="宋体" w:cs="宋体"/>
          <w:sz w:val="24"/>
          <w:highlight w:val="none"/>
        </w:rPr>
        <w:t>6.我方(</w:t>
      </w:r>
      <w:r>
        <w:rPr>
          <w:rFonts w:ascii="宋体" w:hAnsi="宋体" w:cs="宋体"/>
          <w:sz w:val="24"/>
          <w:highlight w:val="none"/>
          <w:u w:val="single"/>
        </w:rPr>
        <w:t>填“符合”/“不符合”</w:t>
      </w:r>
      <w:r>
        <w:rPr>
          <w:rFonts w:ascii="宋体" w:hAnsi="宋体" w:cs="宋体"/>
          <w:sz w:val="24"/>
          <w:highlight w:val="none"/>
        </w:rPr>
        <w:t>)法律、行政法规规定的其他条件。</w:t>
      </w:r>
    </w:p>
    <w:p>
      <w:pPr>
        <w:spacing w:line="400" w:lineRule="exact"/>
        <w:ind w:hanging="8"/>
        <w:rPr>
          <w:rFonts w:ascii="宋体" w:hAnsi="宋体" w:cs="宋体"/>
          <w:sz w:val="24"/>
          <w:highlight w:val="none"/>
        </w:rPr>
      </w:pPr>
      <w:r>
        <w:rPr>
          <w:rFonts w:ascii="宋体" w:hAnsi="宋体" w:cs="宋体"/>
          <w:sz w:val="24"/>
          <w:highlight w:val="none"/>
        </w:rPr>
        <w:t>7.我方(</w:t>
      </w:r>
      <w:r>
        <w:rPr>
          <w:rFonts w:ascii="宋体" w:hAnsi="宋体" w:cs="宋体"/>
          <w:sz w:val="24"/>
          <w:highlight w:val="none"/>
          <w:u w:val="single"/>
        </w:rPr>
        <w:t>填“没有”/“有”)</w:t>
      </w:r>
      <w:r>
        <w:rPr>
          <w:rFonts w:ascii="宋体" w:hAnsi="宋体" w:cs="宋体"/>
          <w:sz w:val="24"/>
          <w:highlight w:val="none"/>
        </w:rPr>
        <w:t xml:space="preserve"> 被列入失信被执行人、重大税收违法案件当事人名单、严重违法失信行为记录名单。</w:t>
      </w:r>
    </w:p>
    <w:p>
      <w:pPr>
        <w:spacing w:line="400" w:lineRule="exact"/>
        <w:ind w:left="10" w:firstLine="561" w:firstLineChars="233"/>
        <w:rPr>
          <w:rFonts w:ascii="宋体" w:hAnsi="宋体" w:cs="宋体"/>
          <w:b/>
          <w:bCs/>
          <w:sz w:val="24"/>
          <w:highlight w:val="none"/>
          <w:u w:val="single"/>
        </w:rPr>
      </w:pPr>
      <w:r>
        <w:rPr>
          <w:rFonts w:ascii="宋体" w:hAnsi="宋体" w:cs="宋体"/>
          <w:b/>
          <w:bCs/>
          <w:sz w:val="24"/>
          <w:highlight w:val="none"/>
          <w:u w:val="single"/>
        </w:rPr>
        <w:t>(注：递交投标文件时间截止后，资格审查期间查询投标人在“信用中国”网站（www.creditchina.gov.cn）相关主体信用记录，信用记录查询采取保留查询结果页面打印件的方式进行留存，经查询发现投标人被列入失信被执行人、重大税收违法案件当事人名单、严重违法失信行为记录名单的，将拒绝其投标。)</w:t>
      </w:r>
    </w:p>
    <w:p>
      <w:pPr>
        <w:spacing w:line="400" w:lineRule="exact"/>
        <w:ind w:left="10" w:firstLine="559" w:firstLineChars="233"/>
        <w:rPr>
          <w:rFonts w:ascii="宋体" w:hAnsi="宋体" w:cs="宋体"/>
          <w:sz w:val="24"/>
          <w:highlight w:val="none"/>
        </w:rPr>
      </w:pPr>
      <w:r>
        <w:rPr>
          <w:rFonts w:ascii="宋体" w:hAnsi="宋体" w:cs="宋体"/>
          <w:sz w:val="24"/>
          <w:highlight w:val="none"/>
        </w:rPr>
        <w:t>二、我方按下表要求在本表后附所需资格证明资料(</w:t>
      </w:r>
      <w:r>
        <w:rPr>
          <w:rFonts w:ascii="宋体" w:hAnsi="宋体" w:cs="宋体"/>
          <w:b/>
          <w:bCs/>
          <w:sz w:val="24"/>
          <w:highlight w:val="none"/>
        </w:rPr>
        <w:t>注：复印件/打印件均加盖投标人公章</w:t>
      </w:r>
      <w:r>
        <w:rPr>
          <w:rFonts w:ascii="宋体" w:hAnsi="宋体" w:cs="宋体"/>
          <w:sz w:val="24"/>
          <w:highlight w:val="none"/>
        </w:rPr>
        <w:t>)，并承诺所提交资料和说明是准确和真实的。</w:t>
      </w:r>
    </w:p>
    <w:tbl>
      <w:tblPr>
        <w:tblStyle w:val="35"/>
        <w:tblW w:w="9626"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7856"/>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Align w:val="center"/>
          </w:tcPr>
          <w:p>
            <w:pPr>
              <w:widowControl/>
              <w:spacing w:line="400" w:lineRule="exact"/>
              <w:jc w:val="center"/>
              <w:rPr>
                <w:rFonts w:ascii="宋体" w:hAnsi="宋体" w:cs="宋体"/>
                <w:kern w:val="0"/>
                <w:sz w:val="24"/>
                <w:highlight w:val="none"/>
              </w:rPr>
            </w:pPr>
            <w:r>
              <w:rPr>
                <w:rFonts w:ascii="宋体" w:hAnsi="宋体" w:cs="宋体"/>
                <w:kern w:val="0"/>
                <w:sz w:val="24"/>
                <w:highlight w:val="none"/>
              </w:rPr>
              <w:t>序号</w:t>
            </w:r>
          </w:p>
        </w:tc>
        <w:tc>
          <w:tcPr>
            <w:tcW w:w="7856" w:type="dxa"/>
            <w:vAlign w:val="center"/>
          </w:tcPr>
          <w:p>
            <w:pPr>
              <w:widowControl/>
              <w:spacing w:line="400" w:lineRule="exact"/>
              <w:jc w:val="center"/>
              <w:rPr>
                <w:rFonts w:ascii="宋体" w:hAnsi="宋体" w:cs="宋体"/>
                <w:kern w:val="0"/>
                <w:sz w:val="24"/>
                <w:highlight w:val="none"/>
              </w:rPr>
            </w:pPr>
            <w:r>
              <w:rPr>
                <w:rFonts w:ascii="宋体" w:hAnsi="宋体" w:cs="宋体"/>
                <w:kern w:val="0"/>
                <w:sz w:val="24"/>
                <w:highlight w:val="none"/>
              </w:rPr>
              <w:t>必须提交的资料</w:t>
            </w:r>
          </w:p>
        </w:tc>
        <w:tc>
          <w:tcPr>
            <w:tcW w:w="1100" w:type="dxa"/>
            <w:vAlign w:val="center"/>
          </w:tcPr>
          <w:p>
            <w:pPr>
              <w:widowControl/>
              <w:spacing w:line="400" w:lineRule="exact"/>
              <w:jc w:val="center"/>
              <w:rPr>
                <w:rFonts w:ascii="宋体" w:hAnsi="宋体" w:cs="宋体"/>
                <w:kern w:val="0"/>
                <w:sz w:val="24"/>
                <w:highlight w:val="none"/>
              </w:rPr>
            </w:pPr>
            <w:r>
              <w:rPr>
                <w:rFonts w:ascii="宋体" w:hAnsi="宋体" w:cs="宋体"/>
                <w:kern w:val="0"/>
                <w:sz w:val="24"/>
                <w:highlight w:val="none"/>
              </w:rPr>
              <w:t>资料所在页码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0" w:type="dxa"/>
            <w:vAlign w:val="center"/>
          </w:tcPr>
          <w:p>
            <w:pPr>
              <w:jc w:val="center"/>
              <w:rPr>
                <w:rFonts w:ascii="宋体" w:hAnsi="宋体" w:cs="宋体"/>
                <w:kern w:val="0"/>
                <w:sz w:val="24"/>
                <w:highlight w:val="none"/>
              </w:rPr>
            </w:pPr>
            <w:r>
              <w:rPr>
                <w:rFonts w:ascii="宋体" w:hAnsi="宋体" w:cs="宋体"/>
                <w:sz w:val="24"/>
                <w:highlight w:val="none"/>
              </w:rPr>
              <w:t>1</w:t>
            </w:r>
          </w:p>
        </w:tc>
        <w:tc>
          <w:tcPr>
            <w:tcW w:w="7856" w:type="dxa"/>
            <w:vAlign w:val="center"/>
          </w:tcPr>
          <w:p>
            <w:pPr>
              <w:rPr>
                <w:rFonts w:ascii="宋体" w:hAnsi="宋体" w:cs="宋体"/>
                <w:kern w:val="0"/>
                <w:sz w:val="24"/>
                <w:highlight w:val="none"/>
              </w:rPr>
            </w:pPr>
            <w:r>
              <w:rPr>
                <w:rFonts w:ascii="宋体" w:hAnsi="宋体" w:cs="宋体"/>
                <w:sz w:val="24"/>
                <w:highlight w:val="none"/>
              </w:rPr>
              <w:t>营业执照副本，或其他组织等证明文件的复印件。</w:t>
            </w:r>
          </w:p>
        </w:tc>
        <w:tc>
          <w:tcPr>
            <w:tcW w:w="1100" w:type="dxa"/>
            <w:vAlign w:val="center"/>
          </w:tcPr>
          <w:p>
            <w:pPr>
              <w:widowControl/>
              <w:spacing w:line="400" w:lineRule="exact"/>
              <w:jc w:val="center"/>
              <w:rPr>
                <w:rFonts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Align w:val="center"/>
          </w:tcPr>
          <w:p>
            <w:pPr>
              <w:jc w:val="center"/>
              <w:rPr>
                <w:rFonts w:ascii="宋体" w:hAnsi="宋体" w:cs="宋体"/>
                <w:kern w:val="0"/>
                <w:sz w:val="24"/>
                <w:highlight w:val="none"/>
              </w:rPr>
            </w:pPr>
            <w:r>
              <w:rPr>
                <w:rFonts w:ascii="宋体" w:hAnsi="宋体" w:cs="宋体"/>
                <w:sz w:val="24"/>
                <w:highlight w:val="none"/>
              </w:rPr>
              <w:t>2</w:t>
            </w:r>
          </w:p>
        </w:tc>
        <w:tc>
          <w:tcPr>
            <w:tcW w:w="7856" w:type="dxa"/>
            <w:vAlign w:val="center"/>
          </w:tcPr>
          <w:p>
            <w:pPr>
              <w:rPr>
                <w:rFonts w:ascii="宋体" w:hAnsi="宋体" w:cs="宋体"/>
                <w:kern w:val="0"/>
                <w:sz w:val="24"/>
                <w:highlight w:val="none"/>
              </w:rPr>
            </w:pPr>
            <w:r>
              <w:rPr>
                <w:rFonts w:ascii="宋体" w:hAnsi="宋体" w:cs="宋体"/>
                <w:sz w:val="24"/>
                <w:highlight w:val="none"/>
              </w:rPr>
              <w:t>履行合同所必需的设备和专业技术能力的证明材料：投标人可提供但不限于以下举例的证明材料(如经营场所、所拥有的设备、资源等图片描述或材料复印件）。</w:t>
            </w:r>
          </w:p>
        </w:tc>
        <w:tc>
          <w:tcPr>
            <w:tcW w:w="1100" w:type="dxa"/>
            <w:vAlign w:val="center"/>
          </w:tcPr>
          <w:p>
            <w:pPr>
              <w:widowControl/>
              <w:spacing w:line="400" w:lineRule="exact"/>
              <w:jc w:val="center"/>
              <w:rPr>
                <w:rFonts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Align w:val="center"/>
          </w:tcPr>
          <w:p>
            <w:pPr>
              <w:jc w:val="center"/>
              <w:rPr>
                <w:rFonts w:ascii="宋体" w:hAnsi="宋体" w:cs="宋体"/>
                <w:kern w:val="0"/>
                <w:sz w:val="24"/>
                <w:highlight w:val="none"/>
              </w:rPr>
            </w:pPr>
            <w:r>
              <w:rPr>
                <w:rFonts w:ascii="宋体" w:hAnsi="宋体" w:cs="宋体"/>
                <w:sz w:val="24"/>
                <w:highlight w:val="none"/>
              </w:rPr>
              <w:t>3</w:t>
            </w:r>
          </w:p>
        </w:tc>
        <w:tc>
          <w:tcPr>
            <w:tcW w:w="7856" w:type="dxa"/>
            <w:vAlign w:val="center"/>
          </w:tcPr>
          <w:p>
            <w:pPr>
              <w:rPr>
                <w:rFonts w:ascii="宋体" w:hAnsi="宋体" w:cs="宋体"/>
                <w:sz w:val="24"/>
                <w:highlight w:val="none"/>
              </w:rPr>
            </w:pPr>
            <w:r>
              <w:rPr>
                <w:rFonts w:ascii="宋体" w:hAnsi="宋体" w:cs="宋体"/>
                <w:sz w:val="24"/>
                <w:highlight w:val="none"/>
              </w:rPr>
              <w:t>依法缴纳税收和社会保障资金的相关材料：</w:t>
            </w:r>
          </w:p>
          <w:p>
            <w:pPr>
              <w:rPr>
                <w:rFonts w:ascii="宋体" w:hAnsi="宋体" w:cs="宋体"/>
                <w:sz w:val="24"/>
                <w:highlight w:val="none"/>
              </w:rPr>
            </w:pPr>
            <w:r>
              <w:rPr>
                <w:rFonts w:ascii="宋体" w:hAnsi="宋体" w:cs="宋体"/>
                <w:sz w:val="24"/>
                <w:highlight w:val="none"/>
              </w:rPr>
              <w:t xml:space="preserve">1.税务登记证(地税或国税)复印件（如无，须提供相关证明材料。已按工商部门相关规定，取得“一照一码”营业执照的，则无需提供。） </w:t>
            </w:r>
          </w:p>
          <w:p>
            <w:pPr>
              <w:rPr>
                <w:rFonts w:ascii="宋体" w:hAnsi="宋体" w:cs="宋体"/>
                <w:sz w:val="24"/>
                <w:highlight w:val="none"/>
              </w:rPr>
            </w:pPr>
            <w:r>
              <w:rPr>
                <w:rFonts w:ascii="宋体" w:hAnsi="宋体" w:cs="宋体"/>
                <w:sz w:val="24"/>
                <w:highlight w:val="none"/>
              </w:rPr>
              <w:t>2.20</w:t>
            </w:r>
            <w:r>
              <w:rPr>
                <w:rFonts w:hint="eastAsia" w:ascii="宋体" w:hAnsi="宋体" w:cs="宋体"/>
                <w:sz w:val="24"/>
                <w:highlight w:val="none"/>
                <w:lang w:val="en-US" w:eastAsia="zh-CN"/>
              </w:rPr>
              <w:t>21</w:t>
            </w:r>
            <w:r>
              <w:rPr>
                <w:rFonts w:ascii="宋体" w:hAnsi="宋体" w:cs="宋体"/>
                <w:sz w:val="24"/>
                <w:highlight w:val="none"/>
              </w:rPr>
              <w:t>年内任一月份或任一季度缴纳税收和社会保险的凭证复印件。</w:t>
            </w:r>
          </w:p>
          <w:p>
            <w:pPr>
              <w:rPr>
                <w:rFonts w:ascii="宋体" w:hAnsi="宋体" w:cs="宋体"/>
                <w:kern w:val="0"/>
                <w:sz w:val="24"/>
                <w:highlight w:val="none"/>
              </w:rPr>
            </w:pPr>
            <w:r>
              <w:rPr>
                <w:rFonts w:ascii="宋体" w:hAnsi="宋体" w:cs="宋体"/>
                <w:sz w:val="24"/>
                <w:highlight w:val="none"/>
              </w:rPr>
              <w:t>3.如依法免税或不需要缴纳社会保障资金的，应提供相应文件证明。</w:t>
            </w:r>
          </w:p>
        </w:tc>
        <w:tc>
          <w:tcPr>
            <w:tcW w:w="1100" w:type="dxa"/>
            <w:vAlign w:val="center"/>
          </w:tcPr>
          <w:p>
            <w:pPr>
              <w:widowControl/>
              <w:spacing w:line="400" w:lineRule="exact"/>
              <w:jc w:val="center"/>
              <w:rPr>
                <w:rFonts w:ascii="宋体" w:hAnsi="宋体" w:cs="宋体"/>
                <w:kern w:val="0"/>
                <w:sz w:val="24"/>
                <w:highlight w:val="none"/>
              </w:rPr>
            </w:pPr>
          </w:p>
        </w:tc>
      </w:tr>
    </w:tbl>
    <w:p>
      <w:pPr>
        <w:spacing w:line="400" w:lineRule="exact"/>
        <w:ind w:left="239" w:leftChars="114" w:firstLine="472" w:firstLineChars="196"/>
        <w:rPr>
          <w:rFonts w:ascii="宋体" w:hAnsi="宋体" w:cs="宋体"/>
          <w:b/>
          <w:bCs/>
          <w:sz w:val="24"/>
          <w:highlight w:val="none"/>
          <w:u w:val="single"/>
        </w:rPr>
      </w:pPr>
      <w:r>
        <w:rPr>
          <w:rFonts w:ascii="宋体" w:hAnsi="宋体" w:cs="宋体"/>
          <w:b/>
          <w:bCs/>
          <w:sz w:val="24"/>
          <w:highlight w:val="none"/>
          <w:u w:val="single"/>
        </w:rPr>
        <w:t>三、资格审查时，以《投标文件-资格审查部分》的资料内容为评审依据，《投标文件-资格审查部分》中所提供的资料不符合资格审查要求的，视为不通过资格审查。投标人应仔细检查所提交的资料，因资料错放或缺失等所造成的不良后果，由投标人自行承担。</w:t>
      </w:r>
    </w:p>
    <w:p>
      <w:pPr>
        <w:autoSpaceDE w:val="0"/>
        <w:autoSpaceDN w:val="0"/>
        <w:adjustRightInd w:val="0"/>
        <w:spacing w:line="480" w:lineRule="auto"/>
        <w:ind w:right="246"/>
        <w:rPr>
          <w:rFonts w:ascii="宋体" w:hAnsi="宋体" w:cs="宋体"/>
          <w:kern w:val="0"/>
          <w:sz w:val="22"/>
          <w:szCs w:val="28"/>
          <w:highlight w:val="none"/>
        </w:rPr>
      </w:pPr>
    </w:p>
    <w:p>
      <w:pPr>
        <w:autoSpaceDE w:val="0"/>
        <w:autoSpaceDN w:val="0"/>
        <w:adjustRightInd w:val="0"/>
        <w:spacing w:line="480" w:lineRule="auto"/>
        <w:ind w:right="246"/>
        <w:rPr>
          <w:rFonts w:ascii="宋体" w:hAnsi="宋体" w:cs="宋体"/>
          <w:sz w:val="22"/>
          <w:szCs w:val="28"/>
          <w:highlight w:val="none"/>
        </w:rPr>
      </w:pPr>
      <w:r>
        <w:rPr>
          <w:rFonts w:ascii="宋体" w:hAnsi="宋体" w:cs="宋体"/>
          <w:kern w:val="0"/>
          <w:sz w:val="22"/>
          <w:szCs w:val="28"/>
          <w:highlight w:val="none"/>
        </w:rPr>
        <w:t>投标人</w:t>
      </w:r>
      <w:r>
        <w:rPr>
          <w:rFonts w:ascii="宋体" w:hAnsi="宋体" w:cs="宋体"/>
          <w:sz w:val="22"/>
          <w:szCs w:val="28"/>
          <w:highlight w:val="none"/>
        </w:rPr>
        <w:t>名称(加盖公章)：</w:t>
      </w:r>
      <w:r>
        <w:rPr>
          <w:rFonts w:ascii="宋体" w:hAnsi="宋体" w:cs="宋体"/>
          <w:sz w:val="22"/>
          <w:szCs w:val="28"/>
          <w:highlight w:val="none"/>
          <w:u w:val="single"/>
        </w:rPr>
        <w:t xml:space="preserve">              </w:t>
      </w:r>
    </w:p>
    <w:p>
      <w:pPr>
        <w:autoSpaceDE w:val="0"/>
        <w:autoSpaceDN w:val="0"/>
        <w:adjustRightInd w:val="0"/>
        <w:spacing w:line="480" w:lineRule="auto"/>
        <w:ind w:right="246"/>
        <w:rPr>
          <w:rFonts w:ascii="宋体" w:hAnsi="宋体" w:cs="宋体"/>
          <w:sz w:val="22"/>
          <w:szCs w:val="28"/>
          <w:highlight w:val="none"/>
          <w:u w:val="single"/>
        </w:rPr>
      </w:pPr>
      <w:r>
        <w:rPr>
          <w:rFonts w:ascii="宋体" w:hAnsi="宋体" w:cs="宋体"/>
          <w:kern w:val="0"/>
          <w:sz w:val="22"/>
          <w:szCs w:val="28"/>
          <w:highlight w:val="none"/>
        </w:rPr>
        <w:t>投标人法定代表人/负责人（或法定代表人/负责人授权代表）签字</w:t>
      </w:r>
      <w:r>
        <w:rPr>
          <w:rFonts w:ascii="宋体" w:hAnsi="宋体" w:cs="宋体"/>
          <w:sz w:val="22"/>
          <w:szCs w:val="28"/>
          <w:highlight w:val="none"/>
        </w:rPr>
        <w:t>：</w:t>
      </w:r>
      <w:r>
        <w:rPr>
          <w:rFonts w:ascii="宋体" w:hAnsi="宋体" w:cs="宋体"/>
          <w:sz w:val="22"/>
          <w:szCs w:val="28"/>
          <w:highlight w:val="none"/>
          <w:u w:val="single"/>
        </w:rPr>
        <w:t xml:space="preserve">             </w:t>
      </w:r>
    </w:p>
    <w:p>
      <w:pPr>
        <w:autoSpaceDE w:val="0"/>
        <w:autoSpaceDN w:val="0"/>
        <w:adjustRightInd w:val="0"/>
        <w:spacing w:line="480" w:lineRule="auto"/>
        <w:ind w:right="246"/>
        <w:rPr>
          <w:rFonts w:ascii="宋体" w:hAnsi="宋体" w:cs="宋体"/>
          <w:kern w:val="0"/>
          <w:sz w:val="22"/>
          <w:szCs w:val="28"/>
          <w:highlight w:val="none"/>
        </w:rPr>
      </w:pPr>
      <w:r>
        <w:rPr>
          <w:rFonts w:ascii="宋体" w:hAnsi="宋体" w:cs="宋体"/>
          <w:kern w:val="0"/>
          <w:sz w:val="22"/>
          <w:szCs w:val="28"/>
          <w:highlight w:val="none"/>
        </w:rPr>
        <w:t>地址：</w:t>
      </w:r>
      <w:r>
        <w:rPr>
          <w:rFonts w:ascii="宋体" w:hAnsi="宋体" w:cs="宋体"/>
          <w:kern w:val="0"/>
          <w:sz w:val="22"/>
          <w:szCs w:val="28"/>
          <w:highlight w:val="none"/>
          <w:u w:val="single"/>
        </w:rPr>
        <w:t xml:space="preserve">             </w:t>
      </w:r>
      <w:r>
        <w:rPr>
          <w:rFonts w:ascii="宋体" w:hAnsi="宋体" w:cs="宋体"/>
          <w:kern w:val="0"/>
          <w:sz w:val="22"/>
          <w:szCs w:val="28"/>
          <w:highlight w:val="none"/>
        </w:rPr>
        <w:t xml:space="preserve">    </w:t>
      </w:r>
    </w:p>
    <w:p>
      <w:pPr>
        <w:spacing w:line="480" w:lineRule="auto"/>
        <w:rPr>
          <w:rFonts w:ascii="宋体" w:hAnsi="宋体" w:cs="宋体"/>
          <w:kern w:val="0"/>
          <w:sz w:val="22"/>
          <w:szCs w:val="28"/>
          <w:highlight w:val="none"/>
          <w:u w:val="single"/>
        </w:rPr>
      </w:pPr>
      <w:r>
        <w:rPr>
          <w:rFonts w:ascii="宋体" w:hAnsi="宋体" w:cs="宋体"/>
          <w:kern w:val="0"/>
          <w:sz w:val="22"/>
          <w:szCs w:val="28"/>
          <w:highlight w:val="none"/>
        </w:rPr>
        <w:t>电话：</w:t>
      </w:r>
      <w:r>
        <w:rPr>
          <w:rFonts w:ascii="宋体" w:hAnsi="宋体" w:cs="宋体"/>
          <w:kern w:val="0"/>
          <w:sz w:val="22"/>
          <w:szCs w:val="28"/>
          <w:highlight w:val="none"/>
          <w:u w:val="single"/>
        </w:rPr>
        <w:t xml:space="preserve">              </w:t>
      </w:r>
    </w:p>
    <w:p>
      <w:pPr>
        <w:spacing w:line="480" w:lineRule="auto"/>
        <w:rPr>
          <w:rFonts w:ascii="宋体" w:hAnsi="宋体" w:cs="宋体"/>
          <w:sz w:val="25"/>
          <w:highlight w:val="none"/>
        </w:rPr>
      </w:pPr>
      <w:r>
        <w:rPr>
          <w:rFonts w:ascii="宋体" w:hAnsi="宋体" w:cs="宋体"/>
          <w:kern w:val="0"/>
          <w:sz w:val="22"/>
          <w:szCs w:val="28"/>
          <w:highlight w:val="none"/>
        </w:rPr>
        <w:t>传真：</w:t>
      </w:r>
      <w:r>
        <w:rPr>
          <w:rFonts w:ascii="宋体" w:hAnsi="宋体" w:cs="宋体"/>
          <w:kern w:val="0"/>
          <w:sz w:val="22"/>
          <w:szCs w:val="28"/>
          <w:highlight w:val="none"/>
          <w:u w:val="single"/>
        </w:rPr>
        <w:t xml:space="preserve">            </w:t>
      </w:r>
    </w:p>
    <w:p>
      <w:pPr>
        <w:rPr>
          <w:rFonts w:ascii="宋体" w:hAnsi="宋体" w:cs="宋体"/>
          <w:highlight w:val="none"/>
        </w:rPr>
      </w:pPr>
    </w:p>
    <w:p>
      <w:pPr>
        <w:pStyle w:val="18"/>
        <w:tabs>
          <w:tab w:val="left" w:pos="1260"/>
        </w:tabs>
        <w:spacing w:line="360" w:lineRule="auto"/>
        <w:jc w:val="center"/>
        <w:rPr>
          <w:rFonts w:hAnsi="宋体" w:cs="宋体"/>
          <w:b/>
          <w:spacing w:val="100"/>
          <w:w w:val="110"/>
          <w:kern w:val="0"/>
          <w:sz w:val="44"/>
          <w:szCs w:val="44"/>
          <w:highlight w:val="none"/>
        </w:rPr>
      </w:pPr>
      <w:r>
        <w:rPr>
          <w:rFonts w:hAnsi="宋体" w:cs="宋体"/>
          <w:b/>
          <w:spacing w:val="100"/>
          <w:w w:val="110"/>
          <w:kern w:val="0"/>
          <w:sz w:val="44"/>
          <w:szCs w:val="44"/>
          <w:highlight w:val="none"/>
        </w:rPr>
        <w:br w:type="page"/>
      </w:r>
    </w:p>
    <w:p>
      <w:pPr>
        <w:pStyle w:val="18"/>
        <w:tabs>
          <w:tab w:val="left" w:pos="1260"/>
        </w:tabs>
        <w:spacing w:line="360" w:lineRule="auto"/>
        <w:jc w:val="center"/>
        <w:rPr>
          <w:rFonts w:hAnsi="宋体" w:cs="宋体"/>
          <w:b/>
          <w:spacing w:val="100"/>
          <w:w w:val="110"/>
          <w:kern w:val="0"/>
          <w:sz w:val="44"/>
          <w:szCs w:val="44"/>
          <w:highlight w:val="none"/>
        </w:rPr>
      </w:pPr>
      <w:r>
        <w:rPr>
          <w:rFonts w:hAnsi="宋体" w:cs="宋体"/>
          <w:b/>
          <w:spacing w:val="100"/>
          <w:w w:val="110"/>
          <w:kern w:val="0"/>
          <w:sz w:val="44"/>
          <w:szCs w:val="44"/>
          <w:highlight w:val="none"/>
        </w:rPr>
        <w:t>投标文件</w:t>
      </w:r>
    </w:p>
    <w:p>
      <w:pPr>
        <w:rPr>
          <w:rFonts w:ascii="宋体" w:hAnsi="宋体" w:cs="宋体"/>
          <w:highlight w:val="none"/>
        </w:rPr>
      </w:pPr>
    </w:p>
    <w:p>
      <w:pPr>
        <w:pStyle w:val="18"/>
        <w:spacing w:line="360" w:lineRule="auto"/>
        <w:jc w:val="center"/>
        <w:rPr>
          <w:rFonts w:hAnsi="宋体" w:cs="宋体"/>
          <w:b/>
          <w:sz w:val="44"/>
          <w:szCs w:val="44"/>
          <w:highlight w:val="none"/>
        </w:rPr>
      </w:pPr>
      <w:r>
        <w:rPr>
          <w:rFonts w:hAnsi="宋体" w:cs="宋体"/>
          <w:b/>
          <w:sz w:val="44"/>
          <w:szCs w:val="44"/>
          <w:highlight w:val="none"/>
        </w:rPr>
        <w:t>（正本/副本）</w:t>
      </w:r>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ind w:firstLine="1501" w:firstLineChars="534"/>
        <w:rPr>
          <w:rFonts w:hAnsi="宋体" w:cs="宋体"/>
          <w:b/>
          <w:sz w:val="28"/>
          <w:szCs w:val="28"/>
          <w:highlight w:val="none"/>
          <w:u w:val="single"/>
        </w:rPr>
      </w:pPr>
      <w:r>
        <w:rPr>
          <w:rFonts w:hAnsi="宋体" w:cs="宋体"/>
          <w:b/>
          <w:sz w:val="28"/>
          <w:szCs w:val="28"/>
          <w:highlight w:val="none"/>
        </w:rPr>
        <w:t>采购项目编号：</w:t>
      </w:r>
      <w:r>
        <w:rPr>
          <w:rFonts w:hAnsi="宋体" w:cs="宋体"/>
          <w:b/>
          <w:sz w:val="28"/>
          <w:szCs w:val="28"/>
          <w:highlight w:val="none"/>
          <w:u w:val="single"/>
        </w:rPr>
        <w:t xml:space="preserve">              </w:t>
      </w:r>
    </w:p>
    <w:p>
      <w:pPr>
        <w:pStyle w:val="18"/>
        <w:spacing w:line="360" w:lineRule="auto"/>
        <w:ind w:firstLine="1661" w:firstLineChars="591"/>
        <w:rPr>
          <w:rFonts w:hAnsi="宋体" w:cs="宋体"/>
          <w:b/>
          <w:sz w:val="28"/>
          <w:szCs w:val="28"/>
          <w:highlight w:val="none"/>
        </w:rPr>
      </w:pPr>
    </w:p>
    <w:p>
      <w:pPr>
        <w:pStyle w:val="18"/>
        <w:spacing w:line="360" w:lineRule="auto"/>
        <w:ind w:left="3357" w:leftChars="699" w:hanging="1889" w:hangingChars="672"/>
        <w:rPr>
          <w:rFonts w:hAnsi="宋体" w:cs="宋体"/>
          <w:b/>
          <w:sz w:val="28"/>
          <w:szCs w:val="28"/>
          <w:highlight w:val="none"/>
        </w:rPr>
      </w:pPr>
      <w:r>
        <w:rPr>
          <w:rFonts w:hAnsi="宋体" w:cs="宋体"/>
          <w:b/>
          <w:sz w:val="28"/>
          <w:szCs w:val="28"/>
          <w:highlight w:val="none"/>
        </w:rPr>
        <w:t>采购项目名称：</w:t>
      </w:r>
      <w:r>
        <w:rPr>
          <w:rFonts w:hAnsi="宋体" w:cs="宋体"/>
          <w:b/>
          <w:sz w:val="28"/>
          <w:szCs w:val="28"/>
          <w:highlight w:val="none"/>
          <w:u w:val="single"/>
        </w:rPr>
        <w:t xml:space="preserve">               </w:t>
      </w:r>
    </w:p>
    <w:p>
      <w:pPr>
        <w:pStyle w:val="18"/>
        <w:spacing w:line="360" w:lineRule="auto"/>
        <w:ind w:firstLine="843" w:firstLineChars="300"/>
        <w:rPr>
          <w:rFonts w:hAnsi="宋体" w:cs="宋体"/>
          <w:b/>
          <w:sz w:val="28"/>
          <w:szCs w:val="28"/>
          <w:highlight w:val="none"/>
        </w:rPr>
      </w:pPr>
    </w:p>
    <w:p>
      <w:pPr>
        <w:pStyle w:val="18"/>
        <w:spacing w:line="360" w:lineRule="auto"/>
        <w:ind w:firstLine="843" w:firstLineChars="300"/>
        <w:rPr>
          <w:rFonts w:hAnsi="宋体" w:cs="宋体"/>
          <w:b/>
          <w:sz w:val="28"/>
          <w:szCs w:val="28"/>
          <w:highlight w:val="none"/>
        </w:rPr>
      </w:pPr>
    </w:p>
    <w:p>
      <w:pPr>
        <w:pStyle w:val="18"/>
        <w:spacing w:line="360" w:lineRule="auto"/>
        <w:ind w:firstLine="933" w:firstLineChars="332"/>
        <w:rPr>
          <w:rFonts w:hAnsi="宋体" w:cs="宋体"/>
          <w:b/>
          <w:sz w:val="28"/>
          <w:szCs w:val="28"/>
          <w:highlight w:val="none"/>
        </w:rPr>
      </w:pPr>
    </w:p>
    <w:p>
      <w:pPr>
        <w:pStyle w:val="18"/>
        <w:spacing w:line="360" w:lineRule="auto"/>
        <w:ind w:firstLine="1521" w:firstLineChars="541"/>
        <w:rPr>
          <w:rFonts w:hAnsi="宋体" w:cs="宋体"/>
          <w:b/>
          <w:sz w:val="28"/>
          <w:szCs w:val="28"/>
          <w:highlight w:val="none"/>
          <w:u w:val="single"/>
        </w:rPr>
      </w:pPr>
      <w:r>
        <w:rPr>
          <w:rFonts w:hAnsi="宋体" w:cs="宋体"/>
          <w:b/>
          <w:sz w:val="28"/>
          <w:szCs w:val="28"/>
          <w:highlight w:val="none"/>
        </w:rPr>
        <w:t>投标人名称：</w:t>
      </w:r>
      <w:r>
        <w:rPr>
          <w:rFonts w:hAnsi="宋体" w:cs="宋体"/>
          <w:b/>
          <w:sz w:val="28"/>
          <w:szCs w:val="28"/>
          <w:highlight w:val="none"/>
          <w:u w:val="single"/>
        </w:rPr>
        <w:t xml:space="preserve">                </w:t>
      </w:r>
    </w:p>
    <w:p>
      <w:pPr>
        <w:autoSpaceDE w:val="0"/>
        <w:autoSpaceDN w:val="0"/>
        <w:spacing w:line="360" w:lineRule="auto"/>
        <w:ind w:firstLine="1521" w:firstLineChars="541"/>
        <w:rPr>
          <w:rFonts w:ascii="宋体" w:hAnsi="宋体" w:cs="宋体"/>
          <w:b/>
          <w:sz w:val="28"/>
          <w:szCs w:val="28"/>
          <w:highlight w:val="none"/>
          <w:u w:val="single"/>
        </w:rPr>
      </w:pPr>
      <w:r>
        <w:rPr>
          <w:rFonts w:ascii="宋体" w:hAnsi="宋体" w:cs="宋体"/>
          <w:b/>
          <w:sz w:val="28"/>
          <w:szCs w:val="28"/>
          <w:highlight w:val="none"/>
        </w:rPr>
        <w:t>日期：</w:t>
      </w:r>
      <w:r>
        <w:rPr>
          <w:rFonts w:ascii="宋体" w:hAnsi="宋体" w:cs="宋体"/>
          <w:b/>
          <w:sz w:val="28"/>
          <w:szCs w:val="28"/>
          <w:highlight w:val="none"/>
          <w:u w:val="single"/>
        </w:rPr>
        <w:t xml:space="preserve">      </w:t>
      </w:r>
      <w:r>
        <w:rPr>
          <w:rFonts w:ascii="宋体" w:hAnsi="宋体" w:cs="宋体"/>
          <w:b/>
          <w:sz w:val="28"/>
          <w:szCs w:val="28"/>
          <w:highlight w:val="none"/>
        </w:rPr>
        <w:t>年</w:t>
      </w:r>
      <w:r>
        <w:rPr>
          <w:rFonts w:ascii="宋体" w:hAnsi="宋体" w:cs="宋体"/>
          <w:b/>
          <w:sz w:val="28"/>
          <w:szCs w:val="28"/>
          <w:highlight w:val="none"/>
          <w:u w:val="single"/>
        </w:rPr>
        <w:t xml:space="preserve">      </w:t>
      </w:r>
      <w:r>
        <w:rPr>
          <w:rFonts w:ascii="宋体" w:hAnsi="宋体" w:cs="宋体"/>
          <w:b/>
          <w:sz w:val="28"/>
          <w:szCs w:val="28"/>
          <w:highlight w:val="none"/>
        </w:rPr>
        <w:t>月</w:t>
      </w:r>
      <w:r>
        <w:rPr>
          <w:rFonts w:ascii="宋体" w:hAnsi="宋体" w:cs="宋体"/>
          <w:b/>
          <w:sz w:val="28"/>
          <w:szCs w:val="28"/>
          <w:highlight w:val="none"/>
          <w:u w:val="single"/>
        </w:rPr>
        <w:t xml:space="preserve">      </w:t>
      </w:r>
      <w:r>
        <w:rPr>
          <w:rFonts w:ascii="宋体" w:hAnsi="宋体" w:cs="宋体"/>
          <w:b/>
          <w:sz w:val="28"/>
          <w:szCs w:val="28"/>
          <w:highlight w:val="none"/>
        </w:rPr>
        <w:t>日</w:t>
      </w: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spacing w:line="360" w:lineRule="auto"/>
        <w:ind w:firstLine="570"/>
        <w:rPr>
          <w:rFonts w:ascii="宋体" w:hAnsi="宋体" w:cs="宋体"/>
          <w:sz w:val="28"/>
          <w:szCs w:val="28"/>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cs="宋体"/>
          <w:sz w:val="24"/>
          <w:highlight w:val="none"/>
        </w:rPr>
        <w:br w:type="page"/>
      </w:r>
      <w:r>
        <w:rPr>
          <w:rFonts w:ascii="宋体" w:hAnsi="宋体" w:eastAsia="宋体" w:cs="宋体"/>
          <w:sz w:val="28"/>
          <w:szCs w:val="28"/>
          <w:highlight w:val="none"/>
        </w:rPr>
        <w:t>符合性自查表</w:t>
      </w:r>
    </w:p>
    <w:tbl>
      <w:tblPr>
        <w:tblStyle w:val="35"/>
        <w:tblW w:w="955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652"/>
        <w:gridCol w:w="3384"/>
        <w:gridCol w:w="1813"/>
        <w:gridCol w:w="22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147" w:type="dxa"/>
            <w:gridSpan w:val="2"/>
            <w:vAlign w:val="center"/>
          </w:tcPr>
          <w:p>
            <w:pPr>
              <w:spacing w:before="120" w:beforeLines="50" w:after="120" w:afterLines="50" w:line="360" w:lineRule="auto"/>
              <w:jc w:val="center"/>
              <w:rPr>
                <w:rFonts w:ascii="宋体" w:hAnsi="宋体" w:cs="宋体"/>
                <w:b/>
                <w:szCs w:val="21"/>
                <w:highlight w:val="none"/>
              </w:rPr>
            </w:pPr>
            <w:r>
              <w:rPr>
                <w:rFonts w:ascii="宋体" w:hAnsi="宋体" w:cs="宋体"/>
                <w:b/>
                <w:szCs w:val="21"/>
                <w:highlight w:val="none"/>
              </w:rPr>
              <w:t>评审内容</w:t>
            </w:r>
          </w:p>
        </w:tc>
        <w:tc>
          <w:tcPr>
            <w:tcW w:w="3384" w:type="dxa"/>
            <w:vAlign w:val="center"/>
          </w:tcPr>
          <w:p>
            <w:pPr>
              <w:spacing w:before="120" w:beforeLines="50" w:after="120" w:afterLines="50" w:line="360" w:lineRule="auto"/>
              <w:jc w:val="center"/>
              <w:rPr>
                <w:rFonts w:ascii="宋体" w:hAnsi="宋体" w:cs="宋体"/>
                <w:b/>
                <w:szCs w:val="21"/>
                <w:highlight w:val="none"/>
              </w:rPr>
            </w:pPr>
            <w:r>
              <w:rPr>
                <w:rFonts w:ascii="宋体" w:hAnsi="宋体" w:cs="宋体"/>
                <w:b/>
                <w:szCs w:val="21"/>
                <w:highlight w:val="none"/>
              </w:rPr>
              <w:t>招标文件要求</w:t>
            </w:r>
          </w:p>
        </w:tc>
        <w:tc>
          <w:tcPr>
            <w:tcW w:w="1813" w:type="dxa"/>
            <w:vAlign w:val="center"/>
          </w:tcPr>
          <w:p>
            <w:pPr>
              <w:spacing w:before="120" w:beforeLines="50" w:after="120" w:afterLines="50" w:line="360" w:lineRule="auto"/>
              <w:jc w:val="center"/>
              <w:rPr>
                <w:rFonts w:ascii="宋体" w:hAnsi="宋体" w:cs="宋体"/>
                <w:b/>
                <w:szCs w:val="21"/>
                <w:highlight w:val="none"/>
              </w:rPr>
            </w:pPr>
            <w:r>
              <w:rPr>
                <w:rFonts w:ascii="宋体" w:hAnsi="宋体" w:cs="宋体"/>
                <w:b/>
                <w:szCs w:val="21"/>
                <w:highlight w:val="none"/>
              </w:rPr>
              <w:t>自查结论</w:t>
            </w:r>
          </w:p>
        </w:tc>
        <w:tc>
          <w:tcPr>
            <w:tcW w:w="2214" w:type="dxa"/>
            <w:vAlign w:val="center"/>
          </w:tcPr>
          <w:p>
            <w:pPr>
              <w:spacing w:before="120" w:beforeLines="50" w:after="120" w:afterLines="50" w:line="360" w:lineRule="auto"/>
              <w:jc w:val="center"/>
              <w:rPr>
                <w:rFonts w:ascii="宋体" w:hAnsi="宋体" w:cs="宋体"/>
                <w:b/>
                <w:szCs w:val="21"/>
                <w:highlight w:val="none"/>
              </w:rPr>
            </w:pPr>
            <w:r>
              <w:rPr>
                <w:rFonts w:ascii="宋体" w:hAnsi="宋体" w:cs="宋体"/>
                <w:b/>
                <w:szCs w:val="21"/>
                <w:highlight w:val="none"/>
              </w:rPr>
              <w:t>证明资料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95" w:type="dxa"/>
            <w:vMerge w:val="restart"/>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符合性检查</w:t>
            </w: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投标函</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按对应格式文件填写、签署、盖章(原件)</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见投标文件第  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95" w:type="dxa"/>
            <w:vMerge w:val="continue"/>
            <w:vAlign w:val="center"/>
          </w:tcPr>
          <w:p>
            <w:pPr>
              <w:spacing w:before="120" w:beforeLines="50" w:after="120" w:afterLines="50" w:line="360" w:lineRule="auto"/>
              <w:jc w:val="center"/>
              <w:rPr>
                <w:rFonts w:ascii="宋体" w:hAnsi="宋体" w:cs="宋体"/>
                <w:szCs w:val="21"/>
                <w:highlight w:val="none"/>
              </w:rPr>
            </w:pP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法定代表人/负责人授权委托书</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按对应格式文件签署、盖章(原件)</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见投标文件第  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95" w:type="dxa"/>
            <w:vMerge w:val="continue"/>
            <w:vAlign w:val="center"/>
          </w:tcPr>
          <w:p>
            <w:pPr>
              <w:spacing w:before="120" w:beforeLines="50" w:after="120" w:afterLines="50" w:line="360" w:lineRule="auto"/>
              <w:jc w:val="center"/>
              <w:rPr>
                <w:rFonts w:ascii="宋体" w:hAnsi="宋体" w:cs="宋体"/>
                <w:szCs w:val="21"/>
                <w:highlight w:val="none"/>
              </w:rPr>
            </w:pP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保证金</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详见《投标人须知一览表》的“投标保证金递交要求”</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495" w:type="dxa"/>
            <w:vMerge w:val="continue"/>
            <w:vAlign w:val="center"/>
          </w:tcPr>
          <w:p>
            <w:pPr>
              <w:spacing w:before="120" w:beforeLines="50" w:after="120" w:afterLines="50" w:line="360" w:lineRule="auto"/>
              <w:jc w:val="center"/>
              <w:rPr>
                <w:rFonts w:ascii="宋体" w:hAnsi="宋体" w:cs="宋体"/>
                <w:szCs w:val="21"/>
                <w:highlight w:val="none"/>
              </w:rPr>
            </w:pP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服务要求</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实质性响应招标文件中的服务要求</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见投标文件第  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95" w:type="dxa"/>
            <w:vMerge w:val="continue"/>
            <w:vAlign w:val="center"/>
          </w:tcPr>
          <w:p>
            <w:pPr>
              <w:spacing w:before="120" w:beforeLines="50" w:after="120" w:afterLines="50" w:line="360" w:lineRule="auto"/>
              <w:jc w:val="center"/>
              <w:rPr>
                <w:rFonts w:ascii="宋体" w:hAnsi="宋体" w:cs="宋体"/>
                <w:szCs w:val="21"/>
                <w:highlight w:val="none"/>
              </w:rPr>
            </w:pP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商务要求</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实质性响应招标文件中的商务要求</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见投标文件第  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95" w:type="dxa"/>
            <w:vMerge w:val="continue"/>
            <w:vAlign w:val="center"/>
          </w:tcPr>
          <w:p>
            <w:pPr>
              <w:spacing w:before="120" w:beforeLines="50" w:after="120" w:afterLines="50" w:line="360" w:lineRule="auto"/>
              <w:jc w:val="center"/>
              <w:rPr>
                <w:rFonts w:ascii="宋体" w:hAnsi="宋体" w:cs="宋体"/>
                <w:szCs w:val="21"/>
                <w:highlight w:val="none"/>
              </w:rPr>
            </w:pP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投标要求</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本项目只允许投标人有一个投标方案，每个投标人只能有一个报价。投标报价不得超过招标文件中规定的报价上限。</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见投标文件第  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95" w:type="dxa"/>
            <w:vMerge w:val="continue"/>
            <w:vAlign w:val="center"/>
          </w:tcPr>
          <w:p>
            <w:pPr>
              <w:spacing w:before="120" w:beforeLines="50" w:after="120" w:afterLines="50" w:line="360" w:lineRule="auto"/>
              <w:jc w:val="center"/>
              <w:rPr>
                <w:rFonts w:ascii="宋体" w:hAnsi="宋体" w:cs="宋体"/>
                <w:szCs w:val="21"/>
                <w:highlight w:val="none"/>
              </w:rPr>
            </w:pPr>
          </w:p>
        </w:tc>
        <w:tc>
          <w:tcPr>
            <w:tcW w:w="1652"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其他</w:t>
            </w:r>
          </w:p>
        </w:tc>
        <w:tc>
          <w:tcPr>
            <w:tcW w:w="3384" w:type="dxa"/>
            <w:vAlign w:val="center"/>
          </w:tcPr>
          <w:p>
            <w:pPr>
              <w:spacing w:before="120" w:beforeLines="50" w:after="120" w:afterLines="50" w:line="360" w:lineRule="auto"/>
              <w:rPr>
                <w:rFonts w:ascii="宋体" w:hAnsi="宋体" w:cs="宋体"/>
                <w:szCs w:val="21"/>
                <w:highlight w:val="none"/>
              </w:rPr>
            </w:pPr>
            <w:r>
              <w:rPr>
                <w:rFonts w:ascii="宋体" w:hAnsi="宋体" w:cs="宋体"/>
                <w:szCs w:val="21"/>
                <w:highlight w:val="none"/>
              </w:rPr>
              <w:t>法律、法规和招标文件规定的其他无效情形。</w:t>
            </w:r>
          </w:p>
        </w:tc>
        <w:tc>
          <w:tcPr>
            <w:tcW w:w="1813"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□通过 □不通过</w:t>
            </w:r>
          </w:p>
        </w:tc>
        <w:tc>
          <w:tcPr>
            <w:tcW w:w="2214" w:type="dxa"/>
            <w:vAlign w:val="center"/>
          </w:tcPr>
          <w:p>
            <w:pPr>
              <w:spacing w:before="120" w:beforeLines="50" w:after="120" w:afterLines="50" w:line="360" w:lineRule="auto"/>
              <w:jc w:val="center"/>
              <w:rPr>
                <w:rFonts w:ascii="宋体" w:hAnsi="宋体" w:cs="宋体"/>
                <w:szCs w:val="21"/>
                <w:highlight w:val="none"/>
              </w:rPr>
            </w:pPr>
            <w:r>
              <w:rPr>
                <w:rFonts w:ascii="宋体" w:hAnsi="宋体" w:cs="宋体"/>
                <w:szCs w:val="21"/>
                <w:highlight w:val="none"/>
              </w:rPr>
              <w:t>-----</w:t>
            </w:r>
          </w:p>
        </w:tc>
      </w:tr>
    </w:tbl>
    <w:p>
      <w:pPr>
        <w:jc w:val="left"/>
        <w:rPr>
          <w:rFonts w:ascii="宋体" w:hAnsi="宋体" w:cs="宋体"/>
          <w:highlight w:val="none"/>
        </w:rPr>
      </w:pPr>
      <w:r>
        <w:rPr>
          <w:rFonts w:ascii="宋体" w:hAnsi="宋体" w:cs="宋体"/>
          <w:highlight w:val="none"/>
        </w:rPr>
        <w:t>备注：以上材料将作为投标人合格性和有效性审核的重要内容之一，投标人必须严格按照要求在投标文件中对应如实提供，在对应的□打“</w:t>
      </w:r>
      <w:r>
        <w:rPr>
          <w:rFonts w:ascii="宋体" w:hAnsi="宋体" w:cs="宋体"/>
          <w:highlight w:val="none"/>
        </w:rPr>
        <w:fldChar w:fldCharType="begin"/>
      </w:r>
      <w:r>
        <w:rPr>
          <w:rFonts w:ascii="宋体" w:hAnsi="宋体" w:cs="宋体"/>
          <w:highlight w:val="none"/>
        </w:rPr>
        <w:instrText xml:space="preserve"> eq \o\ac(□,</w:instrText>
      </w:r>
      <w:r>
        <w:rPr>
          <w:rFonts w:ascii="宋体" w:hAnsi="宋体" w:cs="宋体"/>
          <w:position w:val="2"/>
          <w:highlight w:val="none"/>
        </w:rPr>
        <w:instrText xml:space="preserve">√</w:instrText>
      </w:r>
      <w:r>
        <w:rPr>
          <w:rFonts w:ascii="宋体" w:hAnsi="宋体" w:cs="宋体"/>
          <w:highlight w:val="none"/>
        </w:rPr>
        <w:instrText xml:space="preserve">)</w:instrText>
      </w:r>
      <w:r>
        <w:rPr>
          <w:rFonts w:ascii="宋体" w:hAnsi="宋体" w:cs="宋体"/>
          <w:highlight w:val="none"/>
        </w:rPr>
        <w:fldChar w:fldCharType="end"/>
      </w:r>
      <w:r>
        <w:rPr>
          <w:rFonts w:ascii="宋体" w:hAnsi="宋体" w:cs="宋体"/>
          <w:highlight w:val="none"/>
        </w:rPr>
        <w:t>”。</w:t>
      </w:r>
    </w:p>
    <w:p>
      <w:pPr>
        <w:pStyle w:val="4"/>
        <w:spacing w:before="0" w:after="0" w:line="360" w:lineRule="auto"/>
        <w:jc w:val="center"/>
        <w:rPr>
          <w:rFonts w:ascii="宋体" w:hAnsi="宋体" w:eastAsia="宋体" w:cs="宋体"/>
          <w:sz w:val="28"/>
          <w:szCs w:val="28"/>
          <w:highlight w:val="none"/>
        </w:rPr>
      </w:pPr>
      <w:r>
        <w:rPr>
          <w:rFonts w:ascii="宋体" w:hAnsi="宋体" w:cs="宋体"/>
          <w:sz w:val="24"/>
          <w:highlight w:val="none"/>
        </w:rPr>
        <w:br w:type="page"/>
      </w:r>
      <w:r>
        <w:rPr>
          <w:rFonts w:ascii="宋体" w:hAnsi="宋体" w:eastAsia="宋体" w:cs="宋体"/>
          <w:sz w:val="28"/>
          <w:szCs w:val="28"/>
          <w:highlight w:val="none"/>
        </w:rPr>
        <w:t>服务部分自评表</w:t>
      </w:r>
    </w:p>
    <w:tbl>
      <w:tblPr>
        <w:tblStyle w:val="35"/>
        <w:tblW w:w="96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79"/>
        <w:gridCol w:w="1256"/>
        <w:gridCol w:w="3300"/>
        <w:gridCol w:w="866"/>
        <w:gridCol w:w="921"/>
        <w:gridCol w:w="21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blHeader/>
          <w:jc w:val="center"/>
        </w:trPr>
        <w:tc>
          <w:tcPr>
            <w:tcW w:w="1179" w:type="dxa"/>
            <w:tcBorders>
              <w:top w:val="single" w:color="auto" w:sz="4" w:space="0"/>
              <w:left w:val="single" w:color="auto" w:sz="4" w:space="0"/>
              <w:bottom w:val="single" w:color="auto" w:sz="4" w:space="0"/>
              <w:right w:val="single" w:color="auto" w:sz="4" w:space="0"/>
            </w:tcBorders>
            <w:vAlign w:val="center"/>
          </w:tcPr>
          <w:p>
            <w:pPr>
              <w:spacing w:line="360" w:lineRule="auto"/>
              <w:ind w:left="374" w:leftChars="-22" w:right="-108" w:hanging="420"/>
              <w:jc w:val="center"/>
              <w:rPr>
                <w:rFonts w:ascii="宋体" w:hAnsi="宋体" w:cs="宋体"/>
                <w:b/>
                <w:sz w:val="24"/>
                <w:highlight w:val="none"/>
                <w:lang w:val="en-GB"/>
              </w:rPr>
            </w:pPr>
            <w:r>
              <w:rPr>
                <w:rFonts w:ascii="宋体" w:hAnsi="宋体" w:cs="宋体"/>
                <w:b/>
                <w:sz w:val="24"/>
                <w:highlight w:val="none"/>
                <w:lang w:val="en-GB"/>
              </w:rPr>
              <w:t>评审内容</w:t>
            </w:r>
          </w:p>
        </w:tc>
        <w:tc>
          <w:tcPr>
            <w:tcW w:w="12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highlight w:val="none"/>
                <w:lang w:val="en-GB"/>
              </w:rPr>
            </w:pPr>
            <w:r>
              <w:rPr>
                <w:rFonts w:ascii="宋体" w:hAnsi="宋体" w:cs="宋体"/>
                <w:b/>
                <w:sz w:val="24"/>
                <w:highlight w:val="none"/>
              </w:rPr>
              <w:t>内容</w:t>
            </w:r>
          </w:p>
        </w:tc>
        <w:tc>
          <w:tcPr>
            <w:tcW w:w="33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highlight w:val="none"/>
                <w:lang w:val="en-GB"/>
              </w:rPr>
            </w:pPr>
            <w:r>
              <w:rPr>
                <w:rFonts w:ascii="宋体" w:hAnsi="宋体" w:cs="宋体"/>
                <w:b/>
                <w:sz w:val="24"/>
                <w:highlight w:val="none"/>
              </w:rPr>
              <w:t>评 审 因 素</w:t>
            </w:r>
          </w:p>
        </w:tc>
        <w:tc>
          <w:tcPr>
            <w:tcW w:w="8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highlight w:val="none"/>
                <w:lang w:val="en-GB"/>
              </w:rPr>
            </w:pPr>
            <w:r>
              <w:rPr>
                <w:rFonts w:ascii="宋体" w:hAnsi="宋体" w:cs="宋体"/>
                <w:b/>
                <w:sz w:val="24"/>
                <w:highlight w:val="none"/>
              </w:rPr>
              <w:t>单项满分</w:t>
            </w:r>
          </w:p>
        </w:tc>
        <w:tc>
          <w:tcPr>
            <w:tcW w:w="921" w:type="dxa"/>
            <w:tcBorders>
              <w:top w:val="single" w:color="auto" w:sz="4" w:space="0"/>
              <w:left w:val="single" w:color="auto" w:sz="4" w:space="0"/>
              <w:bottom w:val="single" w:color="auto" w:sz="4" w:space="0"/>
              <w:right w:val="single" w:color="auto" w:sz="4" w:space="0"/>
            </w:tcBorders>
            <w:vAlign w:val="center"/>
          </w:tcPr>
          <w:p>
            <w:pPr>
              <w:spacing w:line="360" w:lineRule="auto"/>
              <w:ind w:right="-108"/>
              <w:jc w:val="center"/>
              <w:rPr>
                <w:rFonts w:ascii="宋体" w:hAnsi="宋体" w:cs="宋体"/>
                <w:b/>
                <w:sz w:val="24"/>
                <w:highlight w:val="none"/>
                <w:lang w:val="en-GB"/>
              </w:rPr>
            </w:pPr>
            <w:r>
              <w:rPr>
                <w:rFonts w:ascii="宋体" w:hAnsi="宋体" w:cs="宋体"/>
                <w:b/>
                <w:sz w:val="24"/>
                <w:highlight w:val="none"/>
                <w:lang w:val="en-GB"/>
              </w:rPr>
              <w:t>自评分</w:t>
            </w: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ind w:right="-108"/>
              <w:jc w:val="center"/>
              <w:rPr>
                <w:rFonts w:ascii="宋体" w:hAnsi="宋体" w:cs="宋体"/>
                <w:b/>
                <w:sz w:val="24"/>
                <w:highlight w:val="none"/>
                <w:lang w:val="en-GB"/>
              </w:rPr>
            </w:pPr>
            <w:r>
              <w:rPr>
                <w:rFonts w:ascii="宋体" w:hAnsi="宋体" w:cs="宋体"/>
                <w:b/>
                <w:sz w:val="24"/>
                <w:highlight w:val="none"/>
                <w:lang w:val="en-GB"/>
              </w:rPr>
              <w:t>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restart"/>
            <w:tcBorders>
              <w:left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服务部分得分</w:t>
            </w:r>
          </w:p>
          <w:p>
            <w:pPr>
              <w:widowControl/>
              <w:spacing w:line="360" w:lineRule="auto"/>
              <w:jc w:val="center"/>
              <w:rPr>
                <w:rFonts w:ascii="宋体" w:hAnsi="宋体" w:cs="宋体"/>
                <w:sz w:val="24"/>
                <w:highlight w:val="none"/>
              </w:rPr>
            </w:pPr>
            <w:r>
              <w:rPr>
                <w:rFonts w:ascii="宋体" w:hAnsi="宋体" w:cs="宋体"/>
                <w:sz w:val="24"/>
                <w:highlight w:val="none"/>
              </w:rPr>
              <w:t>（</w:t>
            </w:r>
            <w:r>
              <w:rPr>
                <w:rFonts w:ascii="宋体" w:hAnsi="宋体" w:cs="宋体"/>
                <w:sz w:val="24"/>
                <w:highlight w:val="none"/>
                <w:u w:val="single"/>
              </w:rPr>
              <w:t xml:space="preserve">  </w:t>
            </w:r>
            <w:r>
              <w:rPr>
                <w:rFonts w:ascii="宋体" w:hAnsi="宋体" w:cs="宋体"/>
                <w:sz w:val="24"/>
                <w:highlight w:val="none"/>
              </w:rPr>
              <w:t>分）</w:t>
            </w:r>
          </w:p>
        </w:tc>
        <w:tc>
          <w:tcPr>
            <w:tcW w:w="1256" w:type="dxa"/>
            <w:tcBorders>
              <w:top w:val="single" w:color="auto" w:sz="4" w:space="0"/>
              <w:left w:val="single" w:color="auto" w:sz="4" w:space="0"/>
              <w:bottom w:val="single" w:color="auto" w:sz="4" w:space="0"/>
              <w:right w:val="single" w:color="auto" w:sz="4" w:space="0"/>
            </w:tcBorders>
            <w:vAlign w:val="center"/>
          </w:tcPr>
          <w:p>
            <w:pPr>
              <w:tabs>
                <w:tab w:val="left" w:pos="972"/>
              </w:tabs>
              <w:rPr>
                <w:rFonts w:ascii="宋体" w:hAnsi="宋体" w:cs="宋体"/>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pPr>
              <w:tabs>
                <w:tab w:val="left" w:pos="972"/>
              </w:tabs>
              <w:rPr>
                <w:rFonts w:ascii="宋体" w:hAnsi="宋体" w:cs="宋体"/>
                <w:sz w:val="24"/>
                <w:highlight w:val="none"/>
              </w:rPr>
            </w:pPr>
          </w:p>
        </w:tc>
        <w:tc>
          <w:tcPr>
            <w:tcW w:w="866" w:type="dxa"/>
            <w:tcBorders>
              <w:top w:val="single" w:color="auto" w:sz="4" w:space="0"/>
              <w:left w:val="single" w:color="auto" w:sz="4" w:space="0"/>
              <w:right w:val="single" w:color="auto" w:sz="4" w:space="0"/>
            </w:tcBorders>
            <w:vAlign w:val="center"/>
          </w:tcPr>
          <w:p>
            <w:pPr>
              <w:tabs>
                <w:tab w:val="left" w:pos="972"/>
              </w:tabs>
              <w:jc w:val="center"/>
              <w:rPr>
                <w:rFonts w:ascii="宋体" w:hAnsi="宋体" w:cs="宋体"/>
                <w:sz w:val="24"/>
                <w:highlight w:val="none"/>
              </w:rPr>
            </w:pPr>
          </w:p>
        </w:tc>
        <w:tc>
          <w:tcPr>
            <w:tcW w:w="921"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kern w:val="0"/>
                <w:sz w:val="24"/>
                <w:highlight w:val="none"/>
              </w:rPr>
            </w:pPr>
          </w:p>
        </w:tc>
        <w:tc>
          <w:tcPr>
            <w:tcW w:w="2166"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pPr>
              <w:spacing w:line="360" w:lineRule="auto"/>
              <w:jc w:val="center"/>
              <w:rPr>
                <w:rFonts w:ascii="宋体" w:hAnsi="宋体" w:cs="宋体"/>
                <w:sz w:val="24"/>
                <w:highlight w:val="none"/>
              </w:rPr>
            </w:pPr>
          </w:p>
        </w:tc>
        <w:tc>
          <w:tcPr>
            <w:tcW w:w="1256" w:type="dxa"/>
            <w:tcBorders>
              <w:top w:val="single" w:color="auto" w:sz="4" w:space="0"/>
              <w:left w:val="single" w:color="auto" w:sz="4" w:space="0"/>
              <w:right w:val="single" w:color="auto" w:sz="4" w:space="0"/>
            </w:tcBorders>
            <w:vAlign w:val="center"/>
          </w:tcPr>
          <w:p>
            <w:pPr>
              <w:tabs>
                <w:tab w:val="left" w:pos="972"/>
              </w:tabs>
              <w:rPr>
                <w:rFonts w:ascii="宋体" w:hAnsi="宋体" w:cs="宋体"/>
                <w:sz w:val="24"/>
                <w:highlight w:val="none"/>
              </w:rPr>
            </w:pPr>
          </w:p>
        </w:tc>
        <w:tc>
          <w:tcPr>
            <w:tcW w:w="3300" w:type="dxa"/>
            <w:tcBorders>
              <w:top w:val="single" w:color="auto" w:sz="4" w:space="0"/>
              <w:left w:val="single" w:color="auto" w:sz="4" w:space="0"/>
              <w:right w:val="single" w:color="auto" w:sz="4" w:space="0"/>
            </w:tcBorders>
            <w:vAlign w:val="center"/>
          </w:tcPr>
          <w:p>
            <w:pPr>
              <w:tabs>
                <w:tab w:val="left" w:pos="972"/>
              </w:tabs>
              <w:rPr>
                <w:rFonts w:ascii="宋体" w:hAnsi="宋体" w:cs="宋体"/>
                <w:kern w:val="0"/>
                <w:sz w:val="24"/>
                <w:highlight w:val="none"/>
              </w:rPr>
            </w:pPr>
          </w:p>
        </w:tc>
        <w:tc>
          <w:tcPr>
            <w:tcW w:w="866" w:type="dxa"/>
            <w:tcBorders>
              <w:top w:val="single" w:color="auto" w:sz="4" w:space="0"/>
              <w:left w:val="single" w:color="auto" w:sz="4" w:space="0"/>
              <w:right w:val="single" w:color="auto" w:sz="4" w:space="0"/>
            </w:tcBorders>
            <w:vAlign w:val="center"/>
          </w:tcPr>
          <w:p>
            <w:pPr>
              <w:jc w:val="center"/>
              <w:rPr>
                <w:rFonts w:ascii="宋体" w:hAnsi="宋体" w:cs="宋体"/>
                <w:kern w:val="0"/>
                <w:sz w:val="24"/>
                <w:highlight w:val="none"/>
              </w:rPr>
            </w:pPr>
          </w:p>
        </w:tc>
        <w:tc>
          <w:tcPr>
            <w:tcW w:w="921"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kern w:val="0"/>
                <w:sz w:val="24"/>
                <w:highlight w:val="none"/>
              </w:rPr>
            </w:pPr>
          </w:p>
        </w:tc>
        <w:tc>
          <w:tcPr>
            <w:tcW w:w="2166" w:type="dxa"/>
            <w:tcBorders>
              <w:top w:val="single" w:color="auto" w:sz="4" w:space="0"/>
              <w:left w:val="single" w:color="auto" w:sz="4" w:space="0"/>
              <w:right w:val="single" w:color="auto" w:sz="4" w:space="0"/>
            </w:tcBorders>
            <w:vAlign w:val="center"/>
          </w:tcPr>
          <w:p>
            <w:pPr>
              <w:spacing w:line="360" w:lineRule="auto"/>
              <w:jc w:val="left"/>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pPr>
              <w:spacing w:line="360" w:lineRule="auto"/>
              <w:jc w:val="center"/>
              <w:rPr>
                <w:rFonts w:ascii="宋体" w:hAnsi="宋体" w:cs="宋体"/>
                <w:sz w:val="24"/>
                <w:highlight w:val="none"/>
              </w:rPr>
            </w:pPr>
          </w:p>
        </w:tc>
        <w:tc>
          <w:tcPr>
            <w:tcW w:w="1256" w:type="dxa"/>
            <w:tcBorders>
              <w:top w:val="single" w:color="auto" w:sz="4" w:space="0"/>
              <w:left w:val="single" w:color="auto" w:sz="4" w:space="0"/>
              <w:right w:val="single" w:color="auto" w:sz="4" w:space="0"/>
            </w:tcBorders>
            <w:vAlign w:val="center"/>
          </w:tcPr>
          <w:p>
            <w:pPr>
              <w:tabs>
                <w:tab w:val="left" w:pos="972"/>
              </w:tabs>
              <w:rPr>
                <w:rFonts w:ascii="宋体" w:hAnsi="宋体" w:cs="宋体"/>
                <w:sz w:val="24"/>
                <w:highlight w:val="none"/>
              </w:rPr>
            </w:pPr>
          </w:p>
        </w:tc>
        <w:tc>
          <w:tcPr>
            <w:tcW w:w="3300" w:type="dxa"/>
            <w:tcBorders>
              <w:top w:val="single" w:color="auto" w:sz="4" w:space="0"/>
              <w:left w:val="single" w:color="auto" w:sz="4" w:space="0"/>
              <w:right w:val="single" w:color="auto" w:sz="4" w:space="0"/>
            </w:tcBorders>
            <w:vAlign w:val="center"/>
          </w:tcPr>
          <w:p>
            <w:pPr>
              <w:tabs>
                <w:tab w:val="left" w:pos="972"/>
              </w:tabs>
              <w:rPr>
                <w:rFonts w:ascii="宋体" w:hAnsi="宋体" w:cs="宋体"/>
                <w:kern w:val="0"/>
                <w:sz w:val="24"/>
                <w:highlight w:val="none"/>
              </w:rPr>
            </w:pPr>
          </w:p>
        </w:tc>
        <w:tc>
          <w:tcPr>
            <w:tcW w:w="866" w:type="dxa"/>
            <w:tcBorders>
              <w:top w:val="single" w:color="auto" w:sz="4" w:space="0"/>
              <w:left w:val="single" w:color="auto" w:sz="4" w:space="0"/>
              <w:right w:val="single" w:color="auto" w:sz="4" w:space="0"/>
            </w:tcBorders>
            <w:vAlign w:val="center"/>
          </w:tcPr>
          <w:p>
            <w:pPr>
              <w:jc w:val="center"/>
              <w:rPr>
                <w:rFonts w:ascii="宋体" w:hAnsi="宋体" w:cs="宋体"/>
                <w:sz w:val="24"/>
                <w:highlight w:val="none"/>
              </w:rPr>
            </w:pPr>
          </w:p>
        </w:tc>
        <w:tc>
          <w:tcPr>
            <w:tcW w:w="921"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24"/>
                <w:highlight w:val="none"/>
              </w:rPr>
            </w:pPr>
          </w:p>
        </w:tc>
        <w:tc>
          <w:tcPr>
            <w:tcW w:w="2166" w:type="dxa"/>
            <w:tcBorders>
              <w:top w:val="single" w:color="auto" w:sz="4" w:space="0"/>
              <w:left w:val="single" w:color="auto" w:sz="4" w:space="0"/>
              <w:right w:val="single" w:color="auto" w:sz="4" w:space="0"/>
            </w:tcBorders>
            <w:vAlign w:val="center"/>
          </w:tcPr>
          <w:p>
            <w:pPr>
              <w:spacing w:line="360" w:lineRule="auto"/>
              <w:jc w:val="left"/>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pPr>
              <w:widowControl/>
              <w:spacing w:line="360" w:lineRule="auto"/>
              <w:jc w:val="center"/>
              <w:rPr>
                <w:rFonts w:ascii="宋体" w:hAnsi="宋体" w:cs="宋体"/>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pPr>
              <w:snapToGrid w:val="0"/>
              <w:spacing w:after="156"/>
              <w:rPr>
                <w:rFonts w:ascii="宋体" w:hAnsi="宋体" w:cs="宋体"/>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pPr>
              <w:tabs>
                <w:tab w:val="left" w:pos="972"/>
              </w:tabs>
              <w:rPr>
                <w:rFonts w:ascii="宋体" w:hAnsi="宋体" w:cs="宋体"/>
                <w:kern w:val="0"/>
                <w:sz w:val="24"/>
                <w:highlight w:val="none"/>
              </w:rPr>
            </w:pPr>
          </w:p>
        </w:tc>
        <w:tc>
          <w:tcPr>
            <w:tcW w:w="8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highlight w:val="none"/>
              </w:rPr>
            </w:pP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pPr>
              <w:widowControl/>
              <w:spacing w:line="360" w:lineRule="auto"/>
              <w:jc w:val="center"/>
              <w:rPr>
                <w:rFonts w:ascii="宋体" w:hAnsi="宋体" w:cs="宋体"/>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pPr>
              <w:snapToGrid w:val="0"/>
              <w:spacing w:after="156"/>
              <w:rPr>
                <w:rFonts w:ascii="宋体" w:hAnsi="宋体" w:cs="宋体"/>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pPr>
              <w:tabs>
                <w:tab w:val="left" w:pos="972"/>
              </w:tabs>
              <w:rPr>
                <w:rFonts w:ascii="宋体" w:hAnsi="宋体" w:cs="宋体"/>
                <w:sz w:val="24"/>
                <w:highlight w:val="none"/>
              </w:rPr>
            </w:pPr>
          </w:p>
        </w:tc>
        <w:tc>
          <w:tcPr>
            <w:tcW w:w="8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highlight w:val="none"/>
              </w:rPr>
            </w:pP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pPr>
              <w:widowControl/>
              <w:spacing w:line="360" w:lineRule="auto"/>
              <w:jc w:val="center"/>
              <w:rPr>
                <w:rFonts w:ascii="宋体" w:hAnsi="宋体" w:cs="宋体"/>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pPr>
              <w:snapToGrid w:val="0"/>
              <w:spacing w:after="156"/>
              <w:rPr>
                <w:rFonts w:ascii="宋体" w:hAnsi="宋体" w:cs="宋体"/>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pPr>
              <w:tabs>
                <w:tab w:val="left" w:pos="972"/>
              </w:tabs>
              <w:rPr>
                <w:rFonts w:ascii="宋体" w:hAnsi="宋体" w:cs="宋体"/>
                <w:sz w:val="24"/>
                <w:highlight w:val="none"/>
              </w:rPr>
            </w:pPr>
          </w:p>
        </w:tc>
        <w:tc>
          <w:tcPr>
            <w:tcW w:w="8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highlight w:val="none"/>
              </w:rPr>
            </w:pP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4"/>
                <w:highlight w:val="none"/>
              </w:rPr>
            </w:pPr>
            <w:r>
              <w:rPr>
                <w:rFonts w:ascii="宋体" w:hAnsi="宋体" w:cs="宋体"/>
                <w:sz w:val="24"/>
                <w:highlight w:val="none"/>
              </w:rPr>
              <w:t>见投标文件第  页</w:t>
            </w:r>
          </w:p>
        </w:tc>
      </w:tr>
    </w:tbl>
    <w:p>
      <w:pPr>
        <w:snapToGrid w:val="0"/>
        <w:spacing w:line="360" w:lineRule="auto"/>
        <w:rPr>
          <w:rFonts w:ascii="宋体" w:hAnsi="宋体" w:cs="宋体"/>
          <w:bCs/>
          <w:sz w:val="24"/>
          <w:highlight w:val="none"/>
        </w:rPr>
      </w:pPr>
    </w:p>
    <w:p>
      <w:pPr>
        <w:snapToGrid w:val="0"/>
        <w:spacing w:line="360" w:lineRule="auto"/>
        <w:rPr>
          <w:rFonts w:ascii="宋体" w:hAnsi="宋体" w:cs="宋体"/>
          <w:bCs/>
          <w:sz w:val="24"/>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eastAsia="宋体" w:cs="宋体"/>
          <w:sz w:val="28"/>
          <w:szCs w:val="28"/>
          <w:highlight w:val="none"/>
        </w:rPr>
        <w:t>商务部分自评表</w:t>
      </w:r>
    </w:p>
    <w:tbl>
      <w:tblPr>
        <w:tblStyle w:val="35"/>
        <w:tblW w:w="96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2"/>
        <w:gridCol w:w="1186"/>
        <w:gridCol w:w="3317"/>
        <w:gridCol w:w="874"/>
        <w:gridCol w:w="900"/>
        <w:gridCol w:w="21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1222" w:type="dxa"/>
            <w:tcBorders>
              <w:top w:val="single" w:color="auto" w:sz="4" w:space="0"/>
              <w:left w:val="single" w:color="auto" w:sz="4" w:space="0"/>
              <w:bottom w:val="single" w:color="auto" w:sz="4" w:space="0"/>
              <w:right w:val="single" w:color="auto" w:sz="4" w:space="0"/>
            </w:tcBorders>
            <w:vAlign w:val="center"/>
          </w:tcPr>
          <w:p>
            <w:pPr>
              <w:spacing w:line="360" w:lineRule="auto"/>
              <w:ind w:left="374" w:leftChars="-22" w:right="-108" w:hanging="420"/>
              <w:jc w:val="center"/>
              <w:rPr>
                <w:rFonts w:ascii="宋体" w:hAnsi="宋体" w:cs="宋体"/>
                <w:b/>
                <w:sz w:val="24"/>
                <w:highlight w:val="none"/>
                <w:lang w:val="en-GB"/>
              </w:rPr>
            </w:pPr>
            <w:r>
              <w:rPr>
                <w:rFonts w:ascii="宋体" w:hAnsi="宋体" w:cs="宋体"/>
                <w:b/>
                <w:sz w:val="24"/>
                <w:highlight w:val="none"/>
                <w:lang w:val="en-GB"/>
              </w:rPr>
              <w:t>评审内容</w:t>
            </w:r>
          </w:p>
        </w:tc>
        <w:tc>
          <w:tcPr>
            <w:tcW w:w="11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highlight w:val="none"/>
                <w:lang w:val="en-GB"/>
              </w:rPr>
            </w:pPr>
            <w:r>
              <w:rPr>
                <w:rFonts w:ascii="宋体" w:hAnsi="宋体" w:cs="宋体"/>
                <w:b/>
                <w:sz w:val="24"/>
                <w:highlight w:val="none"/>
              </w:rPr>
              <w:t>内容</w:t>
            </w:r>
          </w:p>
        </w:tc>
        <w:tc>
          <w:tcPr>
            <w:tcW w:w="33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highlight w:val="none"/>
                <w:lang w:val="en-GB"/>
              </w:rPr>
            </w:pPr>
            <w:r>
              <w:rPr>
                <w:rFonts w:ascii="宋体" w:hAnsi="宋体" w:cs="宋体"/>
                <w:b/>
                <w:sz w:val="24"/>
                <w:highlight w:val="none"/>
              </w:rPr>
              <w:t>评 审 因 素</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highlight w:val="none"/>
                <w:lang w:val="en-GB"/>
              </w:rPr>
            </w:pPr>
            <w:r>
              <w:rPr>
                <w:rFonts w:ascii="宋体" w:hAnsi="宋体" w:cs="宋体"/>
                <w:b/>
                <w:sz w:val="24"/>
                <w:highlight w:val="none"/>
              </w:rPr>
              <w:t>单项满分</w:t>
            </w:r>
          </w:p>
        </w:tc>
        <w:tc>
          <w:tcPr>
            <w:tcW w:w="900" w:type="dxa"/>
            <w:tcBorders>
              <w:top w:val="single" w:color="auto" w:sz="4" w:space="0"/>
              <w:left w:val="single" w:color="auto" w:sz="4" w:space="0"/>
              <w:bottom w:val="single" w:color="auto" w:sz="4" w:space="0"/>
              <w:right w:val="single" w:color="auto" w:sz="4" w:space="0"/>
            </w:tcBorders>
            <w:vAlign w:val="center"/>
          </w:tcPr>
          <w:p>
            <w:pPr>
              <w:spacing w:line="360" w:lineRule="auto"/>
              <w:ind w:right="-108"/>
              <w:jc w:val="center"/>
              <w:rPr>
                <w:rFonts w:ascii="宋体" w:hAnsi="宋体" w:cs="宋体"/>
                <w:b/>
                <w:sz w:val="24"/>
                <w:highlight w:val="none"/>
                <w:lang w:val="en-GB"/>
              </w:rPr>
            </w:pPr>
            <w:r>
              <w:rPr>
                <w:rFonts w:ascii="宋体" w:hAnsi="宋体" w:cs="宋体"/>
                <w:b/>
                <w:sz w:val="24"/>
                <w:highlight w:val="none"/>
                <w:lang w:val="en-GB"/>
              </w:rPr>
              <w:t>自评分</w:t>
            </w:r>
          </w:p>
        </w:tc>
        <w:tc>
          <w:tcPr>
            <w:tcW w:w="2193" w:type="dxa"/>
            <w:tcBorders>
              <w:top w:val="single" w:color="auto" w:sz="4" w:space="0"/>
              <w:left w:val="single" w:color="auto" w:sz="4" w:space="0"/>
              <w:bottom w:val="single" w:color="auto" w:sz="4" w:space="0"/>
              <w:right w:val="single" w:color="auto" w:sz="4" w:space="0"/>
            </w:tcBorders>
            <w:vAlign w:val="center"/>
          </w:tcPr>
          <w:p>
            <w:pPr>
              <w:spacing w:line="360" w:lineRule="auto"/>
              <w:ind w:right="-108"/>
              <w:jc w:val="center"/>
              <w:rPr>
                <w:rFonts w:ascii="宋体" w:hAnsi="宋体" w:cs="宋体"/>
                <w:b/>
                <w:sz w:val="24"/>
                <w:highlight w:val="none"/>
                <w:lang w:val="en-GB"/>
              </w:rPr>
            </w:pPr>
            <w:r>
              <w:rPr>
                <w:rFonts w:ascii="宋体" w:hAnsi="宋体" w:cs="宋体"/>
                <w:b/>
                <w:sz w:val="24"/>
                <w:highlight w:val="none"/>
                <w:lang w:val="en-GB"/>
              </w:rPr>
              <w:t>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商务部分得分</w:t>
            </w:r>
          </w:p>
          <w:p>
            <w:pPr>
              <w:spacing w:line="360" w:lineRule="auto"/>
              <w:jc w:val="center"/>
              <w:rPr>
                <w:rFonts w:ascii="宋体" w:hAnsi="宋体" w:cs="宋体"/>
                <w:sz w:val="24"/>
                <w:highlight w:val="none"/>
              </w:rPr>
            </w:pPr>
            <w:r>
              <w:rPr>
                <w:rFonts w:ascii="宋体" w:hAnsi="宋体" w:cs="宋体"/>
                <w:sz w:val="24"/>
                <w:highlight w:val="none"/>
              </w:rPr>
              <w:t>（</w:t>
            </w:r>
            <w:r>
              <w:rPr>
                <w:rFonts w:ascii="宋体" w:hAnsi="宋体" w:cs="宋体"/>
                <w:sz w:val="24"/>
                <w:highlight w:val="none"/>
                <w:u w:val="single"/>
              </w:rPr>
              <w:t xml:space="preserve">  </w:t>
            </w:r>
            <w:r>
              <w:rPr>
                <w:rFonts w:ascii="宋体" w:hAnsi="宋体" w:cs="宋体"/>
                <w:sz w:val="24"/>
                <w:highlight w:val="none"/>
              </w:rPr>
              <w:t>分）</w:t>
            </w:r>
          </w:p>
        </w:tc>
        <w:tc>
          <w:tcPr>
            <w:tcW w:w="118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highlight w:val="none"/>
              </w:rPr>
            </w:pPr>
          </w:p>
        </w:tc>
        <w:tc>
          <w:tcPr>
            <w:tcW w:w="3317"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874" w:type="dxa"/>
            <w:tcBorders>
              <w:top w:val="single" w:color="auto" w:sz="4" w:space="0"/>
              <w:left w:val="single" w:color="auto" w:sz="4" w:space="0"/>
              <w:right w:val="single" w:color="auto" w:sz="4" w:space="0"/>
            </w:tcBorders>
            <w:vAlign w:val="center"/>
          </w:tcPr>
          <w:p>
            <w:pPr>
              <w:jc w:val="center"/>
              <w:rPr>
                <w:rFonts w:ascii="宋体" w:hAnsi="宋体" w:cs="宋体"/>
                <w:kern w:val="0"/>
                <w:sz w:val="24"/>
                <w:highlight w:val="none"/>
              </w:rPr>
            </w:pPr>
          </w:p>
        </w:tc>
        <w:tc>
          <w:tcPr>
            <w:tcW w:w="900"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kern w:val="0"/>
                <w:sz w:val="24"/>
                <w:highlight w:val="none"/>
              </w:rPr>
            </w:pPr>
          </w:p>
        </w:tc>
        <w:tc>
          <w:tcPr>
            <w:tcW w:w="2193"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pPr>
              <w:spacing w:line="360" w:lineRule="auto"/>
              <w:jc w:val="center"/>
              <w:rPr>
                <w:rFonts w:ascii="宋体" w:hAnsi="宋体" w:cs="宋体"/>
                <w:sz w:val="24"/>
                <w:highlight w:val="none"/>
              </w:rPr>
            </w:pPr>
          </w:p>
        </w:tc>
        <w:tc>
          <w:tcPr>
            <w:tcW w:w="118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highlight w:val="none"/>
              </w:rPr>
            </w:pPr>
          </w:p>
        </w:tc>
        <w:tc>
          <w:tcPr>
            <w:tcW w:w="3317" w:type="dxa"/>
            <w:tcBorders>
              <w:top w:val="single" w:color="auto" w:sz="4" w:space="0"/>
              <w:left w:val="single" w:color="auto" w:sz="4" w:space="0"/>
              <w:right w:val="single" w:color="auto" w:sz="4" w:space="0"/>
            </w:tcBorders>
            <w:vAlign w:val="center"/>
          </w:tcPr>
          <w:p>
            <w:pPr>
              <w:rPr>
                <w:rFonts w:ascii="宋体" w:hAnsi="宋体" w:cs="宋体"/>
                <w:b/>
                <w:kern w:val="0"/>
                <w:sz w:val="24"/>
                <w:highlight w:val="none"/>
              </w:rPr>
            </w:pPr>
          </w:p>
        </w:tc>
        <w:tc>
          <w:tcPr>
            <w:tcW w:w="87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highlight w:val="none"/>
              </w:rPr>
            </w:pPr>
          </w:p>
        </w:tc>
        <w:tc>
          <w:tcPr>
            <w:tcW w:w="900" w:type="dxa"/>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p>
        </w:tc>
        <w:tc>
          <w:tcPr>
            <w:tcW w:w="2193" w:type="dxa"/>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pPr>
              <w:spacing w:line="360" w:lineRule="auto"/>
              <w:jc w:val="center"/>
              <w:rPr>
                <w:rFonts w:ascii="宋体" w:hAnsi="宋体" w:cs="宋体"/>
                <w:sz w:val="24"/>
                <w:highlight w:val="none"/>
              </w:rPr>
            </w:pPr>
          </w:p>
        </w:tc>
        <w:tc>
          <w:tcPr>
            <w:tcW w:w="1186" w:type="dxa"/>
            <w:tcBorders>
              <w:top w:val="single" w:color="auto" w:sz="4" w:space="0"/>
              <w:left w:val="single" w:color="auto" w:sz="4" w:space="0"/>
              <w:right w:val="single" w:color="auto" w:sz="4" w:space="0"/>
            </w:tcBorders>
            <w:vAlign w:val="center"/>
          </w:tcPr>
          <w:p>
            <w:pPr>
              <w:widowControl/>
              <w:rPr>
                <w:rFonts w:ascii="宋体" w:hAnsi="宋体" w:cs="宋体"/>
                <w:kern w:val="0"/>
                <w:sz w:val="24"/>
                <w:highlight w:val="none"/>
              </w:rPr>
            </w:pPr>
          </w:p>
        </w:tc>
        <w:tc>
          <w:tcPr>
            <w:tcW w:w="3317" w:type="dxa"/>
            <w:tcBorders>
              <w:top w:val="single" w:color="auto" w:sz="4" w:space="0"/>
              <w:left w:val="single" w:color="auto" w:sz="4" w:space="0"/>
              <w:right w:val="single" w:color="auto" w:sz="4" w:space="0"/>
            </w:tcBorders>
            <w:vAlign w:val="center"/>
          </w:tcPr>
          <w:p>
            <w:pPr>
              <w:rPr>
                <w:rFonts w:ascii="宋体" w:hAnsi="宋体" w:cs="宋体"/>
                <w:kern w:val="0"/>
                <w:sz w:val="24"/>
                <w:highlight w:val="none"/>
              </w:rPr>
            </w:pPr>
          </w:p>
        </w:tc>
        <w:tc>
          <w:tcPr>
            <w:tcW w:w="87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highlight w:val="none"/>
              </w:rPr>
            </w:pPr>
          </w:p>
        </w:tc>
        <w:tc>
          <w:tcPr>
            <w:tcW w:w="900" w:type="dxa"/>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p>
        </w:tc>
        <w:tc>
          <w:tcPr>
            <w:tcW w:w="2193" w:type="dxa"/>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pPr>
              <w:widowControl/>
              <w:spacing w:line="360" w:lineRule="auto"/>
              <w:jc w:val="center"/>
              <w:rPr>
                <w:rFonts w:ascii="宋体" w:hAnsi="宋体" w:cs="宋体"/>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3317"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sz w:val="24"/>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p>
        </w:tc>
        <w:tc>
          <w:tcPr>
            <w:tcW w:w="21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pPr>
              <w:widowControl/>
              <w:spacing w:line="360" w:lineRule="auto"/>
              <w:jc w:val="center"/>
              <w:rPr>
                <w:rFonts w:ascii="宋体" w:hAnsi="宋体" w:cs="宋体"/>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pPr>
              <w:snapToGrid w:val="0"/>
              <w:spacing w:after="156"/>
              <w:rPr>
                <w:rFonts w:ascii="宋体" w:hAnsi="宋体" w:cs="宋体"/>
                <w:sz w:val="24"/>
                <w:highlight w:val="none"/>
              </w:rPr>
            </w:pPr>
          </w:p>
        </w:tc>
        <w:tc>
          <w:tcPr>
            <w:tcW w:w="3317" w:type="dxa"/>
            <w:tcBorders>
              <w:top w:val="single" w:color="auto" w:sz="4" w:space="0"/>
              <w:left w:val="single" w:color="auto" w:sz="4" w:space="0"/>
              <w:bottom w:val="single" w:color="auto" w:sz="4" w:space="0"/>
              <w:right w:val="single" w:color="auto" w:sz="4" w:space="0"/>
            </w:tcBorders>
            <w:vAlign w:val="center"/>
          </w:tcPr>
          <w:p>
            <w:pPr>
              <w:snapToGrid w:val="0"/>
              <w:spacing w:after="156"/>
              <w:rPr>
                <w:rFonts w:ascii="宋体" w:hAnsi="宋体" w:cs="宋体"/>
                <w:sz w:val="24"/>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p>
        </w:tc>
        <w:tc>
          <w:tcPr>
            <w:tcW w:w="21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 w:val="24"/>
                <w:highlight w:val="none"/>
              </w:rPr>
            </w:pPr>
            <w:r>
              <w:rPr>
                <w:rFonts w:ascii="宋体" w:hAnsi="宋体" w:cs="宋体"/>
                <w:sz w:val="24"/>
                <w:highlight w:val="none"/>
              </w:rPr>
              <w:t>见投标文件第  页</w:t>
            </w:r>
          </w:p>
        </w:tc>
      </w:tr>
    </w:tbl>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sz w:val="24"/>
          <w:highlight w:val="none"/>
        </w:rPr>
        <w:t>以上自评表可根据《服务部分评分标准》《商务部分评分标准》内容自行填写，自行评价，仅为方便评委查阅，不作为实质性响应条款。</w:t>
      </w:r>
    </w:p>
    <w:p>
      <w:pPr>
        <w:pStyle w:val="4"/>
        <w:spacing w:before="0" w:after="0" w:line="360" w:lineRule="auto"/>
        <w:jc w:val="center"/>
        <w:rPr>
          <w:rFonts w:ascii="宋体" w:hAnsi="宋体" w:eastAsia="宋体" w:cs="宋体"/>
          <w:sz w:val="28"/>
          <w:szCs w:val="28"/>
          <w:highlight w:val="none"/>
        </w:rPr>
      </w:pPr>
      <w:r>
        <w:rPr>
          <w:rFonts w:ascii="宋体" w:hAnsi="宋体" w:cs="宋体"/>
          <w:sz w:val="28"/>
          <w:szCs w:val="28"/>
          <w:highlight w:val="none"/>
        </w:rPr>
        <w:br w:type="page"/>
      </w:r>
      <w:r>
        <w:rPr>
          <w:rFonts w:ascii="宋体" w:hAnsi="宋体" w:eastAsia="宋体" w:cs="宋体"/>
          <w:sz w:val="28"/>
          <w:szCs w:val="28"/>
          <w:highlight w:val="none"/>
        </w:rPr>
        <w:t>投标资料目录</w:t>
      </w:r>
    </w:p>
    <w:tbl>
      <w:tblPr>
        <w:tblStyle w:val="35"/>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6468"/>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727" w:type="dxa"/>
            <w:vAlign w:val="center"/>
          </w:tcPr>
          <w:p>
            <w:pPr>
              <w:jc w:val="center"/>
              <w:rPr>
                <w:rFonts w:ascii="宋体" w:hAnsi="宋体" w:cs="宋体"/>
                <w:b/>
                <w:bCs/>
                <w:sz w:val="24"/>
                <w:highlight w:val="none"/>
              </w:rPr>
            </w:pPr>
            <w:r>
              <w:rPr>
                <w:rFonts w:ascii="宋体" w:hAnsi="宋体" w:cs="宋体"/>
                <w:b/>
                <w:bCs/>
                <w:sz w:val="24"/>
                <w:highlight w:val="none"/>
              </w:rPr>
              <w:t>序号</w:t>
            </w:r>
          </w:p>
        </w:tc>
        <w:tc>
          <w:tcPr>
            <w:tcW w:w="6468" w:type="dxa"/>
            <w:vAlign w:val="center"/>
          </w:tcPr>
          <w:p>
            <w:pPr>
              <w:pStyle w:val="63"/>
              <w:rPr>
                <w:rFonts w:ascii="宋体" w:hAnsi="宋体" w:cs="宋体"/>
                <w:b/>
                <w:bCs/>
                <w:kern w:val="2"/>
                <w:szCs w:val="24"/>
                <w:highlight w:val="none"/>
              </w:rPr>
            </w:pPr>
            <w:r>
              <w:rPr>
                <w:rFonts w:ascii="宋体" w:hAnsi="宋体" w:cs="宋体"/>
                <w:b/>
                <w:bCs/>
                <w:kern w:val="2"/>
                <w:szCs w:val="24"/>
                <w:highlight w:val="none"/>
              </w:rPr>
              <w:t>投标内容</w:t>
            </w:r>
          </w:p>
        </w:tc>
        <w:tc>
          <w:tcPr>
            <w:tcW w:w="2565" w:type="dxa"/>
            <w:vAlign w:val="center"/>
          </w:tcPr>
          <w:p>
            <w:pPr>
              <w:pStyle w:val="63"/>
              <w:rPr>
                <w:rFonts w:ascii="宋体" w:hAnsi="宋体" w:cs="宋体"/>
                <w:b/>
                <w:bCs/>
                <w:kern w:val="2"/>
                <w:szCs w:val="24"/>
                <w:highlight w:val="none"/>
              </w:rPr>
            </w:pPr>
            <w:r>
              <w:rPr>
                <w:rFonts w:ascii="宋体" w:hAnsi="宋体" w:cs="宋体"/>
                <w:b/>
                <w:bCs/>
                <w:kern w:val="2"/>
                <w:szCs w:val="24"/>
                <w:highlight w:val="none"/>
              </w:rPr>
              <w:t>资料所在页码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1</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2</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3</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4</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5</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6</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7</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8</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r>
              <w:rPr>
                <w:rFonts w:ascii="宋体" w:hAnsi="宋体" w:cs="宋体"/>
                <w:sz w:val="24"/>
                <w:highlight w:val="none"/>
              </w:rPr>
              <w:t>见投标文件第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pPr>
              <w:spacing w:line="360" w:lineRule="auto"/>
              <w:jc w:val="center"/>
              <w:rPr>
                <w:rFonts w:ascii="宋体" w:hAnsi="宋体" w:cs="宋体"/>
                <w:sz w:val="24"/>
                <w:highlight w:val="none"/>
              </w:rPr>
            </w:pP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27" w:type="dxa"/>
            <w:vAlign w:val="center"/>
          </w:tcPr>
          <w:p>
            <w:pPr>
              <w:spacing w:line="360" w:lineRule="auto"/>
              <w:jc w:val="center"/>
              <w:rPr>
                <w:rFonts w:ascii="宋体" w:hAnsi="宋体" w:cs="宋体"/>
                <w:sz w:val="24"/>
                <w:highlight w:val="none"/>
              </w:rPr>
            </w:pP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27" w:type="dxa"/>
            <w:vAlign w:val="center"/>
          </w:tcPr>
          <w:p>
            <w:pPr>
              <w:spacing w:line="360" w:lineRule="auto"/>
              <w:jc w:val="center"/>
              <w:rPr>
                <w:rFonts w:ascii="宋体" w:hAnsi="宋体" w:cs="宋体"/>
                <w:sz w:val="24"/>
                <w:highlight w:val="none"/>
              </w:rPr>
            </w:pPr>
            <w:r>
              <w:rPr>
                <w:rFonts w:ascii="宋体" w:hAnsi="宋体" w:cs="宋体"/>
                <w:sz w:val="24"/>
                <w:highlight w:val="none"/>
              </w:rPr>
              <w:t>....</w:t>
            </w:r>
          </w:p>
        </w:tc>
        <w:tc>
          <w:tcPr>
            <w:tcW w:w="6468" w:type="dxa"/>
            <w:vAlign w:val="center"/>
          </w:tcPr>
          <w:p>
            <w:pPr>
              <w:ind w:left="40" w:leftChars="19"/>
              <w:rPr>
                <w:rFonts w:ascii="宋体" w:hAnsi="宋体" w:cs="宋体"/>
                <w:sz w:val="24"/>
                <w:highlight w:val="none"/>
              </w:rPr>
            </w:pPr>
          </w:p>
        </w:tc>
        <w:tc>
          <w:tcPr>
            <w:tcW w:w="2565" w:type="dxa"/>
            <w:vAlign w:val="center"/>
          </w:tcPr>
          <w:p>
            <w:pPr>
              <w:spacing w:line="360" w:lineRule="auto"/>
              <w:jc w:val="center"/>
              <w:rPr>
                <w:rFonts w:ascii="宋体" w:hAnsi="宋体" w:cs="宋体"/>
                <w:sz w:val="24"/>
                <w:highlight w:val="none"/>
              </w:rPr>
            </w:pPr>
          </w:p>
        </w:tc>
      </w:tr>
    </w:tbl>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sz w:val="24"/>
          <w:highlight w:val="none"/>
        </w:rPr>
        <w:t>注：投标人可根据评审项目自行设定表格，本表格只作参考。</w:t>
      </w:r>
    </w:p>
    <w:p>
      <w:pPr>
        <w:pStyle w:val="4"/>
        <w:spacing w:before="0" w:after="0" w:line="360" w:lineRule="auto"/>
        <w:jc w:val="center"/>
        <w:rPr>
          <w:rFonts w:ascii="宋体" w:hAnsi="宋体" w:eastAsia="宋体" w:cs="宋体"/>
          <w:sz w:val="28"/>
          <w:szCs w:val="28"/>
          <w:highlight w:val="none"/>
        </w:rPr>
      </w:pPr>
      <w:r>
        <w:rPr>
          <w:rFonts w:ascii="宋体" w:hAnsi="宋体" w:cs="宋体"/>
          <w:sz w:val="28"/>
          <w:szCs w:val="28"/>
          <w:highlight w:val="none"/>
        </w:rPr>
        <w:br w:type="page"/>
      </w:r>
      <w:r>
        <w:rPr>
          <w:rFonts w:ascii="宋体" w:hAnsi="宋体" w:eastAsia="宋体" w:cs="宋体"/>
          <w:sz w:val="28"/>
          <w:szCs w:val="28"/>
          <w:highlight w:val="none"/>
        </w:rPr>
        <w:t>投标人情况介绍表</w:t>
      </w:r>
    </w:p>
    <w:p>
      <w:pPr>
        <w:pStyle w:val="73"/>
        <w:ind w:left="105" w:hanging="1"/>
        <w:jc w:val="center"/>
        <w:rPr>
          <w:rFonts w:ascii="宋体" w:hAnsi="宋体" w:cs="宋体"/>
          <w:b/>
          <w:spacing w:val="0"/>
          <w:kern w:val="2"/>
          <w:sz w:val="28"/>
          <w:szCs w:val="28"/>
          <w:highlight w:val="none"/>
          <w:lang w:val="en-GB"/>
        </w:rPr>
      </w:pPr>
    </w:p>
    <w:tbl>
      <w:tblPr>
        <w:tblStyle w:val="35"/>
        <w:tblW w:w="9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1470"/>
        <w:gridCol w:w="1460"/>
        <w:gridCol w:w="227"/>
        <w:gridCol w:w="1393"/>
        <w:gridCol w:w="256"/>
        <w:gridCol w:w="1004"/>
        <w:gridCol w:w="788"/>
        <w:gridCol w:w="292"/>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单位名称</w:t>
            </w:r>
          </w:p>
        </w:tc>
        <w:tc>
          <w:tcPr>
            <w:tcW w:w="7896" w:type="dxa"/>
            <w:gridSpan w:val="9"/>
            <w:vAlign w:val="center"/>
          </w:tcPr>
          <w:p>
            <w:pPr>
              <w:tabs>
                <w:tab w:val="left" w:pos="540"/>
              </w:tabs>
              <w:adjustRightInd w:val="0"/>
              <w:snapToGrid w:val="0"/>
              <w:spacing w:line="360" w:lineRule="auto"/>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地址</w:t>
            </w:r>
          </w:p>
        </w:tc>
        <w:tc>
          <w:tcPr>
            <w:tcW w:w="7896" w:type="dxa"/>
            <w:gridSpan w:val="9"/>
            <w:vAlign w:val="center"/>
          </w:tcPr>
          <w:p>
            <w:pPr>
              <w:tabs>
                <w:tab w:val="left" w:pos="540"/>
              </w:tabs>
              <w:adjustRightInd w:val="0"/>
              <w:snapToGrid w:val="0"/>
              <w:spacing w:line="360" w:lineRule="auto"/>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开户银行</w:t>
            </w:r>
          </w:p>
        </w:tc>
        <w:tc>
          <w:tcPr>
            <w:tcW w:w="7896" w:type="dxa"/>
            <w:gridSpan w:val="9"/>
            <w:vAlign w:val="center"/>
          </w:tcPr>
          <w:p>
            <w:pPr>
              <w:tabs>
                <w:tab w:val="left" w:pos="540"/>
              </w:tabs>
              <w:adjustRightInd w:val="0"/>
              <w:snapToGrid w:val="0"/>
              <w:spacing w:line="360" w:lineRule="auto"/>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银行账户</w:t>
            </w:r>
          </w:p>
        </w:tc>
        <w:tc>
          <w:tcPr>
            <w:tcW w:w="7896" w:type="dxa"/>
            <w:gridSpan w:val="9"/>
            <w:vAlign w:val="center"/>
          </w:tcPr>
          <w:p>
            <w:pPr>
              <w:tabs>
                <w:tab w:val="left" w:pos="540"/>
              </w:tabs>
              <w:adjustRightInd w:val="0"/>
              <w:snapToGrid w:val="0"/>
              <w:spacing w:line="360" w:lineRule="auto"/>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vAlign w:val="center"/>
          </w:tcPr>
          <w:p>
            <w:pPr>
              <w:tabs>
                <w:tab w:val="left" w:pos="540"/>
              </w:tabs>
              <w:adjustRightInd w:val="0"/>
              <w:snapToGrid w:val="0"/>
              <w:ind w:left="-132" w:leftChars="-64" w:right="-105" w:rightChars="-50" w:hanging="2"/>
              <w:jc w:val="center"/>
              <w:textAlignment w:val="center"/>
              <w:rPr>
                <w:rFonts w:ascii="宋体" w:hAnsi="宋体" w:cs="宋体"/>
                <w:b/>
                <w:snapToGrid w:val="0"/>
                <w:sz w:val="24"/>
                <w:highlight w:val="none"/>
              </w:rPr>
            </w:pPr>
            <w:r>
              <w:rPr>
                <w:rFonts w:ascii="宋体" w:hAnsi="宋体" w:cs="宋体"/>
                <w:snapToGrid w:val="0"/>
                <w:sz w:val="24"/>
                <w:highlight w:val="none"/>
              </w:rPr>
              <w:t>纳税人识别号</w:t>
            </w:r>
          </w:p>
        </w:tc>
        <w:tc>
          <w:tcPr>
            <w:tcW w:w="7896" w:type="dxa"/>
            <w:gridSpan w:val="9"/>
            <w:vAlign w:val="center"/>
          </w:tcPr>
          <w:p>
            <w:pPr>
              <w:tabs>
                <w:tab w:val="left" w:pos="540"/>
              </w:tabs>
              <w:adjustRightInd w:val="0"/>
              <w:snapToGrid w:val="0"/>
              <w:spacing w:line="360" w:lineRule="auto"/>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主管部门</w:t>
            </w: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687"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法定代表人</w:t>
            </w:r>
          </w:p>
        </w:tc>
        <w:tc>
          <w:tcPr>
            <w:tcW w:w="1649"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792"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职务</w:t>
            </w:r>
          </w:p>
        </w:tc>
        <w:tc>
          <w:tcPr>
            <w:tcW w:w="1298"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经济类型</w:t>
            </w: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687"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授权代表</w:t>
            </w:r>
          </w:p>
        </w:tc>
        <w:tc>
          <w:tcPr>
            <w:tcW w:w="1649"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792"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职务</w:t>
            </w:r>
          </w:p>
        </w:tc>
        <w:tc>
          <w:tcPr>
            <w:tcW w:w="1298"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邮编</w:t>
            </w: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687"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电话</w:t>
            </w:r>
          </w:p>
        </w:tc>
        <w:tc>
          <w:tcPr>
            <w:tcW w:w="1649"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792"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传真</w:t>
            </w:r>
          </w:p>
        </w:tc>
        <w:tc>
          <w:tcPr>
            <w:tcW w:w="1298"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单位简介及机构设置</w:t>
            </w:r>
          </w:p>
        </w:tc>
        <w:tc>
          <w:tcPr>
            <w:tcW w:w="7896" w:type="dxa"/>
            <w:gridSpan w:val="9"/>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998" w:type="dxa"/>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单位优势及特长</w:t>
            </w:r>
          </w:p>
        </w:tc>
        <w:tc>
          <w:tcPr>
            <w:tcW w:w="7896" w:type="dxa"/>
            <w:gridSpan w:val="9"/>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98" w:type="dxa"/>
            <w:vMerge w:val="restart"/>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单位概况</w:t>
            </w: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注册资本</w:t>
            </w:r>
          </w:p>
        </w:tc>
        <w:tc>
          <w:tcPr>
            <w:tcW w:w="146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万元</w:t>
            </w:r>
          </w:p>
        </w:tc>
        <w:tc>
          <w:tcPr>
            <w:tcW w:w="1620" w:type="dxa"/>
            <w:gridSpan w:val="2"/>
            <w:vAlign w:val="center"/>
          </w:tcPr>
          <w:p>
            <w:pPr>
              <w:tabs>
                <w:tab w:val="left" w:pos="540"/>
              </w:tabs>
              <w:adjustRightInd w:val="0"/>
              <w:snapToGrid w:val="0"/>
              <w:ind w:left="-134" w:leftChars="-64" w:right="-105" w:rightChars="-50" w:firstLine="36"/>
              <w:jc w:val="center"/>
              <w:textAlignment w:val="center"/>
              <w:rPr>
                <w:rFonts w:ascii="宋体" w:hAnsi="宋体" w:cs="宋体"/>
                <w:snapToGrid w:val="0"/>
                <w:sz w:val="24"/>
                <w:highlight w:val="none"/>
              </w:rPr>
            </w:pPr>
            <w:r>
              <w:rPr>
                <w:rFonts w:ascii="宋体" w:hAnsi="宋体" w:cs="宋体"/>
                <w:snapToGrid w:val="0"/>
                <w:sz w:val="24"/>
                <w:highlight w:val="none"/>
              </w:rPr>
              <w:t>占地面积</w:t>
            </w:r>
          </w:p>
        </w:tc>
        <w:tc>
          <w:tcPr>
            <w:tcW w:w="3346" w:type="dxa"/>
            <w:gridSpan w:val="5"/>
            <w:vAlign w:val="center"/>
          </w:tcPr>
          <w:p>
            <w:pPr>
              <w:tabs>
                <w:tab w:val="left" w:pos="540"/>
              </w:tabs>
              <w:adjustRightInd w:val="0"/>
              <w:snapToGrid w:val="0"/>
              <w:ind w:left="-134" w:leftChars="-64" w:right="-105" w:rightChars="-50" w:firstLine="3480" w:firstLineChars="1450"/>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998" w:type="dxa"/>
            <w:vMerge w:val="continue"/>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职工总数</w:t>
            </w:r>
          </w:p>
        </w:tc>
        <w:tc>
          <w:tcPr>
            <w:tcW w:w="146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人</w:t>
            </w:r>
          </w:p>
        </w:tc>
        <w:tc>
          <w:tcPr>
            <w:tcW w:w="1620" w:type="dxa"/>
            <w:gridSpan w:val="2"/>
            <w:vAlign w:val="center"/>
          </w:tcPr>
          <w:p>
            <w:pPr>
              <w:tabs>
                <w:tab w:val="left" w:pos="540"/>
              </w:tabs>
              <w:adjustRightInd w:val="0"/>
              <w:snapToGrid w:val="0"/>
              <w:ind w:left="-134" w:leftChars="-64" w:right="-105" w:rightChars="-50" w:firstLine="36"/>
              <w:jc w:val="center"/>
              <w:textAlignment w:val="center"/>
              <w:rPr>
                <w:rFonts w:ascii="宋体" w:hAnsi="宋体" w:cs="宋体"/>
                <w:snapToGrid w:val="0"/>
                <w:sz w:val="24"/>
                <w:highlight w:val="none"/>
              </w:rPr>
            </w:pPr>
            <w:r>
              <w:rPr>
                <w:rFonts w:ascii="宋体" w:hAnsi="宋体" w:cs="宋体"/>
                <w:snapToGrid w:val="0"/>
                <w:sz w:val="24"/>
                <w:highlight w:val="none"/>
              </w:rPr>
              <w:t>建筑面积</w:t>
            </w:r>
          </w:p>
        </w:tc>
        <w:tc>
          <w:tcPr>
            <w:tcW w:w="3346" w:type="dxa"/>
            <w:gridSpan w:val="5"/>
            <w:vAlign w:val="center"/>
          </w:tcPr>
          <w:p>
            <w:pPr>
              <w:tabs>
                <w:tab w:val="left" w:pos="540"/>
              </w:tabs>
              <w:adjustRightInd w:val="0"/>
              <w:snapToGrid w:val="0"/>
              <w:ind w:left="-134" w:leftChars="-64" w:right="-105" w:rightChars="-50" w:firstLine="3480" w:firstLineChars="1450"/>
              <w:jc w:val="center"/>
              <w:textAlignment w:val="center"/>
              <w:rPr>
                <w:rFonts w:ascii="宋体" w:hAnsi="宋体" w:cs="宋体"/>
                <w:snapToGrid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998" w:type="dxa"/>
            <w:vMerge w:val="continue"/>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p>
        </w:tc>
        <w:tc>
          <w:tcPr>
            <w:tcW w:w="1470" w:type="dxa"/>
            <w:vMerge w:val="restart"/>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资产情况</w:t>
            </w:r>
          </w:p>
        </w:tc>
        <w:tc>
          <w:tcPr>
            <w:tcW w:w="146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净资产</w:t>
            </w:r>
          </w:p>
        </w:tc>
        <w:tc>
          <w:tcPr>
            <w:tcW w:w="1620" w:type="dxa"/>
            <w:gridSpan w:val="2"/>
            <w:vAlign w:val="center"/>
          </w:tcPr>
          <w:p>
            <w:pPr>
              <w:tabs>
                <w:tab w:val="left" w:pos="540"/>
              </w:tabs>
              <w:adjustRightInd w:val="0"/>
              <w:snapToGrid w:val="0"/>
              <w:ind w:left="-134" w:leftChars="-64" w:right="-105" w:rightChars="-50" w:firstLine="880" w:firstLineChars="367"/>
              <w:jc w:val="center"/>
              <w:textAlignment w:val="center"/>
              <w:rPr>
                <w:rFonts w:ascii="宋体" w:hAnsi="宋体" w:cs="宋体"/>
                <w:snapToGrid w:val="0"/>
                <w:sz w:val="24"/>
                <w:highlight w:val="none"/>
              </w:rPr>
            </w:pPr>
            <w:r>
              <w:rPr>
                <w:rFonts w:ascii="宋体" w:hAnsi="宋体" w:cs="宋体"/>
                <w:snapToGrid w:val="0"/>
                <w:sz w:val="24"/>
                <w:highlight w:val="none"/>
              </w:rPr>
              <w:t>万元</w:t>
            </w:r>
          </w:p>
        </w:tc>
        <w:tc>
          <w:tcPr>
            <w:tcW w:w="3346" w:type="dxa"/>
            <w:gridSpan w:val="5"/>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固定资产原值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998" w:type="dxa"/>
            <w:vMerge w:val="continue"/>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p>
        </w:tc>
        <w:tc>
          <w:tcPr>
            <w:tcW w:w="1470" w:type="dxa"/>
            <w:vMerge w:val="continue"/>
            <w:vAlign w:val="center"/>
          </w:tcPr>
          <w:p>
            <w:pPr>
              <w:widowControl/>
              <w:adjustRightInd w:val="0"/>
              <w:snapToGrid w:val="0"/>
              <w:jc w:val="center"/>
              <w:textAlignment w:val="center"/>
              <w:rPr>
                <w:rFonts w:ascii="宋体" w:hAnsi="宋体" w:cs="宋体"/>
                <w:snapToGrid w:val="0"/>
                <w:sz w:val="24"/>
                <w:highlight w:val="none"/>
              </w:rPr>
            </w:pPr>
          </w:p>
        </w:tc>
        <w:tc>
          <w:tcPr>
            <w:tcW w:w="146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负债</w:t>
            </w:r>
          </w:p>
        </w:tc>
        <w:tc>
          <w:tcPr>
            <w:tcW w:w="1620" w:type="dxa"/>
            <w:gridSpan w:val="2"/>
            <w:vAlign w:val="center"/>
          </w:tcPr>
          <w:p>
            <w:pPr>
              <w:tabs>
                <w:tab w:val="left" w:pos="540"/>
              </w:tabs>
              <w:adjustRightInd w:val="0"/>
              <w:snapToGrid w:val="0"/>
              <w:ind w:left="-134" w:leftChars="-64" w:right="-105" w:rightChars="-50" w:firstLine="880" w:firstLineChars="367"/>
              <w:jc w:val="center"/>
              <w:textAlignment w:val="center"/>
              <w:rPr>
                <w:rFonts w:ascii="宋体" w:hAnsi="宋体" w:cs="宋体"/>
                <w:snapToGrid w:val="0"/>
                <w:sz w:val="24"/>
                <w:highlight w:val="none"/>
              </w:rPr>
            </w:pPr>
            <w:r>
              <w:rPr>
                <w:rFonts w:ascii="宋体" w:hAnsi="宋体" w:cs="宋体"/>
                <w:snapToGrid w:val="0"/>
                <w:sz w:val="24"/>
                <w:highlight w:val="none"/>
              </w:rPr>
              <w:t>万元</w:t>
            </w:r>
          </w:p>
        </w:tc>
        <w:tc>
          <w:tcPr>
            <w:tcW w:w="3346" w:type="dxa"/>
            <w:gridSpan w:val="5"/>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固定资产净值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98" w:type="dxa"/>
            <w:vMerge w:val="restart"/>
            <w:vAlign w:val="center"/>
          </w:tcPr>
          <w:p>
            <w:pPr>
              <w:tabs>
                <w:tab w:val="left" w:pos="540"/>
              </w:tabs>
              <w:adjustRightInd w:val="0"/>
              <w:snapToGrid w:val="0"/>
              <w:ind w:left="-134" w:leftChars="-64" w:right="-105" w:rightChars="-50"/>
              <w:jc w:val="center"/>
              <w:textAlignment w:val="center"/>
              <w:rPr>
                <w:rFonts w:ascii="宋体" w:hAnsi="宋体" w:cs="宋体"/>
                <w:snapToGrid w:val="0"/>
                <w:sz w:val="24"/>
                <w:highlight w:val="none"/>
              </w:rPr>
            </w:pPr>
            <w:r>
              <w:rPr>
                <w:rFonts w:ascii="宋体" w:hAnsi="宋体" w:cs="宋体"/>
                <w:snapToGrid w:val="0"/>
                <w:sz w:val="24"/>
                <w:highlight w:val="none"/>
              </w:rPr>
              <w:t>财务状况</w:t>
            </w: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年度</w:t>
            </w:r>
          </w:p>
        </w:tc>
        <w:tc>
          <w:tcPr>
            <w:tcW w:w="146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主营收入</w:t>
            </w:r>
          </w:p>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（万元）</w:t>
            </w:r>
          </w:p>
        </w:tc>
        <w:tc>
          <w:tcPr>
            <w:tcW w:w="1620"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收入总额</w:t>
            </w:r>
          </w:p>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（万元）</w:t>
            </w:r>
          </w:p>
        </w:tc>
        <w:tc>
          <w:tcPr>
            <w:tcW w:w="1260" w:type="dxa"/>
            <w:gridSpan w:val="2"/>
            <w:vAlign w:val="center"/>
          </w:tcPr>
          <w:p>
            <w:pPr>
              <w:tabs>
                <w:tab w:val="left" w:pos="540"/>
              </w:tabs>
              <w:adjustRightInd w:val="0"/>
              <w:snapToGrid w:val="0"/>
              <w:ind w:left="-134" w:leftChars="-64" w:right="-105" w:rightChars="-50" w:firstLine="132"/>
              <w:jc w:val="center"/>
              <w:textAlignment w:val="center"/>
              <w:rPr>
                <w:rFonts w:ascii="宋体" w:hAnsi="宋体" w:cs="宋体"/>
                <w:snapToGrid w:val="0"/>
                <w:sz w:val="24"/>
                <w:highlight w:val="none"/>
              </w:rPr>
            </w:pPr>
            <w:r>
              <w:rPr>
                <w:rFonts w:ascii="宋体" w:hAnsi="宋体" w:cs="宋体"/>
                <w:snapToGrid w:val="0"/>
                <w:sz w:val="24"/>
                <w:highlight w:val="none"/>
              </w:rPr>
              <w:t>利润总额（万元）</w:t>
            </w:r>
          </w:p>
        </w:tc>
        <w:tc>
          <w:tcPr>
            <w:tcW w:w="1080" w:type="dxa"/>
            <w:gridSpan w:val="2"/>
            <w:vAlign w:val="center"/>
          </w:tcPr>
          <w:p>
            <w:pPr>
              <w:tabs>
                <w:tab w:val="left" w:pos="540"/>
              </w:tabs>
              <w:adjustRightInd w:val="0"/>
              <w:snapToGrid w:val="0"/>
              <w:ind w:left="-134" w:leftChars="-64" w:right="44" w:rightChars="21" w:firstLine="132"/>
              <w:jc w:val="center"/>
              <w:textAlignment w:val="center"/>
              <w:rPr>
                <w:rFonts w:ascii="宋体" w:hAnsi="宋体" w:cs="宋体"/>
                <w:snapToGrid w:val="0"/>
                <w:sz w:val="24"/>
                <w:highlight w:val="none"/>
              </w:rPr>
            </w:pPr>
            <w:r>
              <w:rPr>
                <w:rFonts w:ascii="宋体" w:hAnsi="宋体" w:cs="宋体"/>
                <w:snapToGrid w:val="0"/>
                <w:sz w:val="24"/>
                <w:highlight w:val="none"/>
              </w:rPr>
              <w:t>净利润（万元）</w:t>
            </w:r>
          </w:p>
        </w:tc>
        <w:tc>
          <w:tcPr>
            <w:tcW w:w="1006"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r>
              <w:rPr>
                <w:rFonts w:ascii="宋体" w:hAnsi="宋体" w:cs="宋体"/>
                <w:snapToGrid w:val="0"/>
                <w:sz w:val="24"/>
                <w:highlight w:val="none"/>
              </w:rPr>
              <w:t>资产负债率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998" w:type="dxa"/>
            <w:vMerge w:val="continue"/>
            <w:vAlign w:val="center"/>
          </w:tcPr>
          <w:p>
            <w:pPr>
              <w:tabs>
                <w:tab w:val="left" w:pos="540"/>
              </w:tabs>
              <w:adjustRightInd w:val="0"/>
              <w:snapToGrid w:val="0"/>
              <w:spacing w:line="360" w:lineRule="auto"/>
              <w:ind w:left="-132" w:leftChars="-64" w:right="-105" w:rightChars="-50" w:hanging="2"/>
              <w:jc w:val="center"/>
              <w:textAlignment w:val="center"/>
              <w:rPr>
                <w:rFonts w:ascii="宋体" w:hAnsi="宋体" w:cs="宋体"/>
                <w:snapToGrid w:val="0"/>
                <w:sz w:val="24"/>
                <w:highlight w:val="none"/>
              </w:rPr>
            </w:pPr>
          </w:p>
        </w:tc>
        <w:tc>
          <w:tcPr>
            <w:tcW w:w="147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460"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620" w:type="dxa"/>
            <w:gridSpan w:val="2"/>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c>
          <w:tcPr>
            <w:tcW w:w="1260" w:type="dxa"/>
            <w:gridSpan w:val="2"/>
            <w:vAlign w:val="center"/>
          </w:tcPr>
          <w:p>
            <w:pPr>
              <w:tabs>
                <w:tab w:val="left" w:pos="540"/>
              </w:tabs>
              <w:adjustRightInd w:val="0"/>
              <w:snapToGrid w:val="0"/>
              <w:ind w:left="-134" w:leftChars="-64" w:right="-105" w:rightChars="-50" w:firstLine="132"/>
              <w:jc w:val="center"/>
              <w:textAlignment w:val="center"/>
              <w:rPr>
                <w:rFonts w:ascii="宋体" w:hAnsi="宋体" w:cs="宋体"/>
                <w:snapToGrid w:val="0"/>
                <w:sz w:val="24"/>
                <w:highlight w:val="none"/>
              </w:rPr>
            </w:pPr>
          </w:p>
        </w:tc>
        <w:tc>
          <w:tcPr>
            <w:tcW w:w="1080" w:type="dxa"/>
            <w:gridSpan w:val="2"/>
            <w:vAlign w:val="center"/>
          </w:tcPr>
          <w:p>
            <w:pPr>
              <w:tabs>
                <w:tab w:val="left" w:pos="540"/>
              </w:tabs>
              <w:adjustRightInd w:val="0"/>
              <w:snapToGrid w:val="0"/>
              <w:ind w:left="-134" w:leftChars="-64" w:right="44" w:rightChars="21" w:firstLine="132"/>
              <w:jc w:val="center"/>
              <w:textAlignment w:val="center"/>
              <w:rPr>
                <w:rFonts w:ascii="宋体" w:hAnsi="宋体" w:cs="宋体"/>
                <w:snapToGrid w:val="0"/>
                <w:sz w:val="24"/>
                <w:highlight w:val="none"/>
              </w:rPr>
            </w:pPr>
          </w:p>
        </w:tc>
        <w:tc>
          <w:tcPr>
            <w:tcW w:w="1006" w:type="dxa"/>
            <w:vAlign w:val="center"/>
          </w:tcPr>
          <w:p>
            <w:pPr>
              <w:tabs>
                <w:tab w:val="left" w:pos="540"/>
              </w:tabs>
              <w:adjustRightInd w:val="0"/>
              <w:snapToGrid w:val="0"/>
              <w:ind w:left="-132" w:leftChars="-64" w:right="-105" w:rightChars="-50" w:hanging="2"/>
              <w:jc w:val="center"/>
              <w:textAlignment w:val="center"/>
              <w:rPr>
                <w:rFonts w:ascii="宋体" w:hAnsi="宋体" w:cs="宋体"/>
                <w:snapToGrid w:val="0"/>
                <w:sz w:val="24"/>
                <w:highlight w:val="none"/>
              </w:rPr>
            </w:pPr>
          </w:p>
        </w:tc>
      </w:tr>
    </w:tbl>
    <w:p>
      <w:pPr>
        <w:tabs>
          <w:tab w:val="left" w:pos="180"/>
        </w:tabs>
        <w:spacing w:line="360" w:lineRule="auto"/>
        <w:ind w:left="-239" w:leftChars="-114" w:firstLine="107" w:firstLineChars="49"/>
        <w:rPr>
          <w:rFonts w:ascii="宋体" w:hAnsi="宋体" w:cs="宋体"/>
          <w:bCs/>
          <w:sz w:val="22"/>
          <w:szCs w:val="44"/>
          <w:highlight w:val="none"/>
          <w:lang w:val="en-GB"/>
        </w:rPr>
      </w:pPr>
      <w:r>
        <w:rPr>
          <w:rFonts w:ascii="宋体" w:hAnsi="宋体" w:cs="宋体"/>
          <w:bCs/>
          <w:sz w:val="22"/>
          <w:szCs w:val="44"/>
          <w:highlight w:val="none"/>
          <w:lang w:val="en-GB"/>
        </w:rPr>
        <w:t>注：1</w:t>
      </w:r>
      <w:r>
        <w:rPr>
          <w:rFonts w:hint="eastAsia" w:ascii="宋体" w:hAnsi="宋体" w:cs="宋体"/>
          <w:bCs/>
          <w:sz w:val="22"/>
          <w:szCs w:val="44"/>
          <w:highlight w:val="none"/>
          <w:lang w:val="en-US" w:eastAsia="zh-CN"/>
        </w:rPr>
        <w:t>.</w:t>
      </w:r>
      <w:r>
        <w:rPr>
          <w:rFonts w:ascii="宋体" w:hAnsi="宋体" w:cs="宋体"/>
          <w:bCs/>
          <w:sz w:val="22"/>
          <w:szCs w:val="44"/>
          <w:highlight w:val="none"/>
          <w:lang w:val="en-GB"/>
        </w:rPr>
        <w:t>根据本表内容相应进行文字描述，如单位性质、发展历程、经营规模及服务理念、主营业务、技术力量等。</w:t>
      </w:r>
    </w:p>
    <w:p>
      <w:pPr>
        <w:tabs>
          <w:tab w:val="left" w:pos="180"/>
        </w:tabs>
        <w:spacing w:line="360" w:lineRule="auto"/>
        <w:ind w:left="-239" w:leftChars="-114" w:firstLine="107" w:firstLineChars="49"/>
        <w:rPr>
          <w:rFonts w:ascii="宋体" w:hAnsi="宋体" w:cs="宋体"/>
          <w:bCs/>
          <w:sz w:val="22"/>
          <w:szCs w:val="44"/>
          <w:highlight w:val="none"/>
          <w:lang w:val="en-GB"/>
        </w:rPr>
      </w:pPr>
      <w:r>
        <w:rPr>
          <w:rFonts w:ascii="宋体" w:hAnsi="宋体" w:cs="宋体"/>
          <w:bCs/>
          <w:sz w:val="22"/>
          <w:szCs w:val="44"/>
          <w:highlight w:val="none"/>
          <w:lang w:val="en-GB"/>
        </w:rPr>
        <w:t>2</w:t>
      </w:r>
      <w:r>
        <w:rPr>
          <w:rFonts w:hint="eastAsia" w:ascii="宋体" w:hAnsi="宋体" w:cs="宋体"/>
          <w:bCs/>
          <w:sz w:val="22"/>
          <w:szCs w:val="44"/>
          <w:highlight w:val="none"/>
          <w:lang w:val="en-US" w:eastAsia="zh-CN"/>
        </w:rPr>
        <w:t>.</w:t>
      </w:r>
      <w:r>
        <w:rPr>
          <w:rFonts w:ascii="宋体" w:hAnsi="宋体" w:cs="宋体"/>
          <w:bCs/>
          <w:sz w:val="22"/>
          <w:szCs w:val="44"/>
          <w:highlight w:val="none"/>
          <w:lang w:val="en-GB"/>
        </w:rPr>
        <w:t>如投标人此表数据或材料有虚假，一经查实，自行承担相关责任。</w:t>
      </w:r>
    </w:p>
    <w:p>
      <w:pPr>
        <w:pStyle w:val="4"/>
        <w:spacing w:before="0" w:after="0" w:line="360" w:lineRule="auto"/>
        <w:jc w:val="center"/>
        <w:rPr>
          <w:rFonts w:ascii="宋体" w:hAnsi="宋体" w:eastAsia="宋体" w:cs="宋体"/>
          <w:sz w:val="28"/>
          <w:szCs w:val="28"/>
          <w:highlight w:val="none"/>
        </w:rPr>
      </w:pPr>
      <w:r>
        <w:rPr>
          <w:rFonts w:hint="default" w:ascii="宋体" w:hAnsi="宋体" w:eastAsia="宋体" w:cs="宋体"/>
          <w:sz w:val="28"/>
          <w:szCs w:val="28"/>
          <w:highlight w:val="none"/>
        </w:rPr>
        <w:br w:type="page"/>
      </w:r>
      <w:r>
        <w:rPr>
          <w:rFonts w:ascii="宋体" w:hAnsi="宋体" w:eastAsia="宋体" w:cs="宋体"/>
          <w:sz w:val="28"/>
          <w:szCs w:val="28"/>
          <w:highlight w:val="none"/>
        </w:rPr>
        <w:t>投标函</w:t>
      </w:r>
    </w:p>
    <w:p>
      <w:pPr>
        <w:adjustRightInd w:val="0"/>
        <w:snapToGrid w:val="0"/>
        <w:spacing w:line="360" w:lineRule="auto"/>
        <w:ind w:firstLine="110" w:firstLineChars="50"/>
        <w:rPr>
          <w:rFonts w:ascii="宋体" w:hAnsi="宋体" w:cs="宋体"/>
          <w:sz w:val="22"/>
          <w:highlight w:val="none"/>
        </w:rPr>
      </w:pPr>
      <w:r>
        <w:rPr>
          <w:rFonts w:ascii="宋体" w:hAnsi="宋体" w:cs="宋体"/>
          <w:sz w:val="22"/>
          <w:highlight w:val="none"/>
          <w:u w:val="single"/>
        </w:rPr>
        <w:t>佛山市XXXXXXXX有限公司</w:t>
      </w:r>
      <w:r>
        <w:rPr>
          <w:rFonts w:ascii="宋体" w:hAnsi="宋体" w:cs="宋体"/>
          <w:sz w:val="22"/>
          <w:highlight w:val="none"/>
        </w:rPr>
        <w:t xml:space="preserve">： </w:t>
      </w:r>
    </w:p>
    <w:p>
      <w:pPr>
        <w:autoSpaceDE w:val="0"/>
        <w:autoSpaceDN w:val="0"/>
        <w:adjustRightInd w:val="0"/>
        <w:spacing w:line="360" w:lineRule="auto"/>
        <w:ind w:right="26" w:firstLine="440" w:firstLineChars="200"/>
        <w:rPr>
          <w:rFonts w:ascii="宋体" w:hAnsi="宋体" w:cs="宋体"/>
          <w:kern w:val="0"/>
          <w:sz w:val="22"/>
          <w:highlight w:val="none"/>
        </w:rPr>
      </w:pPr>
      <w:r>
        <w:rPr>
          <w:rFonts w:ascii="宋体" w:hAnsi="宋体" w:cs="宋体"/>
          <w:kern w:val="0"/>
          <w:sz w:val="22"/>
          <w:highlight w:val="none"/>
        </w:rPr>
        <w:t>依据贵方</w:t>
      </w:r>
      <w:r>
        <w:rPr>
          <w:rFonts w:hint="eastAsia" w:ascii="宋体" w:hAnsi="宋体" w:cs="宋体"/>
          <w:sz w:val="22"/>
          <w:highlight w:val="none"/>
          <w:u w:val="single"/>
          <w:lang w:eastAsia="zh-CN"/>
        </w:rPr>
        <w:t>景裕豪园和宇佳水岸新都花园两处公交站场充电站</w:t>
      </w:r>
      <w:r>
        <w:rPr>
          <w:rFonts w:ascii="宋体" w:hAnsi="宋体" w:cs="宋体"/>
          <w:sz w:val="22"/>
          <w:highlight w:val="none"/>
          <w:u w:val="single"/>
        </w:rPr>
        <w:t>建设运营服务资格项目</w:t>
      </w:r>
      <w:r>
        <w:rPr>
          <w:rFonts w:ascii="宋体" w:hAnsi="宋体" w:cs="宋体"/>
          <w:kern w:val="0"/>
          <w:sz w:val="22"/>
          <w:highlight w:val="none"/>
        </w:rPr>
        <w:t>的采购服务的投标邀请，我方代表</w:t>
      </w:r>
      <w:r>
        <w:rPr>
          <w:rFonts w:ascii="宋体" w:hAnsi="宋体" w:cs="宋体"/>
          <w:sz w:val="22"/>
          <w:highlight w:val="none"/>
          <w:u w:val="single"/>
        </w:rPr>
        <w:t>（姓名、职务）</w:t>
      </w:r>
      <w:r>
        <w:rPr>
          <w:rFonts w:ascii="宋体" w:hAnsi="宋体" w:cs="宋体"/>
          <w:kern w:val="0"/>
          <w:sz w:val="22"/>
          <w:highlight w:val="none"/>
        </w:rPr>
        <w:t>经正式授权并代表</w:t>
      </w:r>
      <w:r>
        <w:rPr>
          <w:rFonts w:ascii="宋体" w:hAnsi="宋体" w:cs="宋体"/>
          <w:sz w:val="22"/>
          <w:highlight w:val="none"/>
          <w:u w:val="single"/>
        </w:rPr>
        <w:t>（投标人名称、地址）</w:t>
      </w:r>
      <w:r>
        <w:rPr>
          <w:rFonts w:ascii="宋体" w:hAnsi="宋体" w:cs="宋体"/>
          <w:kern w:val="0"/>
          <w:sz w:val="22"/>
          <w:highlight w:val="none"/>
        </w:rPr>
        <w:t>提交投标文件正本</w:t>
      </w:r>
      <w:r>
        <w:rPr>
          <w:rFonts w:ascii="宋体" w:hAnsi="宋体" w:cs="宋体"/>
          <w:kern w:val="0"/>
          <w:sz w:val="22"/>
          <w:highlight w:val="none"/>
          <w:u w:val="single"/>
        </w:rPr>
        <w:t>一</w:t>
      </w:r>
      <w:r>
        <w:rPr>
          <w:rFonts w:ascii="宋体" w:hAnsi="宋体" w:cs="宋体"/>
          <w:kern w:val="0"/>
          <w:sz w:val="22"/>
          <w:highlight w:val="none"/>
        </w:rPr>
        <w:t>份，副本</w:t>
      </w:r>
      <w:r>
        <w:rPr>
          <w:rFonts w:ascii="宋体" w:hAnsi="宋体" w:cs="宋体"/>
          <w:kern w:val="0"/>
          <w:sz w:val="22"/>
          <w:highlight w:val="none"/>
          <w:u w:val="single"/>
        </w:rPr>
        <w:t>四份</w:t>
      </w:r>
      <w:r>
        <w:rPr>
          <w:rFonts w:ascii="宋体" w:hAnsi="宋体" w:cs="宋体"/>
          <w:kern w:val="0"/>
          <w:sz w:val="22"/>
          <w:highlight w:val="none"/>
        </w:rPr>
        <w:t>。</w:t>
      </w:r>
    </w:p>
    <w:p>
      <w:pPr>
        <w:autoSpaceDE w:val="0"/>
        <w:autoSpaceDN w:val="0"/>
        <w:adjustRightInd w:val="0"/>
        <w:spacing w:line="360" w:lineRule="auto"/>
        <w:ind w:right="246"/>
        <w:rPr>
          <w:rFonts w:ascii="宋体" w:hAnsi="宋体" w:cs="宋体"/>
          <w:kern w:val="0"/>
          <w:sz w:val="22"/>
          <w:highlight w:val="none"/>
        </w:rPr>
      </w:pPr>
      <w:r>
        <w:rPr>
          <w:rFonts w:ascii="宋体" w:hAnsi="宋体" w:cs="宋体"/>
          <w:kern w:val="0"/>
          <w:sz w:val="22"/>
          <w:highlight w:val="none"/>
        </w:rPr>
        <w:t>在此，我方声明如下：</w:t>
      </w:r>
    </w:p>
    <w:p>
      <w:pPr>
        <w:spacing w:line="360" w:lineRule="auto"/>
        <w:ind w:firstLine="440" w:firstLineChars="200"/>
        <w:rPr>
          <w:rFonts w:ascii="宋体" w:hAnsi="宋体" w:cs="宋体"/>
          <w:sz w:val="22"/>
          <w:highlight w:val="none"/>
        </w:rPr>
      </w:pPr>
      <w:r>
        <w:rPr>
          <w:rFonts w:ascii="宋体" w:hAnsi="宋体" w:cs="宋体"/>
          <w:sz w:val="22"/>
          <w:highlight w:val="none"/>
        </w:rPr>
        <w:t>1.同意并接受招标文件的各项要求，遵守招标文件中的各项规定，按招标文件的要求提供报价。</w:t>
      </w:r>
    </w:p>
    <w:p>
      <w:pPr>
        <w:spacing w:line="360" w:lineRule="auto"/>
        <w:ind w:firstLine="440" w:firstLineChars="200"/>
        <w:rPr>
          <w:rFonts w:ascii="宋体" w:hAnsi="宋体" w:cs="宋体"/>
          <w:sz w:val="22"/>
          <w:highlight w:val="none"/>
        </w:rPr>
      </w:pPr>
      <w:r>
        <w:rPr>
          <w:rFonts w:ascii="宋体" w:hAnsi="宋体" w:cs="宋体"/>
          <w:sz w:val="22"/>
          <w:highlight w:val="none"/>
        </w:rPr>
        <w:t>2.投标有效期为从提交投标文件的截止之日起90天，中标人的投标有效期延续到合同终止日。</w:t>
      </w:r>
    </w:p>
    <w:p>
      <w:pPr>
        <w:spacing w:line="360" w:lineRule="auto"/>
        <w:ind w:firstLine="440" w:firstLineChars="200"/>
        <w:rPr>
          <w:rFonts w:ascii="宋体" w:hAnsi="宋体" w:cs="宋体"/>
          <w:sz w:val="22"/>
          <w:highlight w:val="none"/>
        </w:rPr>
      </w:pPr>
      <w:r>
        <w:rPr>
          <w:rFonts w:ascii="宋体" w:hAnsi="宋体" w:cs="宋体"/>
          <w:sz w:val="22"/>
          <w:highlight w:val="none"/>
        </w:rPr>
        <w:t>3.我方已经详细地阅读了全部招标文件及其附件，包括澄清及参考文件(</w:t>
      </w:r>
      <w:r>
        <w:rPr>
          <w:rFonts w:hint="eastAsia" w:ascii="宋体" w:hAnsi="宋体" w:cs="宋体"/>
          <w:sz w:val="22"/>
          <w:highlight w:val="none"/>
          <w:lang w:val="en-US" w:eastAsia="zh-CN"/>
        </w:rPr>
        <w:t>若有</w:t>
      </w:r>
      <w:r>
        <w:rPr>
          <w:rFonts w:ascii="宋体" w:hAnsi="宋体" w:cs="宋体"/>
          <w:sz w:val="22"/>
          <w:highlight w:val="none"/>
        </w:rPr>
        <w:t>)。我方已完全清晰理解招标文件的要求，不存在任何含糊不清和误解之处，同意放弃对这些文件所提出的异议和质疑的权利。</w:t>
      </w:r>
    </w:p>
    <w:p>
      <w:pPr>
        <w:spacing w:line="360" w:lineRule="auto"/>
        <w:ind w:firstLine="440" w:firstLineChars="200"/>
        <w:rPr>
          <w:rFonts w:ascii="宋体" w:hAnsi="宋体" w:cs="宋体"/>
          <w:sz w:val="22"/>
          <w:highlight w:val="none"/>
        </w:rPr>
      </w:pPr>
      <w:r>
        <w:rPr>
          <w:rFonts w:ascii="宋体" w:hAnsi="宋体" w:cs="宋体"/>
          <w:sz w:val="22"/>
          <w:highlight w:val="none"/>
        </w:rPr>
        <w:t>4.我方已毫无保留地向贵方提供一切所需的证明材料。</w:t>
      </w:r>
    </w:p>
    <w:p>
      <w:pPr>
        <w:spacing w:line="360" w:lineRule="auto"/>
        <w:ind w:firstLine="413" w:firstLineChars="188"/>
        <w:rPr>
          <w:rFonts w:ascii="宋体" w:hAnsi="宋体" w:cs="宋体"/>
          <w:sz w:val="22"/>
          <w:highlight w:val="none"/>
        </w:rPr>
      </w:pPr>
      <w:r>
        <w:rPr>
          <w:rFonts w:ascii="宋体" w:hAnsi="宋体" w:cs="宋体"/>
          <w:sz w:val="22"/>
          <w:highlight w:val="none"/>
        </w:rPr>
        <w:t>5.我方承诺在本次投标文件中提供的一切文件，无论是原件还是复印件均为真实和准确的，绝无任何虚假、伪造和夸大的成份，否则，愿承担相应的后果和法律责任。</w:t>
      </w:r>
    </w:p>
    <w:p>
      <w:pPr>
        <w:spacing w:line="360" w:lineRule="auto"/>
        <w:ind w:firstLine="442" w:firstLineChars="201"/>
        <w:rPr>
          <w:rFonts w:ascii="宋体" w:hAnsi="宋体" w:cs="宋体"/>
          <w:sz w:val="22"/>
          <w:highlight w:val="none"/>
        </w:rPr>
      </w:pPr>
      <w:r>
        <w:rPr>
          <w:rFonts w:ascii="宋体" w:hAnsi="宋体" w:cs="宋体"/>
          <w:sz w:val="22"/>
          <w:highlight w:val="none"/>
        </w:rPr>
        <w:t>6.我方完全服从和尊重评委会所作的评定结果，同时清楚理解到报价最低并非意味着必定获得中标资格。</w:t>
      </w:r>
    </w:p>
    <w:p>
      <w:pPr>
        <w:spacing w:line="360" w:lineRule="auto"/>
        <w:ind w:firstLine="440" w:firstLineChars="200"/>
        <w:rPr>
          <w:rFonts w:ascii="宋体" w:hAnsi="宋体" w:cs="宋体"/>
          <w:sz w:val="22"/>
          <w:highlight w:val="none"/>
        </w:rPr>
      </w:pPr>
    </w:p>
    <w:p>
      <w:pPr>
        <w:autoSpaceDE w:val="0"/>
        <w:autoSpaceDN w:val="0"/>
        <w:adjustRightInd w:val="0"/>
        <w:spacing w:line="360" w:lineRule="auto"/>
        <w:ind w:right="246"/>
        <w:rPr>
          <w:rFonts w:ascii="宋体" w:hAnsi="宋体" w:cs="宋体"/>
          <w:kern w:val="0"/>
          <w:sz w:val="22"/>
          <w:highlight w:val="none"/>
        </w:rPr>
      </w:pPr>
    </w:p>
    <w:p>
      <w:pPr>
        <w:autoSpaceDE w:val="0"/>
        <w:autoSpaceDN w:val="0"/>
        <w:adjustRightInd w:val="0"/>
        <w:spacing w:line="360" w:lineRule="auto"/>
        <w:ind w:right="246"/>
        <w:rPr>
          <w:rFonts w:ascii="宋体" w:hAnsi="宋体" w:cs="宋体"/>
          <w:sz w:val="22"/>
          <w:highlight w:val="none"/>
        </w:rPr>
      </w:pPr>
      <w:r>
        <w:rPr>
          <w:rFonts w:ascii="宋体" w:hAnsi="宋体" w:cs="宋体"/>
          <w:kern w:val="0"/>
          <w:sz w:val="22"/>
          <w:highlight w:val="none"/>
        </w:rPr>
        <w:t>投标人</w:t>
      </w:r>
      <w:r>
        <w:rPr>
          <w:rFonts w:ascii="宋体" w:hAnsi="宋体" w:cs="宋体"/>
          <w:sz w:val="22"/>
          <w:highlight w:val="none"/>
        </w:rPr>
        <w:t>名称(加盖公章)：</w:t>
      </w:r>
      <w:r>
        <w:rPr>
          <w:rFonts w:ascii="宋体" w:hAnsi="宋体" w:cs="宋体"/>
          <w:sz w:val="22"/>
          <w:highlight w:val="none"/>
          <w:u w:val="single"/>
        </w:rPr>
        <w:t xml:space="preserve">              </w:t>
      </w:r>
    </w:p>
    <w:p>
      <w:pPr>
        <w:autoSpaceDE w:val="0"/>
        <w:autoSpaceDN w:val="0"/>
        <w:adjustRightInd w:val="0"/>
        <w:spacing w:line="360" w:lineRule="auto"/>
        <w:ind w:right="246"/>
        <w:rPr>
          <w:rFonts w:ascii="宋体" w:hAnsi="宋体" w:cs="宋体"/>
          <w:sz w:val="22"/>
          <w:highlight w:val="none"/>
          <w:u w:val="single"/>
        </w:rPr>
      </w:pPr>
      <w:r>
        <w:rPr>
          <w:rFonts w:ascii="宋体" w:hAnsi="宋体" w:cs="宋体"/>
          <w:kern w:val="0"/>
          <w:sz w:val="22"/>
          <w:highlight w:val="none"/>
        </w:rPr>
        <w:t>投标人法定代表人/负责人（或法定代表人/负责人授权代表）签字</w:t>
      </w:r>
      <w:r>
        <w:rPr>
          <w:rFonts w:ascii="宋体" w:hAnsi="宋体" w:cs="宋体"/>
          <w:sz w:val="22"/>
          <w:highlight w:val="none"/>
        </w:rPr>
        <w:t>：</w:t>
      </w:r>
      <w:r>
        <w:rPr>
          <w:rFonts w:ascii="宋体" w:hAnsi="宋体" w:cs="宋体"/>
          <w:sz w:val="22"/>
          <w:highlight w:val="none"/>
          <w:u w:val="single"/>
        </w:rPr>
        <w:t xml:space="preserve">             </w:t>
      </w:r>
    </w:p>
    <w:p>
      <w:pPr>
        <w:autoSpaceDE w:val="0"/>
        <w:autoSpaceDN w:val="0"/>
        <w:adjustRightInd w:val="0"/>
        <w:spacing w:line="360" w:lineRule="auto"/>
        <w:ind w:right="246"/>
        <w:rPr>
          <w:rFonts w:ascii="宋体" w:hAnsi="宋体" w:cs="宋体"/>
          <w:kern w:val="0"/>
          <w:sz w:val="22"/>
          <w:highlight w:val="none"/>
        </w:rPr>
      </w:pPr>
      <w:r>
        <w:rPr>
          <w:rFonts w:ascii="宋体" w:hAnsi="宋体" w:cs="宋体"/>
          <w:kern w:val="0"/>
          <w:sz w:val="22"/>
          <w:highlight w:val="none"/>
        </w:rPr>
        <w:t>地址：</w:t>
      </w:r>
      <w:r>
        <w:rPr>
          <w:rFonts w:ascii="宋体" w:hAnsi="宋体" w:cs="宋体"/>
          <w:kern w:val="0"/>
          <w:sz w:val="22"/>
          <w:highlight w:val="none"/>
          <w:u w:val="single"/>
        </w:rPr>
        <w:t xml:space="preserve">             </w:t>
      </w:r>
      <w:r>
        <w:rPr>
          <w:rFonts w:ascii="宋体" w:hAnsi="宋体" w:cs="宋体"/>
          <w:kern w:val="0"/>
          <w:sz w:val="22"/>
          <w:highlight w:val="none"/>
        </w:rPr>
        <w:t xml:space="preserve">    </w:t>
      </w:r>
    </w:p>
    <w:p>
      <w:pPr>
        <w:autoSpaceDE w:val="0"/>
        <w:autoSpaceDN w:val="0"/>
        <w:adjustRightInd w:val="0"/>
        <w:spacing w:line="360" w:lineRule="auto"/>
        <w:ind w:right="246"/>
        <w:rPr>
          <w:rFonts w:ascii="宋体" w:hAnsi="宋体" w:cs="宋体"/>
          <w:kern w:val="0"/>
          <w:sz w:val="22"/>
          <w:highlight w:val="none"/>
        </w:rPr>
      </w:pPr>
      <w:r>
        <w:rPr>
          <w:rFonts w:ascii="宋体" w:hAnsi="宋体" w:cs="宋体"/>
          <w:kern w:val="0"/>
          <w:sz w:val="22"/>
          <w:highlight w:val="none"/>
        </w:rPr>
        <w:t>电话：</w:t>
      </w:r>
      <w:r>
        <w:rPr>
          <w:rFonts w:ascii="宋体" w:hAnsi="宋体" w:cs="宋体"/>
          <w:kern w:val="0"/>
          <w:sz w:val="22"/>
          <w:highlight w:val="none"/>
          <w:u w:val="single"/>
        </w:rPr>
        <w:t xml:space="preserve">              </w:t>
      </w:r>
      <w:r>
        <w:rPr>
          <w:rFonts w:ascii="宋体" w:hAnsi="宋体" w:cs="宋体"/>
          <w:kern w:val="0"/>
          <w:sz w:val="22"/>
          <w:highlight w:val="none"/>
        </w:rPr>
        <w:t>传真：</w:t>
      </w:r>
      <w:r>
        <w:rPr>
          <w:rFonts w:ascii="宋体" w:hAnsi="宋体" w:cs="宋体"/>
          <w:kern w:val="0"/>
          <w:sz w:val="22"/>
          <w:highlight w:val="none"/>
          <w:u w:val="single"/>
        </w:rPr>
        <w:t xml:space="preserve">              </w:t>
      </w:r>
      <w:r>
        <w:rPr>
          <w:rFonts w:ascii="宋体" w:hAnsi="宋体" w:cs="宋体"/>
          <w:kern w:val="0"/>
          <w:sz w:val="22"/>
          <w:highlight w:val="none"/>
        </w:rPr>
        <w:t xml:space="preserve">   电子邮件：</w:t>
      </w:r>
      <w:r>
        <w:rPr>
          <w:rFonts w:ascii="宋体" w:hAnsi="宋体" w:cs="宋体"/>
          <w:kern w:val="0"/>
          <w:sz w:val="22"/>
          <w:highlight w:val="none"/>
          <w:u w:val="single"/>
        </w:rPr>
        <w:t xml:space="preserve">         </w:t>
      </w:r>
    </w:p>
    <w:p>
      <w:pPr>
        <w:adjustRightInd w:val="0"/>
        <w:snapToGrid w:val="0"/>
        <w:spacing w:line="360" w:lineRule="auto"/>
        <w:rPr>
          <w:rFonts w:ascii="宋体" w:hAnsi="宋体" w:cs="宋体"/>
          <w:sz w:val="22"/>
          <w:highlight w:val="none"/>
          <w:u w:val="single"/>
        </w:rPr>
      </w:pPr>
      <w:r>
        <w:rPr>
          <w:rFonts w:ascii="宋体" w:hAnsi="宋体" w:cs="宋体"/>
          <w:sz w:val="22"/>
          <w:highlight w:val="none"/>
        </w:rPr>
        <w:t>开户银行：</w:t>
      </w:r>
      <w:r>
        <w:rPr>
          <w:rFonts w:ascii="宋体" w:hAnsi="宋体" w:cs="宋体"/>
          <w:sz w:val="22"/>
          <w:highlight w:val="none"/>
          <w:u w:val="single"/>
        </w:rPr>
        <w:t xml:space="preserve">         </w:t>
      </w:r>
    </w:p>
    <w:p>
      <w:pPr>
        <w:tabs>
          <w:tab w:val="left" w:pos="5250"/>
        </w:tabs>
        <w:autoSpaceDE w:val="0"/>
        <w:autoSpaceDN w:val="0"/>
        <w:spacing w:line="360" w:lineRule="auto"/>
        <w:rPr>
          <w:rFonts w:ascii="宋体" w:hAnsi="宋体" w:cs="宋体"/>
          <w:sz w:val="22"/>
          <w:highlight w:val="none"/>
          <w:u w:val="single"/>
        </w:rPr>
      </w:pPr>
      <w:r>
        <w:rPr>
          <w:rFonts w:ascii="宋体" w:hAnsi="宋体" w:cs="宋体"/>
          <w:sz w:val="22"/>
          <w:highlight w:val="none"/>
        </w:rPr>
        <w:t>帐号：</w:t>
      </w:r>
      <w:r>
        <w:rPr>
          <w:rFonts w:ascii="宋体" w:hAnsi="宋体" w:cs="宋体"/>
          <w:sz w:val="22"/>
          <w:highlight w:val="none"/>
          <w:u w:val="single"/>
        </w:rPr>
        <w:t xml:space="preserve">             </w:t>
      </w:r>
    </w:p>
    <w:p>
      <w:pPr>
        <w:adjustRightInd w:val="0"/>
        <w:snapToGrid w:val="0"/>
        <w:spacing w:line="360" w:lineRule="auto"/>
        <w:rPr>
          <w:rFonts w:ascii="宋体" w:hAnsi="宋体" w:cs="宋体"/>
          <w:sz w:val="22"/>
          <w:highlight w:val="none"/>
          <w:u w:val="single"/>
        </w:rPr>
      </w:pPr>
      <w:r>
        <w:rPr>
          <w:rFonts w:ascii="宋体" w:hAnsi="宋体" w:cs="宋体"/>
          <w:sz w:val="22"/>
          <w:highlight w:val="none"/>
        </w:rPr>
        <w:t>日期：</w:t>
      </w:r>
      <w:r>
        <w:rPr>
          <w:rFonts w:ascii="宋体" w:hAnsi="宋体" w:cs="宋体"/>
          <w:sz w:val="22"/>
          <w:highlight w:val="none"/>
          <w:u w:val="single"/>
        </w:rPr>
        <w:t xml:space="preserve">                 </w:t>
      </w:r>
    </w:p>
    <w:p>
      <w:pPr>
        <w:rPr>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cs="宋体"/>
          <w:sz w:val="24"/>
          <w:highlight w:val="none"/>
        </w:rPr>
        <w:br w:type="page"/>
      </w:r>
      <w:r>
        <w:rPr>
          <w:rFonts w:ascii="宋体" w:hAnsi="宋体" w:eastAsia="宋体" w:cs="宋体"/>
          <w:sz w:val="28"/>
          <w:szCs w:val="28"/>
          <w:highlight w:val="none"/>
        </w:rPr>
        <w:t>法定代表人/负责人资格证明书</w:t>
      </w:r>
    </w:p>
    <w:p>
      <w:pPr>
        <w:spacing w:line="360" w:lineRule="auto"/>
        <w:jc w:val="center"/>
        <w:rPr>
          <w:rFonts w:ascii="宋体" w:hAnsi="宋体" w:cs="宋体"/>
          <w:b/>
          <w:sz w:val="24"/>
          <w:highlight w:val="none"/>
        </w:rPr>
      </w:pPr>
    </w:p>
    <w:p>
      <w:pPr>
        <w:adjustRightInd w:val="0"/>
        <w:snapToGrid w:val="0"/>
        <w:spacing w:line="360" w:lineRule="auto"/>
        <w:ind w:firstLine="120" w:firstLineChars="50"/>
        <w:rPr>
          <w:rFonts w:ascii="宋体" w:hAnsi="宋体" w:cs="宋体"/>
          <w:szCs w:val="21"/>
          <w:highlight w:val="none"/>
        </w:rPr>
      </w:pPr>
      <w:r>
        <w:rPr>
          <w:rFonts w:ascii="宋体" w:hAnsi="宋体" w:cs="宋体"/>
          <w:sz w:val="24"/>
          <w:highlight w:val="none"/>
        </w:rPr>
        <w:t>致</w:t>
      </w:r>
      <w:r>
        <w:rPr>
          <w:rFonts w:ascii="宋体" w:hAnsi="宋体" w:cs="宋体"/>
          <w:sz w:val="24"/>
          <w:highlight w:val="none"/>
          <w:u w:val="single"/>
        </w:rPr>
        <w:t>佛山市XXXXXXXX有限公司</w:t>
      </w:r>
      <w:r>
        <w:rPr>
          <w:rFonts w:ascii="宋体" w:hAnsi="宋体" w:cs="宋体"/>
          <w:sz w:val="24"/>
          <w:highlight w:val="none"/>
        </w:rPr>
        <w:t>：</w:t>
      </w:r>
      <w:r>
        <w:rPr>
          <w:rFonts w:ascii="宋体" w:hAnsi="宋体" w:cs="宋体"/>
          <w:szCs w:val="21"/>
          <w:highlight w:val="none"/>
        </w:rPr>
        <w:t xml:space="preserve"> </w:t>
      </w:r>
    </w:p>
    <w:p>
      <w:pPr>
        <w:adjustRightInd w:val="0"/>
        <w:snapToGrid w:val="0"/>
        <w:spacing w:line="360" w:lineRule="auto"/>
        <w:ind w:firstLine="105" w:firstLineChars="50"/>
        <w:rPr>
          <w:rFonts w:ascii="宋体" w:hAnsi="宋体" w:cs="宋体"/>
          <w:szCs w:val="21"/>
          <w:highlight w:val="none"/>
        </w:rPr>
      </w:pPr>
    </w:p>
    <w:p>
      <w:pPr>
        <w:rPr>
          <w:rFonts w:ascii="宋体" w:hAnsi="宋体" w:cs="宋体"/>
          <w:sz w:val="24"/>
          <w:highlight w:val="none"/>
        </w:rPr>
      </w:pPr>
      <w:r>
        <w:rPr>
          <w:rFonts w:ascii="宋体" w:hAnsi="宋体" w:cs="宋体"/>
          <w:sz w:val="26"/>
          <w:szCs w:val="28"/>
          <w:highlight w:val="none"/>
        </w:rPr>
        <w:t xml:space="preserve">   </w:t>
      </w:r>
      <w:r>
        <w:rPr>
          <w:rFonts w:ascii="宋体" w:hAnsi="宋体" w:cs="宋体"/>
          <w:sz w:val="24"/>
          <w:highlight w:val="none"/>
        </w:rPr>
        <w:t xml:space="preserve">  </w:t>
      </w:r>
      <w:r>
        <w:rPr>
          <w:rFonts w:ascii="宋体" w:hAnsi="宋体" w:cs="宋体"/>
          <w:sz w:val="24"/>
          <w:highlight w:val="none"/>
          <w:u w:val="single"/>
        </w:rPr>
        <w:t xml:space="preserve">          </w:t>
      </w:r>
      <w:r>
        <w:rPr>
          <w:rFonts w:ascii="宋体" w:hAnsi="宋体" w:cs="宋体"/>
          <w:sz w:val="24"/>
          <w:highlight w:val="none"/>
        </w:rPr>
        <w:t>同志，现任我单位</w:t>
      </w:r>
      <w:r>
        <w:rPr>
          <w:rFonts w:ascii="宋体" w:hAnsi="宋体" w:cs="宋体"/>
          <w:sz w:val="24"/>
          <w:highlight w:val="none"/>
          <w:u w:val="single"/>
        </w:rPr>
        <w:t xml:space="preserve">          </w:t>
      </w:r>
      <w:r>
        <w:rPr>
          <w:rFonts w:ascii="宋体" w:hAnsi="宋体" w:cs="宋体"/>
          <w:sz w:val="24"/>
          <w:highlight w:val="none"/>
        </w:rPr>
        <w:t>职务，为法定代表人/负责人，特此证明。</w:t>
      </w:r>
    </w:p>
    <w:p>
      <w:pPr>
        <w:ind w:firstLine="240" w:firstLineChars="100"/>
        <w:rPr>
          <w:rFonts w:ascii="宋体" w:hAnsi="宋体" w:cs="宋体"/>
          <w:sz w:val="24"/>
          <w:highlight w:val="none"/>
        </w:rPr>
      </w:pPr>
      <w:r>
        <w:rPr>
          <w:rFonts w:ascii="宋体" w:hAnsi="宋体" w:cs="宋体"/>
          <w:sz w:val="24"/>
          <w:highlight w:val="none"/>
        </w:rPr>
        <w:t>签发日期：           单位：           （盖章）</w:t>
      </w:r>
    </w:p>
    <w:p>
      <w:pPr>
        <w:ind w:firstLine="240" w:firstLineChars="100"/>
        <w:rPr>
          <w:rFonts w:ascii="宋体" w:hAnsi="宋体" w:cs="宋体"/>
          <w:sz w:val="24"/>
          <w:highlight w:val="none"/>
        </w:rPr>
      </w:pPr>
      <w:r>
        <w:rPr>
          <w:rFonts w:ascii="宋体" w:hAnsi="宋体" w:cs="宋体"/>
          <w:sz w:val="24"/>
          <w:highlight w:val="none"/>
        </w:rPr>
        <w:t>附：法定代表人/负责人的性别：            年龄：           身份证号码：</w:t>
      </w:r>
    </w:p>
    <w:p>
      <w:pPr>
        <w:ind w:firstLine="240" w:firstLineChars="100"/>
        <w:rPr>
          <w:rFonts w:ascii="宋体" w:hAnsi="宋体" w:cs="宋体"/>
          <w:sz w:val="24"/>
          <w:highlight w:val="none"/>
        </w:rPr>
      </w:pPr>
      <w:r>
        <w:rPr>
          <w:rFonts w:ascii="宋体" w:hAnsi="宋体" w:cs="宋体"/>
          <w:sz w:val="24"/>
          <w:highlight w:val="none"/>
        </w:rPr>
        <w:t>联系电话：</w:t>
      </w:r>
    </w:p>
    <w:p>
      <w:pPr>
        <w:ind w:firstLine="240" w:firstLineChars="100"/>
        <w:rPr>
          <w:rFonts w:ascii="宋体" w:hAnsi="宋体" w:cs="宋体"/>
          <w:sz w:val="24"/>
          <w:highlight w:val="none"/>
        </w:rPr>
      </w:pPr>
      <w:r>
        <w:rPr>
          <w:rFonts w:ascii="宋体" w:hAnsi="宋体" w:cs="宋体"/>
          <w:sz w:val="24"/>
          <w:highlight w:val="none"/>
        </w:rPr>
        <w:t>营业执照号码：     经济性质：</w:t>
      </w:r>
    </w:p>
    <w:p>
      <w:pPr>
        <w:ind w:firstLine="240" w:firstLineChars="100"/>
        <w:rPr>
          <w:rFonts w:ascii="宋体" w:hAnsi="宋体" w:cs="宋体"/>
          <w:sz w:val="24"/>
          <w:highlight w:val="none"/>
        </w:rPr>
      </w:pPr>
      <w:r>
        <w:rPr>
          <w:rFonts w:ascii="宋体" w:hAnsi="宋体" w:cs="宋体"/>
          <w:sz w:val="24"/>
          <w:highlight w:val="none"/>
        </w:rPr>
        <w:t>主营（产）：</w:t>
      </w:r>
    </w:p>
    <w:p>
      <w:pPr>
        <w:ind w:firstLine="240" w:firstLineChars="100"/>
        <w:rPr>
          <w:rFonts w:ascii="宋体" w:hAnsi="宋体" w:cs="宋体"/>
          <w:sz w:val="24"/>
          <w:highlight w:val="none"/>
        </w:rPr>
      </w:pPr>
      <w:r>
        <w:rPr>
          <w:rFonts w:ascii="宋体" w:hAnsi="宋体" w:cs="宋体"/>
          <w:sz w:val="24"/>
          <w:highlight w:val="none"/>
        </w:rPr>
        <w:t>兼营（产）：</w:t>
      </w:r>
    </w:p>
    <w:p>
      <w:pPr>
        <w:rPr>
          <w:rFonts w:ascii="宋体" w:hAnsi="宋体" w:cs="宋体"/>
          <w:sz w:val="24"/>
          <w:highlight w:val="none"/>
        </w:rPr>
      </w:pPr>
    </w:p>
    <w:p>
      <w:pPr>
        <w:rPr>
          <w:rFonts w:ascii="宋体" w:hAnsi="宋体" w:cs="宋体"/>
          <w:sz w:val="24"/>
          <w:highlight w:val="none"/>
        </w:rPr>
      </w:pPr>
      <w:r>
        <w:rPr>
          <w:rFonts w:ascii="宋体" w:hAnsi="宋体" w:cs="宋体"/>
          <w:sz w:val="24"/>
          <w:highlight w:val="none"/>
        </w:rPr>
        <w:t>说明：1.法定代表人/负责人为企业事业单位、国家机关、社会团体的主要行政负责人。</w:t>
      </w:r>
    </w:p>
    <w:p>
      <w:pPr>
        <w:rPr>
          <w:rFonts w:ascii="宋体" w:hAnsi="宋体" w:cs="宋体"/>
          <w:sz w:val="24"/>
          <w:highlight w:val="none"/>
        </w:rPr>
      </w:pPr>
      <w:r>
        <w:rPr>
          <w:rFonts w:ascii="宋体" w:hAnsi="宋体" w:cs="宋体"/>
          <w:sz w:val="24"/>
          <w:highlight w:val="none"/>
        </w:rPr>
        <w:t xml:space="preserve">      2.内容必须填写真实、清楚、涂改无效，不得转让、买卖。</w:t>
      </w:r>
    </w:p>
    <w:p>
      <w:pPr>
        <w:ind w:firstLine="720" w:firstLineChars="300"/>
        <w:rPr>
          <w:rFonts w:ascii="宋体" w:hAnsi="宋体" w:cs="宋体"/>
          <w:sz w:val="24"/>
          <w:highlight w:val="none"/>
        </w:rPr>
      </w:pPr>
      <w:r>
        <w:rPr>
          <w:rFonts w:ascii="宋体" w:hAnsi="宋体" w:cs="宋体"/>
          <w:sz w:val="24"/>
          <w:highlight w:val="none"/>
        </w:rPr>
        <w:t>3.将此证明书提交对方作为合同附件</w:t>
      </w:r>
      <w:r>
        <w:rPr>
          <w:rFonts w:ascii="宋体" w:hAnsi="宋体" w:cs="宋体"/>
          <w:b/>
          <w:sz w:val="24"/>
          <w:highlight w:val="none"/>
        </w:rPr>
        <w:t>。</w:t>
      </w:r>
    </w:p>
    <w:p>
      <w:pPr>
        <w:jc w:val="center"/>
        <w:rPr>
          <w:rFonts w:ascii="宋体" w:hAnsi="宋体" w:cs="宋体"/>
          <w:b/>
          <w:sz w:val="24"/>
          <w:highlight w:val="none"/>
        </w:rPr>
      </w:pPr>
      <w:r>
        <w:rPr>
          <w:rFonts w:ascii="宋体" w:hAnsi="宋体" w:cs="宋体"/>
          <w:b/>
          <w:sz w:val="24"/>
          <w:highlight w:val="none"/>
        </w:rPr>
        <w:t>(为避免废标，请投标人务必提供本附件)</w:t>
      </w:r>
    </w:p>
    <w:p>
      <w:pPr>
        <w:spacing w:line="360" w:lineRule="auto"/>
        <w:rPr>
          <w:rFonts w:ascii="宋体" w:hAnsi="宋体" w:cs="宋体"/>
          <w:b/>
          <w:sz w:val="28"/>
          <w:szCs w:val="28"/>
          <w:highlight w:val="none"/>
        </w:rPr>
      </w:pPr>
      <w:r>
        <w:rPr>
          <w:rFonts w:ascii="宋体" w:hAnsi="宋体" w:cs="宋体"/>
          <w:b/>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291465</wp:posOffset>
                </wp:positionV>
                <wp:extent cx="2333625" cy="1584325"/>
                <wp:effectExtent l="4445" t="4445" r="5080" b="11430"/>
                <wp:wrapNone/>
                <wp:docPr id="2" name="AutoShape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ascii="宋体" w:hAnsi="宋体" w:cs="宋体"/>
                                <w:szCs w:val="21"/>
                              </w:rPr>
                              <w:t>法定代表人/负责人身份证复印件</w:t>
                            </w:r>
                          </w:p>
                        </w:txbxContent>
                      </wps:txbx>
                      <wps:bodyPr wrap="square" upright="1"/>
                    </wps:wsp>
                  </a:graphicData>
                </a:graphic>
              </wp:anchor>
            </w:drawing>
          </mc:Choice>
          <mc:Fallback>
            <w:pict>
              <v:shape id="AutoShape 3" o:spid="_x0000_s1026" o:spt="176" type="#_x0000_t176" style="position:absolute;left:0pt;margin-left:136.5pt;margin-top:22.95pt;height:124.75pt;width:183.75pt;z-index:251659264;mso-width-relative:page;mso-height-relative:page;" fillcolor="#FFFFFF" filled="t" stroked="t" coordsize="21600,21600" o:gfxdata="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AvOAK2AAAAAoBAAAPAAAAAAAA&#10;AAEAIAAAACIAAABkcnMvZG93bnJldi54bWxQSwECFAAUAAAACACHTuJAbYU+PhICAABe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ascii="宋体" w:hAnsi="宋体" w:cs="宋体"/>
                          <w:szCs w:val="21"/>
                        </w:rPr>
                        <w:t>法定代表人/负责人身份证复印件</w:t>
                      </w:r>
                    </w:p>
                  </w:txbxContent>
                </v:textbox>
              </v:shape>
            </w:pict>
          </mc:Fallback>
        </mc:AlternateContent>
      </w:r>
    </w:p>
    <w:p>
      <w:pPr>
        <w:spacing w:line="360" w:lineRule="auto"/>
        <w:rPr>
          <w:rFonts w:ascii="宋体" w:hAnsi="宋体" w:cs="宋体"/>
          <w:b/>
          <w:sz w:val="28"/>
          <w:szCs w:val="28"/>
          <w:highlight w:val="none"/>
        </w:rPr>
      </w:pPr>
    </w:p>
    <w:p>
      <w:pPr>
        <w:spacing w:line="360" w:lineRule="auto"/>
        <w:rPr>
          <w:rFonts w:ascii="宋体" w:hAnsi="宋体" w:cs="宋体"/>
          <w:b/>
          <w:sz w:val="28"/>
          <w:szCs w:val="28"/>
          <w:highlight w:val="none"/>
        </w:rPr>
      </w:pPr>
    </w:p>
    <w:p>
      <w:pPr>
        <w:spacing w:line="360" w:lineRule="auto"/>
        <w:rPr>
          <w:rFonts w:ascii="宋体" w:hAnsi="宋体" w:cs="宋体"/>
          <w:b/>
          <w:sz w:val="28"/>
          <w:szCs w:val="28"/>
          <w:highlight w:val="none"/>
        </w:rPr>
      </w:pPr>
    </w:p>
    <w:p>
      <w:pPr>
        <w:spacing w:line="360" w:lineRule="auto"/>
        <w:rPr>
          <w:rFonts w:ascii="宋体" w:hAnsi="宋体" w:cs="宋体"/>
          <w:b/>
          <w:sz w:val="28"/>
          <w:szCs w:val="28"/>
          <w:highlight w:val="none"/>
        </w:rPr>
      </w:pPr>
    </w:p>
    <w:p>
      <w:pPr>
        <w:spacing w:line="360" w:lineRule="auto"/>
        <w:rPr>
          <w:rFonts w:ascii="宋体" w:hAnsi="宋体" w:cs="宋体"/>
          <w:b/>
          <w:sz w:val="28"/>
          <w:szCs w:val="28"/>
          <w:highlight w:val="none"/>
        </w:rPr>
      </w:pPr>
    </w:p>
    <w:p>
      <w:pPr>
        <w:spacing w:line="360" w:lineRule="auto"/>
        <w:rPr>
          <w:rFonts w:ascii="宋体" w:hAnsi="宋体" w:cs="宋体"/>
          <w:b/>
          <w:sz w:val="28"/>
          <w:szCs w:val="28"/>
          <w:highlight w:val="none"/>
        </w:rPr>
      </w:pPr>
    </w:p>
    <w:p>
      <w:pPr>
        <w:spacing w:line="360" w:lineRule="auto"/>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sz w:val="24"/>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cs="宋体"/>
          <w:sz w:val="28"/>
          <w:szCs w:val="28"/>
          <w:highlight w:val="none"/>
        </w:rPr>
        <w:br w:type="page"/>
      </w:r>
      <w:r>
        <w:rPr>
          <w:rFonts w:ascii="宋体" w:hAnsi="宋体" w:eastAsia="宋体" w:cs="宋体"/>
          <w:sz w:val="28"/>
          <w:szCs w:val="28"/>
          <w:highlight w:val="none"/>
        </w:rPr>
        <w:t>法定代表人/负责人授权委托书</w:t>
      </w: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sz w:val="24"/>
          <w:highlight w:val="none"/>
        </w:rPr>
      </w:pPr>
    </w:p>
    <w:p>
      <w:pPr>
        <w:adjustRightInd w:val="0"/>
        <w:snapToGrid w:val="0"/>
        <w:spacing w:line="360" w:lineRule="auto"/>
        <w:ind w:firstLine="120" w:firstLineChars="50"/>
        <w:rPr>
          <w:rFonts w:ascii="宋体" w:hAnsi="宋体" w:cs="宋体"/>
          <w:szCs w:val="21"/>
          <w:highlight w:val="none"/>
        </w:rPr>
      </w:pPr>
      <w:r>
        <w:rPr>
          <w:rFonts w:ascii="宋体" w:hAnsi="宋体" w:cs="宋体"/>
          <w:sz w:val="24"/>
          <w:highlight w:val="none"/>
        </w:rPr>
        <w:t>致</w:t>
      </w:r>
      <w:r>
        <w:rPr>
          <w:rFonts w:ascii="宋体" w:hAnsi="宋体" w:cs="宋体"/>
          <w:sz w:val="24"/>
          <w:highlight w:val="none"/>
          <w:u w:val="single"/>
        </w:rPr>
        <w:t>佛山市XXXXXX公司</w:t>
      </w:r>
      <w:r>
        <w:rPr>
          <w:rFonts w:ascii="宋体" w:hAnsi="宋体" w:cs="宋体"/>
          <w:sz w:val="24"/>
          <w:highlight w:val="none"/>
        </w:rPr>
        <w:t>：</w:t>
      </w:r>
      <w:r>
        <w:rPr>
          <w:rFonts w:ascii="宋体" w:hAnsi="宋体" w:cs="宋体"/>
          <w:szCs w:val="21"/>
          <w:highlight w:val="none"/>
        </w:rPr>
        <w:t xml:space="preserve"> </w:t>
      </w:r>
    </w:p>
    <w:p>
      <w:pPr>
        <w:ind w:firstLine="480" w:firstLineChars="200"/>
        <w:rPr>
          <w:rFonts w:ascii="宋体" w:hAnsi="宋体" w:cs="宋体"/>
          <w:sz w:val="24"/>
          <w:highlight w:val="none"/>
        </w:rPr>
      </w:pPr>
    </w:p>
    <w:p>
      <w:pPr>
        <w:ind w:firstLine="480" w:firstLineChars="200"/>
        <w:rPr>
          <w:rFonts w:ascii="宋体" w:hAnsi="宋体" w:cs="宋体"/>
          <w:sz w:val="24"/>
          <w:highlight w:val="none"/>
        </w:rPr>
      </w:pPr>
      <w:r>
        <w:rPr>
          <w:rFonts w:ascii="宋体" w:hAnsi="宋体" w:cs="宋体"/>
          <w:sz w:val="24"/>
          <w:highlight w:val="none"/>
        </w:rPr>
        <w:t>兹授权</w:t>
      </w:r>
      <w:r>
        <w:rPr>
          <w:rFonts w:ascii="宋体" w:hAnsi="宋体" w:cs="宋体"/>
          <w:sz w:val="24"/>
          <w:highlight w:val="none"/>
          <w:u w:val="single"/>
        </w:rPr>
        <w:t xml:space="preserve">             </w:t>
      </w:r>
      <w:r>
        <w:rPr>
          <w:rFonts w:ascii="宋体" w:hAnsi="宋体" w:cs="宋体"/>
          <w:sz w:val="24"/>
          <w:highlight w:val="none"/>
        </w:rPr>
        <w:t>同志，为我方签订经济合同及办理其他事务代理人，其权限是：</w:t>
      </w:r>
      <w:r>
        <w:rPr>
          <w:rFonts w:ascii="宋体" w:hAnsi="宋体" w:cs="宋体"/>
          <w:sz w:val="24"/>
          <w:highlight w:val="none"/>
          <w:u w:val="single"/>
        </w:rPr>
        <w:t xml:space="preserve">               </w:t>
      </w:r>
      <w:r>
        <w:rPr>
          <w:rFonts w:ascii="宋体" w:hAnsi="宋体" w:cs="宋体"/>
          <w:sz w:val="24"/>
          <w:highlight w:val="none"/>
        </w:rPr>
        <w:t>。</w:t>
      </w:r>
    </w:p>
    <w:p>
      <w:pPr>
        <w:rPr>
          <w:rFonts w:ascii="宋体" w:hAnsi="宋体" w:cs="宋体"/>
          <w:sz w:val="24"/>
          <w:highlight w:val="none"/>
        </w:rPr>
      </w:pPr>
      <w:r>
        <w:rPr>
          <w:rFonts w:ascii="宋体" w:hAnsi="宋体" w:cs="宋体"/>
          <w:sz w:val="24"/>
          <w:highlight w:val="none"/>
        </w:rPr>
        <w:t>授权单位：</w:t>
      </w:r>
      <w:r>
        <w:rPr>
          <w:rFonts w:ascii="宋体" w:hAnsi="宋体" w:cs="宋体"/>
          <w:sz w:val="24"/>
          <w:highlight w:val="none"/>
          <w:u w:val="single"/>
        </w:rPr>
        <w:t xml:space="preserve">          （盖章）     </w:t>
      </w:r>
      <w:r>
        <w:rPr>
          <w:rFonts w:ascii="宋体" w:hAnsi="宋体" w:cs="宋体"/>
          <w:sz w:val="24"/>
          <w:highlight w:val="none"/>
        </w:rPr>
        <w:t>法定代表人/负责人</w:t>
      </w:r>
      <w:r>
        <w:rPr>
          <w:rFonts w:ascii="宋体" w:hAnsi="宋体" w:cs="宋体"/>
          <w:sz w:val="24"/>
          <w:highlight w:val="none"/>
          <w:u w:val="single"/>
        </w:rPr>
        <w:t xml:space="preserve">              </w:t>
      </w:r>
      <w:r>
        <w:rPr>
          <w:rFonts w:ascii="宋体" w:hAnsi="宋体" w:cs="宋体"/>
          <w:sz w:val="24"/>
          <w:highlight w:val="none"/>
        </w:rPr>
        <w:t>（签名或盖私章）</w:t>
      </w:r>
    </w:p>
    <w:p>
      <w:pPr>
        <w:rPr>
          <w:rFonts w:ascii="宋体" w:hAnsi="宋体" w:cs="宋体"/>
          <w:sz w:val="24"/>
          <w:highlight w:val="none"/>
        </w:rPr>
      </w:pPr>
      <w:r>
        <w:rPr>
          <w:rFonts w:ascii="宋体" w:hAnsi="宋体" w:cs="宋体"/>
          <w:sz w:val="24"/>
          <w:highlight w:val="none"/>
        </w:rPr>
        <w:t>有效期限：至        年       月      日       签发日期：</w:t>
      </w:r>
    </w:p>
    <w:p>
      <w:pPr>
        <w:rPr>
          <w:rFonts w:ascii="宋体" w:hAnsi="宋体" w:cs="宋体"/>
          <w:sz w:val="24"/>
          <w:highlight w:val="none"/>
        </w:rPr>
      </w:pPr>
      <w:r>
        <w:rPr>
          <w:rFonts w:ascii="宋体" w:hAnsi="宋体" w:cs="宋体"/>
          <w:sz w:val="24"/>
          <w:highlight w:val="none"/>
        </w:rPr>
        <w:t xml:space="preserve">附：法定代表人/负责人授权代表的性别：        年龄：       职务：         </w:t>
      </w:r>
    </w:p>
    <w:p>
      <w:pPr>
        <w:rPr>
          <w:rFonts w:ascii="宋体" w:hAnsi="宋体" w:cs="宋体"/>
          <w:sz w:val="24"/>
          <w:highlight w:val="none"/>
        </w:rPr>
      </w:pPr>
      <w:r>
        <w:rPr>
          <w:rFonts w:ascii="宋体" w:hAnsi="宋体" w:cs="宋体"/>
          <w:sz w:val="24"/>
          <w:highlight w:val="none"/>
        </w:rPr>
        <w:t>身份证号码：</w:t>
      </w:r>
    </w:p>
    <w:p>
      <w:pPr>
        <w:rPr>
          <w:rFonts w:ascii="宋体" w:hAnsi="宋体" w:cs="宋体"/>
          <w:sz w:val="24"/>
          <w:highlight w:val="none"/>
        </w:rPr>
      </w:pPr>
      <w:r>
        <w:rPr>
          <w:rFonts w:ascii="宋体" w:hAnsi="宋体" w:cs="宋体"/>
          <w:sz w:val="24"/>
          <w:highlight w:val="none"/>
        </w:rPr>
        <w:t xml:space="preserve">  联系电话：</w:t>
      </w:r>
    </w:p>
    <w:p>
      <w:pPr>
        <w:ind w:firstLine="240" w:firstLineChars="100"/>
        <w:rPr>
          <w:rFonts w:ascii="宋体" w:hAnsi="宋体" w:cs="宋体"/>
          <w:sz w:val="24"/>
          <w:highlight w:val="none"/>
        </w:rPr>
      </w:pPr>
      <w:r>
        <w:rPr>
          <w:rFonts w:ascii="宋体" w:hAnsi="宋体" w:cs="宋体"/>
          <w:sz w:val="24"/>
          <w:highlight w:val="none"/>
        </w:rPr>
        <w:t>营业执照号码：       经济性质：</w:t>
      </w:r>
    </w:p>
    <w:p>
      <w:pPr>
        <w:ind w:firstLine="240" w:firstLineChars="100"/>
        <w:rPr>
          <w:rFonts w:ascii="宋体" w:hAnsi="宋体" w:cs="宋体"/>
          <w:sz w:val="24"/>
          <w:highlight w:val="none"/>
        </w:rPr>
      </w:pPr>
      <w:r>
        <w:rPr>
          <w:rFonts w:ascii="宋体" w:hAnsi="宋体" w:cs="宋体"/>
          <w:sz w:val="24"/>
          <w:highlight w:val="none"/>
        </w:rPr>
        <w:t>主营（产）：</w:t>
      </w:r>
    </w:p>
    <w:p>
      <w:pPr>
        <w:ind w:firstLine="240" w:firstLineChars="100"/>
        <w:rPr>
          <w:rFonts w:ascii="宋体" w:hAnsi="宋体" w:cs="宋体"/>
          <w:sz w:val="24"/>
          <w:highlight w:val="none"/>
        </w:rPr>
      </w:pPr>
      <w:r>
        <w:rPr>
          <w:rFonts w:ascii="宋体" w:hAnsi="宋体" w:cs="宋体"/>
          <w:sz w:val="24"/>
          <w:highlight w:val="none"/>
        </w:rPr>
        <w:t>兼营（产）：</w:t>
      </w:r>
    </w:p>
    <w:p>
      <w:pPr>
        <w:ind w:firstLine="240" w:firstLineChars="100"/>
        <w:rPr>
          <w:rFonts w:ascii="宋体" w:hAnsi="宋体" w:cs="宋体"/>
          <w:sz w:val="24"/>
          <w:highlight w:val="none"/>
        </w:rPr>
      </w:pPr>
    </w:p>
    <w:p>
      <w:pPr>
        <w:rPr>
          <w:rFonts w:ascii="宋体" w:hAnsi="宋体" w:cs="宋体"/>
          <w:sz w:val="24"/>
          <w:highlight w:val="none"/>
        </w:rPr>
      </w:pPr>
      <w:r>
        <w:rPr>
          <w:rFonts w:ascii="宋体" w:hAnsi="宋体" w:cs="宋体"/>
          <w:sz w:val="24"/>
          <w:highlight w:val="none"/>
        </w:rPr>
        <w:t>说明：1.法定代表人/负责人为企业事业单位、国家机关、社会团体的主要行政负责人。</w:t>
      </w:r>
    </w:p>
    <w:p>
      <w:pPr>
        <w:rPr>
          <w:rFonts w:ascii="宋体" w:hAnsi="宋体" w:cs="宋体"/>
          <w:sz w:val="24"/>
          <w:highlight w:val="none"/>
        </w:rPr>
      </w:pPr>
      <w:r>
        <w:rPr>
          <w:rFonts w:ascii="宋体" w:hAnsi="宋体" w:cs="宋体"/>
          <w:sz w:val="24"/>
          <w:highlight w:val="none"/>
        </w:rPr>
        <w:t xml:space="preserve">      2.内容必须填写真实、清楚、涂改无效，不得转让、买卖。</w:t>
      </w:r>
    </w:p>
    <w:p>
      <w:pPr>
        <w:ind w:firstLine="720" w:firstLineChars="300"/>
        <w:rPr>
          <w:rFonts w:ascii="宋体" w:hAnsi="宋体" w:cs="宋体"/>
          <w:b/>
          <w:sz w:val="24"/>
          <w:highlight w:val="none"/>
        </w:rPr>
      </w:pPr>
      <w:r>
        <w:rPr>
          <w:rFonts w:ascii="宋体" w:hAnsi="宋体" w:cs="宋体"/>
          <w:sz w:val="24"/>
          <w:highlight w:val="none"/>
        </w:rPr>
        <w:t>3.将此证明书提交对方作为合同附件</w:t>
      </w:r>
      <w:r>
        <w:rPr>
          <w:rFonts w:ascii="宋体" w:hAnsi="宋体" w:cs="宋体"/>
          <w:b/>
          <w:sz w:val="24"/>
          <w:highlight w:val="none"/>
        </w:rPr>
        <w:t>。</w:t>
      </w:r>
    </w:p>
    <w:p>
      <w:pPr>
        <w:ind w:firstLine="720" w:firstLineChars="300"/>
        <w:rPr>
          <w:rFonts w:ascii="宋体" w:hAnsi="宋体" w:cs="宋体"/>
          <w:sz w:val="24"/>
          <w:highlight w:val="none"/>
        </w:rPr>
      </w:pPr>
      <w:r>
        <w:rPr>
          <w:rFonts w:ascii="宋体" w:hAnsi="宋体" w:cs="宋体"/>
          <w:sz w:val="24"/>
          <w:highlight w:val="none"/>
        </w:rPr>
        <w:t>4.授权权限：全权代表本公司参与上述采购项目的投标响应，负责提供与签署确认一切文书资料，以及向贵方递交的任何补充承诺。</w:t>
      </w:r>
    </w:p>
    <w:p>
      <w:pPr>
        <w:ind w:firstLine="736" w:firstLineChars="307"/>
        <w:rPr>
          <w:rFonts w:ascii="宋体" w:hAnsi="宋体" w:cs="宋体"/>
          <w:sz w:val="24"/>
          <w:highlight w:val="none"/>
        </w:rPr>
      </w:pPr>
      <w:r>
        <w:rPr>
          <w:rFonts w:ascii="宋体" w:hAnsi="宋体" w:cs="宋体"/>
          <w:sz w:val="24"/>
          <w:highlight w:val="none"/>
        </w:rPr>
        <w:t>5.有效期限：与本公司投标文件中标注的投标有效期相同，自本单位盖公章之日起生效。</w:t>
      </w:r>
    </w:p>
    <w:p>
      <w:pPr>
        <w:ind w:firstLine="736" w:firstLineChars="307"/>
        <w:rPr>
          <w:rFonts w:ascii="宋体" w:hAnsi="宋体" w:cs="宋体"/>
          <w:sz w:val="24"/>
          <w:highlight w:val="none"/>
        </w:rPr>
      </w:pPr>
      <w:r>
        <w:rPr>
          <w:rFonts w:ascii="宋体" w:hAnsi="宋体" w:cs="宋体"/>
          <w:sz w:val="24"/>
          <w:highlight w:val="none"/>
        </w:rPr>
        <w:t>6.投标签字代表为法定代表人/负责人，则本表不适用。</w:t>
      </w:r>
    </w:p>
    <w:p>
      <w:pPr>
        <w:spacing w:line="360" w:lineRule="auto"/>
        <w:ind w:firstLine="420"/>
        <w:rPr>
          <w:rFonts w:ascii="宋体" w:hAnsi="宋体" w:cs="宋体"/>
          <w:sz w:val="24"/>
          <w:highlight w:val="none"/>
          <w:u w:val="single"/>
        </w:rPr>
      </w:pPr>
      <w:r>
        <w:rPr>
          <w:rFonts w:ascii="宋体" w:hAnsi="宋体" w:cs="宋体"/>
          <w:sz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319405</wp:posOffset>
                </wp:positionV>
                <wp:extent cx="1933575" cy="1173480"/>
                <wp:effectExtent l="4445" t="4445" r="5080" b="22225"/>
                <wp:wrapNone/>
                <wp:docPr id="3" name="AutoShape 4"/>
                <wp:cNvGraphicFramePr/>
                <a:graphic xmlns:a="http://schemas.openxmlformats.org/drawingml/2006/main">
                  <a:graphicData uri="http://schemas.microsoft.com/office/word/2010/wordprocessingShape">
                    <wps:wsp>
                      <wps:cNvSpPr/>
                      <wps:spPr>
                        <a:xfrm>
                          <a:off x="0" y="0"/>
                          <a:ext cx="1933575" cy="117348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ascii="仿宋" w:hAnsi="仿宋" w:eastAsia="仿宋" w:cs="仿宋"/>
                                <w:szCs w:val="21"/>
                              </w:rPr>
                            </w:pPr>
                            <w:r>
                              <w:rPr>
                                <w:rFonts w:ascii="宋体" w:hAnsi="宋体" w:cs="宋体"/>
                                <w:szCs w:val="21"/>
                              </w:rPr>
                              <w:t>法定代表人/负责人授权代表身份证复印件</w:t>
                            </w:r>
                          </w:p>
                        </w:txbxContent>
                      </wps:txbx>
                      <wps:bodyPr wrap="square" upright="1"/>
                    </wps:wsp>
                  </a:graphicData>
                </a:graphic>
              </wp:anchor>
            </w:drawing>
          </mc:Choice>
          <mc:Fallback>
            <w:pict>
              <v:shape id="AutoShape 4" o:spid="_x0000_s1026" o:spt="176" type="#_x0000_t176" style="position:absolute;left:0pt;margin-left:115.5pt;margin-top:25.15pt;height:92.4pt;width:152.25pt;z-index:251660288;mso-width-relative:page;mso-height-relative:page;" fillcolor="#FFFFFF" filled="t" stroked="t" coordsize="21600,21600" o:gfxdata="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9gL941wAAAAoBAAAPAAAA&#10;AAAAAAEAIAAAACIAAABkcnMvZG93bnJldi54bWxQSwECFAAUAAAACACHTuJAo8ny3xYCAABeBAAA&#10;DgAAAAAAAAABACAAAAAm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ascii="仿宋" w:hAnsi="仿宋" w:eastAsia="仿宋" w:cs="仿宋"/>
                          <w:szCs w:val="21"/>
                        </w:rPr>
                      </w:pPr>
                      <w:r>
                        <w:rPr>
                          <w:rFonts w:ascii="宋体" w:hAnsi="宋体" w:cs="宋体"/>
                          <w:szCs w:val="21"/>
                        </w:rPr>
                        <w:t>法定代表人/负责人授权代表身份证复印件</w:t>
                      </w:r>
                    </w:p>
                  </w:txbxContent>
                </v:textbox>
              </v:shape>
            </w:pict>
          </mc:Fallback>
        </mc:AlternateContent>
      </w:r>
    </w:p>
    <w:p>
      <w:pPr>
        <w:spacing w:line="360" w:lineRule="auto"/>
        <w:ind w:firstLine="420"/>
        <w:rPr>
          <w:rFonts w:ascii="宋体" w:hAnsi="宋体" w:cs="宋体"/>
          <w:sz w:val="28"/>
          <w:szCs w:val="28"/>
          <w:highlight w:val="none"/>
          <w:u w:val="single"/>
        </w:rPr>
      </w:pPr>
    </w:p>
    <w:p>
      <w:pPr>
        <w:spacing w:line="360" w:lineRule="auto"/>
        <w:ind w:firstLine="420"/>
        <w:rPr>
          <w:rFonts w:ascii="宋体" w:hAnsi="宋体" w:cs="宋体"/>
          <w:sz w:val="28"/>
          <w:szCs w:val="28"/>
          <w:highlight w:val="none"/>
          <w:u w:val="single"/>
        </w:rPr>
      </w:pPr>
    </w:p>
    <w:p>
      <w:pPr>
        <w:spacing w:line="360" w:lineRule="auto"/>
        <w:ind w:firstLine="420"/>
        <w:rPr>
          <w:rFonts w:ascii="宋体" w:hAnsi="宋体" w:cs="宋体"/>
          <w:sz w:val="28"/>
          <w:szCs w:val="28"/>
          <w:highlight w:val="none"/>
          <w:u w:val="single"/>
        </w:rPr>
      </w:pPr>
    </w:p>
    <w:p>
      <w:pPr>
        <w:spacing w:line="360" w:lineRule="auto"/>
        <w:ind w:firstLine="420"/>
        <w:rPr>
          <w:rFonts w:ascii="宋体" w:hAnsi="宋体" w:cs="宋体"/>
          <w:sz w:val="28"/>
          <w:szCs w:val="28"/>
          <w:highlight w:val="none"/>
          <w:u w:val="single"/>
        </w:rPr>
      </w:pPr>
    </w:p>
    <w:p>
      <w:pPr>
        <w:spacing w:line="360" w:lineRule="auto"/>
        <w:ind w:firstLine="420"/>
        <w:rPr>
          <w:rFonts w:ascii="宋体" w:hAnsi="宋体" w:cs="宋体"/>
          <w:sz w:val="28"/>
          <w:szCs w:val="28"/>
          <w:highlight w:val="none"/>
          <w:u w:val="single"/>
        </w:rPr>
      </w:pPr>
    </w:p>
    <w:p>
      <w:pPr>
        <w:pStyle w:val="4"/>
        <w:spacing w:before="0" w:after="0" w:line="360" w:lineRule="auto"/>
        <w:jc w:val="center"/>
        <w:rPr>
          <w:rFonts w:ascii="宋体" w:hAnsi="宋体" w:eastAsia="宋体" w:cs="宋体"/>
          <w:sz w:val="28"/>
          <w:szCs w:val="28"/>
          <w:highlight w:val="none"/>
        </w:rPr>
      </w:pPr>
      <w:r>
        <w:rPr>
          <w:rFonts w:ascii="宋体" w:hAnsi="宋体" w:cs="宋体"/>
          <w:sz w:val="24"/>
          <w:highlight w:val="none"/>
        </w:rPr>
        <w:br w:type="page"/>
      </w:r>
      <w:r>
        <w:rPr>
          <w:rFonts w:ascii="宋体" w:hAnsi="宋体" w:eastAsia="宋体" w:cs="宋体"/>
          <w:sz w:val="28"/>
          <w:szCs w:val="28"/>
          <w:highlight w:val="none"/>
        </w:rPr>
        <w:t>开标一览表</w:t>
      </w:r>
    </w:p>
    <w:p>
      <w:pPr>
        <w:adjustRightInd w:val="0"/>
        <w:snapToGrid w:val="0"/>
        <w:spacing w:line="360" w:lineRule="auto"/>
        <w:rPr>
          <w:rFonts w:ascii="宋体" w:hAnsi="宋体" w:cs="宋体"/>
          <w:sz w:val="24"/>
          <w:highlight w:val="none"/>
        </w:rPr>
      </w:pPr>
    </w:p>
    <w:p>
      <w:pPr>
        <w:adjustRightInd w:val="0"/>
        <w:snapToGrid w:val="0"/>
        <w:spacing w:line="360" w:lineRule="auto"/>
        <w:rPr>
          <w:rFonts w:ascii="宋体" w:hAnsi="宋体" w:cs="宋体"/>
          <w:sz w:val="24"/>
          <w:highlight w:val="none"/>
          <w:u w:val="single"/>
        </w:rPr>
      </w:pPr>
      <w:r>
        <w:rPr>
          <w:rFonts w:ascii="宋体" w:hAnsi="宋体" w:cs="宋体"/>
          <w:sz w:val="24"/>
          <w:highlight w:val="none"/>
        </w:rPr>
        <w:t>采购项目编号：</w:t>
      </w:r>
      <w:r>
        <w:rPr>
          <w:rFonts w:ascii="宋体" w:hAnsi="宋体" w:cs="宋体"/>
          <w:sz w:val="24"/>
          <w:highlight w:val="none"/>
          <w:u w:val="single"/>
        </w:rPr>
        <w:t xml:space="preserve">            </w:t>
      </w:r>
    </w:p>
    <w:p>
      <w:pPr>
        <w:adjustRightInd w:val="0"/>
        <w:snapToGrid w:val="0"/>
        <w:spacing w:line="360" w:lineRule="auto"/>
        <w:rPr>
          <w:rFonts w:ascii="宋体" w:hAnsi="宋体" w:cs="宋体"/>
          <w:sz w:val="24"/>
          <w:highlight w:val="none"/>
          <w:u w:val="single"/>
        </w:rPr>
      </w:pPr>
      <w:r>
        <w:rPr>
          <w:rFonts w:ascii="宋体" w:hAnsi="宋体" w:cs="宋体"/>
          <w:sz w:val="24"/>
          <w:highlight w:val="none"/>
        </w:rPr>
        <w:t>采购项目名称:</w:t>
      </w:r>
      <w:r>
        <w:rPr>
          <w:rFonts w:ascii="宋体" w:hAnsi="宋体" w:cs="宋体"/>
          <w:sz w:val="24"/>
          <w:highlight w:val="none"/>
          <w:u w:val="single"/>
        </w:rPr>
        <w:t xml:space="preserve">             </w:t>
      </w:r>
    </w:p>
    <w:p>
      <w:pPr>
        <w:adjustRightInd w:val="0"/>
        <w:snapToGrid w:val="0"/>
        <w:spacing w:line="360" w:lineRule="auto"/>
        <w:rPr>
          <w:rFonts w:ascii="宋体" w:hAnsi="宋体" w:cs="宋体"/>
          <w:sz w:val="24"/>
          <w:highlight w:val="none"/>
          <w:u w:val="single"/>
        </w:rPr>
      </w:pPr>
    </w:p>
    <w:tbl>
      <w:tblPr>
        <w:tblStyle w:val="35"/>
        <w:tblW w:w="8388" w:type="dxa"/>
        <w:tblInd w:w="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6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168" w:type="dxa"/>
            <w:tcBorders>
              <w:top w:val="single" w:color="auto" w:sz="4" w:space="0"/>
              <w:left w:val="single" w:color="auto" w:sz="4" w:space="0"/>
              <w:bottom w:val="single" w:color="auto" w:sz="4" w:space="0"/>
              <w:right w:val="single" w:color="auto" w:sz="4" w:space="0"/>
            </w:tcBorders>
            <w:vAlign w:val="center"/>
          </w:tcPr>
          <w:p>
            <w:pPr>
              <w:pStyle w:val="68"/>
              <w:widowControl w:val="0"/>
              <w:pBdr>
                <w:bottom w:val="none" w:color="auto" w:sz="0" w:space="0"/>
                <w:right w:val="none" w:color="auto" w:sz="0" w:space="0"/>
              </w:pBdr>
              <w:spacing w:before="0" w:beforeAutospacing="0" w:after="0" w:afterAutospacing="0" w:line="360" w:lineRule="auto"/>
              <w:rPr>
                <w:rFonts w:cs="宋体"/>
                <w:bCs/>
                <w:kern w:val="2"/>
                <w:sz w:val="24"/>
                <w:szCs w:val="24"/>
                <w:highlight w:val="none"/>
              </w:rPr>
            </w:pPr>
            <w:r>
              <w:rPr>
                <w:rFonts w:cs="宋体"/>
                <w:bCs/>
                <w:kern w:val="2"/>
                <w:sz w:val="24"/>
                <w:szCs w:val="24"/>
                <w:highlight w:val="none"/>
              </w:rPr>
              <w:t>项目名称</w:t>
            </w:r>
          </w:p>
        </w:tc>
        <w:tc>
          <w:tcPr>
            <w:tcW w:w="62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highlight w:val="none"/>
              </w:rPr>
            </w:pPr>
            <w:r>
              <w:rPr>
                <w:rFonts w:hint="eastAsia" w:ascii="宋体" w:hAnsi="宋体" w:cs="宋体"/>
                <w:bCs/>
                <w:sz w:val="24"/>
                <w:highlight w:val="none"/>
                <w:lang w:eastAsia="zh-CN"/>
              </w:rPr>
              <w:t>景裕豪园和宇佳水岸新都花园两处公交站场充电站</w:t>
            </w:r>
            <w:r>
              <w:rPr>
                <w:rFonts w:ascii="宋体" w:hAnsi="宋体" w:cs="宋体"/>
                <w:bCs/>
                <w:sz w:val="24"/>
                <w:highlight w:val="none"/>
              </w:rPr>
              <w:t>建设运营服务资格项目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168" w:type="dxa"/>
            <w:tcBorders>
              <w:top w:val="single" w:color="auto" w:sz="4" w:space="0"/>
              <w:left w:val="single" w:color="auto" w:sz="4" w:space="0"/>
              <w:bottom w:val="single" w:color="auto" w:sz="4" w:space="0"/>
              <w:right w:val="single" w:color="auto" w:sz="4" w:space="0"/>
            </w:tcBorders>
            <w:vAlign w:val="center"/>
          </w:tcPr>
          <w:p>
            <w:pPr>
              <w:pStyle w:val="68"/>
              <w:widowControl w:val="0"/>
              <w:pBdr>
                <w:bottom w:val="none" w:color="auto" w:sz="0" w:space="0"/>
                <w:right w:val="none" w:color="auto" w:sz="0" w:space="0"/>
              </w:pBdr>
              <w:spacing w:before="0" w:beforeAutospacing="0" w:after="0" w:afterAutospacing="0" w:line="360" w:lineRule="auto"/>
              <w:rPr>
                <w:rFonts w:hint="eastAsia" w:cs="宋体"/>
                <w:sz w:val="24"/>
                <w:szCs w:val="24"/>
                <w:highlight w:val="none"/>
                <w:lang w:eastAsia="zh-CN"/>
              </w:rPr>
            </w:pPr>
            <w:r>
              <w:rPr>
                <w:rFonts w:cs="宋体"/>
                <w:sz w:val="24"/>
                <w:szCs w:val="24"/>
                <w:highlight w:val="none"/>
              </w:rPr>
              <w:t>投标</w:t>
            </w:r>
            <w:r>
              <w:rPr>
                <w:rFonts w:hint="eastAsia" w:cs="宋体"/>
                <w:sz w:val="24"/>
                <w:szCs w:val="24"/>
                <w:highlight w:val="none"/>
                <w:lang w:eastAsia="zh-CN"/>
              </w:rPr>
              <w:t>收益分成</w:t>
            </w:r>
          </w:p>
          <w:p>
            <w:pPr>
              <w:pStyle w:val="68"/>
              <w:widowControl w:val="0"/>
              <w:pBdr>
                <w:bottom w:val="none" w:color="auto" w:sz="0" w:space="0"/>
                <w:right w:val="none" w:color="auto" w:sz="0" w:space="0"/>
              </w:pBdr>
              <w:spacing w:before="0" w:beforeAutospacing="0" w:after="0" w:afterAutospacing="0" w:line="360" w:lineRule="auto"/>
              <w:rPr>
                <w:rFonts w:hint="eastAsia" w:cs="宋体"/>
                <w:sz w:val="24"/>
                <w:szCs w:val="24"/>
                <w:highlight w:val="none"/>
                <w:lang w:eastAsia="zh-CN"/>
              </w:rPr>
            </w:pPr>
            <w:r>
              <w:rPr>
                <w:rFonts w:hint="eastAsia" w:cs="宋体"/>
                <w:sz w:val="24"/>
                <w:szCs w:val="24"/>
                <w:highlight w:val="none"/>
                <w:lang w:eastAsia="zh-CN"/>
              </w:rPr>
              <w:t>按百分比报价</w:t>
            </w:r>
          </w:p>
        </w:tc>
        <w:tc>
          <w:tcPr>
            <w:tcW w:w="6220"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bCs/>
                <w:sz w:val="24"/>
                <w:highlight w:val="none"/>
                <w:u w:val="single"/>
              </w:rPr>
            </w:pPr>
            <w:r>
              <w:rPr>
                <w:rFonts w:ascii="宋体" w:hAnsi="宋体" w:cs="宋体"/>
                <w:bCs/>
                <w:sz w:val="24"/>
                <w:highlight w:val="none"/>
              </w:rPr>
              <w:t>（大写）</w:t>
            </w:r>
            <w:r>
              <w:rPr>
                <w:rFonts w:hint="eastAsia" w:ascii="宋体" w:hAnsi="宋体" w:cs="宋体"/>
                <w:bCs/>
                <w:sz w:val="24"/>
                <w:highlight w:val="none"/>
                <w:lang w:eastAsia="zh-CN"/>
              </w:rPr>
              <w:t>百分之</w:t>
            </w:r>
            <w:r>
              <w:rPr>
                <w:rFonts w:ascii="宋体" w:hAnsi="宋体" w:cs="宋体"/>
                <w:bCs/>
                <w:sz w:val="24"/>
                <w:highlight w:val="none"/>
              </w:rPr>
              <w:t xml:space="preserve"> </w:t>
            </w:r>
            <w:r>
              <w:rPr>
                <w:rFonts w:ascii="宋体" w:hAnsi="宋体" w:cs="宋体"/>
                <w:bCs/>
                <w:sz w:val="24"/>
                <w:highlight w:val="none"/>
                <w:u w:val="single"/>
              </w:rPr>
              <w:t xml:space="preserve">                </w:t>
            </w:r>
          </w:p>
          <w:p>
            <w:pPr>
              <w:jc w:val="left"/>
              <w:rPr>
                <w:rFonts w:hint="eastAsia" w:ascii="宋体" w:hAnsi="宋体" w:eastAsia="宋体" w:cs="宋体"/>
                <w:bCs/>
                <w:sz w:val="24"/>
                <w:highlight w:val="none"/>
                <w:lang w:val="en-US" w:eastAsia="zh-CN"/>
              </w:rPr>
            </w:pPr>
            <w:r>
              <w:rPr>
                <w:rFonts w:ascii="宋体" w:hAnsi="宋体" w:cs="宋体"/>
                <w:bCs/>
                <w:sz w:val="24"/>
                <w:highlight w:val="none"/>
              </w:rPr>
              <w:t>（小写）</w:t>
            </w:r>
            <w:r>
              <w:rPr>
                <w:rFonts w:ascii="宋体" w:hAnsi="宋体" w:cs="宋体"/>
                <w:bCs/>
                <w:sz w:val="24"/>
                <w:highlight w:val="none"/>
                <w:u w:val="single"/>
              </w:rPr>
              <w:t xml:space="preserve">         </w:t>
            </w:r>
            <w:r>
              <w:rPr>
                <w:rFonts w:ascii="宋体" w:hAnsi="宋体" w:cs="宋体"/>
                <w:bCs/>
                <w:sz w:val="24"/>
                <w:highlight w:val="none"/>
              </w:rPr>
              <w:t xml:space="preserve"> </w:t>
            </w:r>
            <w:r>
              <w:rPr>
                <w:rFonts w:hint="eastAsia" w:ascii="宋体" w:hAnsi="宋体" w:cs="宋体"/>
                <w:bCs/>
                <w:sz w:val="24"/>
                <w:highlight w:val="none"/>
                <w:lang w:val="en-US" w:eastAsia="zh-CN"/>
              </w:rPr>
              <w:t>%</w:t>
            </w:r>
          </w:p>
        </w:tc>
      </w:tr>
    </w:tbl>
    <w:p>
      <w:pPr>
        <w:spacing w:line="360" w:lineRule="auto"/>
        <w:ind w:firstLine="482" w:firstLineChars="200"/>
        <w:rPr>
          <w:rFonts w:ascii="宋体" w:hAnsi="宋体" w:cs="宋体"/>
          <w:b/>
          <w:sz w:val="24"/>
          <w:highlight w:val="none"/>
        </w:rPr>
      </w:pPr>
    </w:p>
    <w:p>
      <w:pPr>
        <w:adjustRightInd w:val="0"/>
        <w:snapToGrid w:val="0"/>
        <w:spacing w:line="360" w:lineRule="auto"/>
        <w:rPr>
          <w:rFonts w:ascii="宋体" w:hAnsi="宋体" w:cs="宋体"/>
          <w:sz w:val="22"/>
          <w:highlight w:val="none"/>
        </w:rPr>
      </w:pPr>
      <w:r>
        <w:rPr>
          <w:rFonts w:ascii="宋体" w:hAnsi="宋体" w:cs="宋体"/>
          <w:sz w:val="22"/>
          <w:highlight w:val="none"/>
        </w:rPr>
        <w:t>注：1.投标报价大写用中文汉字，如壹、贰、叁、肆、伍、陆、柒、捌、玖、拾。</w:t>
      </w:r>
    </w:p>
    <w:p>
      <w:pPr>
        <w:adjustRightInd w:val="0"/>
        <w:snapToGrid w:val="0"/>
        <w:spacing w:line="360" w:lineRule="auto"/>
        <w:ind w:firstLine="440" w:firstLineChars="200"/>
        <w:rPr>
          <w:rFonts w:ascii="宋体" w:hAnsi="宋体" w:cs="宋体"/>
          <w:sz w:val="22"/>
          <w:highlight w:val="none"/>
        </w:rPr>
      </w:pPr>
      <w:bookmarkStart w:id="76" w:name="_Toc26692_WPSOffice_Level1"/>
      <w:bookmarkStart w:id="77" w:name="_Toc22527_WPSOffice_Level1"/>
      <w:r>
        <w:rPr>
          <w:rFonts w:ascii="宋体" w:hAnsi="宋体" w:cs="宋体"/>
          <w:sz w:val="22"/>
          <w:highlight w:val="none"/>
        </w:rPr>
        <w:t>2.投标报价小写</w:t>
      </w:r>
      <w:r>
        <w:rPr>
          <w:rFonts w:hint="eastAsia" w:ascii="宋体" w:hAnsi="宋体" w:cs="宋体"/>
          <w:sz w:val="22"/>
          <w:highlight w:val="none"/>
          <w:lang w:eastAsia="zh-CN"/>
        </w:rPr>
        <w:t>须取整数</w:t>
      </w:r>
      <w:r>
        <w:rPr>
          <w:rFonts w:ascii="宋体" w:hAnsi="宋体" w:cs="宋体"/>
          <w:sz w:val="22"/>
          <w:highlight w:val="none"/>
        </w:rPr>
        <w:t>。</w:t>
      </w:r>
      <w:bookmarkEnd w:id="76"/>
      <w:bookmarkEnd w:id="77"/>
    </w:p>
    <w:p>
      <w:pPr>
        <w:adjustRightInd w:val="0"/>
        <w:snapToGrid w:val="0"/>
        <w:spacing w:line="360" w:lineRule="auto"/>
        <w:ind w:firstLine="440" w:firstLineChars="200"/>
        <w:rPr>
          <w:rFonts w:ascii="宋体" w:hAnsi="宋体" w:cs="宋体"/>
          <w:sz w:val="22"/>
          <w:highlight w:val="none"/>
        </w:rPr>
      </w:pPr>
      <w:bookmarkStart w:id="78" w:name="_Toc19130_WPSOffice_Level1"/>
      <w:bookmarkStart w:id="79" w:name="_Toc19112_WPSOffice_Level1"/>
      <w:r>
        <w:rPr>
          <w:rFonts w:ascii="宋体" w:hAnsi="宋体" w:cs="宋体"/>
          <w:sz w:val="22"/>
          <w:highlight w:val="none"/>
        </w:rPr>
        <w:t>3.</w:t>
      </w:r>
      <w:bookmarkEnd w:id="78"/>
      <w:bookmarkEnd w:id="79"/>
      <w:r>
        <w:rPr>
          <w:rFonts w:ascii="宋体" w:hAnsi="宋体" w:cs="宋体"/>
          <w:sz w:val="22"/>
          <w:highlight w:val="none"/>
        </w:rPr>
        <w:t>本表除了附在投标文件中外，还须另外多制作一份，单独密封提交。</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sz w:val="24"/>
          <w:highlight w:val="none"/>
        </w:rPr>
      </w:pPr>
    </w:p>
    <w:p>
      <w:pPr>
        <w:adjustRightInd w:val="0"/>
        <w:snapToGrid w:val="0"/>
        <w:spacing w:line="360" w:lineRule="auto"/>
        <w:rPr>
          <w:rFonts w:ascii="宋体" w:hAnsi="宋体" w:cs="宋体"/>
          <w:sz w:val="24"/>
          <w:highlight w:val="none"/>
        </w:rPr>
      </w:pPr>
    </w:p>
    <w:p>
      <w:pPr>
        <w:snapToGrid w:val="0"/>
        <w:spacing w:line="360" w:lineRule="auto"/>
        <w:ind w:firstLine="216" w:firstLineChars="90"/>
        <w:rPr>
          <w:rFonts w:ascii="宋体" w:hAnsi="宋体" w:cs="宋体"/>
          <w:bCs/>
          <w:sz w:val="24"/>
          <w:highlight w:val="none"/>
        </w:rPr>
      </w:pPr>
      <w:bookmarkStart w:id="80" w:name="OLE_LINK24"/>
      <w:r>
        <w:rPr>
          <w:rFonts w:ascii="宋体" w:hAnsi="宋体" w:cs="宋体"/>
          <w:bCs/>
          <w:sz w:val="24"/>
          <w:highlight w:val="none"/>
        </w:rPr>
        <w:t>投标人法定代表人/负责人（或法定代表人/负责人授权代表）签字</w:t>
      </w:r>
      <w:bookmarkEnd w:id="80"/>
      <w:r>
        <w:rPr>
          <w:rFonts w:ascii="宋体" w:hAnsi="宋体" w:cs="宋体"/>
          <w:bCs/>
          <w:sz w:val="24"/>
          <w:highlight w:val="none"/>
        </w:rPr>
        <w:t xml:space="preserve">： </w:t>
      </w:r>
    </w:p>
    <w:p>
      <w:pPr>
        <w:snapToGrid w:val="0"/>
        <w:spacing w:line="360" w:lineRule="auto"/>
        <w:ind w:firstLine="216" w:firstLineChars="90"/>
        <w:rPr>
          <w:rFonts w:ascii="宋体" w:hAnsi="宋体" w:cs="宋体"/>
          <w:bCs/>
          <w:sz w:val="24"/>
          <w:highlight w:val="none"/>
        </w:rPr>
      </w:pPr>
      <w:r>
        <w:rPr>
          <w:rFonts w:ascii="宋体" w:hAnsi="宋体" w:cs="宋体"/>
          <w:bCs/>
          <w:sz w:val="24"/>
          <w:highlight w:val="none"/>
        </w:rPr>
        <w:t xml:space="preserve">投标人名称(加盖公章)： </w:t>
      </w:r>
    </w:p>
    <w:p>
      <w:pPr>
        <w:snapToGrid w:val="0"/>
        <w:spacing w:line="360" w:lineRule="auto"/>
        <w:ind w:firstLine="216" w:firstLineChars="90"/>
        <w:rPr>
          <w:rFonts w:ascii="宋体" w:hAnsi="宋体" w:cs="宋体"/>
          <w:bCs/>
          <w:sz w:val="24"/>
          <w:highlight w:val="none"/>
        </w:rPr>
      </w:pPr>
      <w:r>
        <w:rPr>
          <w:rFonts w:ascii="宋体" w:hAnsi="宋体" w:cs="宋体"/>
          <w:bCs/>
          <w:sz w:val="24"/>
          <w:highlight w:val="none"/>
        </w:rPr>
        <w:t>日期：  年  月  日</w:t>
      </w:r>
    </w:p>
    <w:p>
      <w:pPr>
        <w:spacing w:line="360" w:lineRule="auto"/>
        <w:rPr>
          <w:rFonts w:ascii="宋体" w:hAnsi="宋体" w:cs="宋体"/>
          <w:sz w:val="24"/>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cs="宋体"/>
          <w:sz w:val="24"/>
          <w:highlight w:val="none"/>
        </w:rPr>
        <w:br w:type="page"/>
      </w:r>
      <w:r>
        <w:rPr>
          <w:rFonts w:ascii="宋体" w:hAnsi="宋体" w:eastAsia="宋体" w:cs="宋体"/>
          <w:sz w:val="28"/>
          <w:szCs w:val="28"/>
          <w:highlight w:val="none"/>
        </w:rPr>
        <w:t>商务响应、偏离说明表</w:t>
      </w:r>
    </w:p>
    <w:p>
      <w:pPr>
        <w:jc w:val="left"/>
        <w:rPr>
          <w:rFonts w:ascii="宋体" w:hAnsi="宋体" w:cs="宋体"/>
          <w:b/>
          <w:sz w:val="34"/>
          <w:highlight w:val="none"/>
        </w:rPr>
      </w:pPr>
      <w:r>
        <w:rPr>
          <w:rFonts w:ascii="宋体" w:hAnsi="宋体" w:cs="宋体"/>
          <w:sz w:val="24"/>
          <w:szCs w:val="28"/>
          <w:highlight w:val="none"/>
        </w:rPr>
        <w:t>采购项目名称：</w:t>
      </w:r>
      <w:r>
        <w:rPr>
          <w:rFonts w:ascii="宋体" w:hAnsi="宋体" w:cs="宋体"/>
          <w:sz w:val="24"/>
          <w:szCs w:val="28"/>
          <w:highlight w:val="none"/>
          <w:u w:val="single"/>
        </w:rPr>
        <w:t xml:space="preserve">                </w:t>
      </w:r>
      <w:r>
        <w:rPr>
          <w:rFonts w:ascii="宋体" w:hAnsi="宋体" w:cs="宋体"/>
          <w:sz w:val="24"/>
          <w:szCs w:val="28"/>
          <w:highlight w:val="none"/>
        </w:rPr>
        <w:t xml:space="preserve"> </w:t>
      </w:r>
    </w:p>
    <w:tbl>
      <w:tblPr>
        <w:tblStyle w:val="35"/>
        <w:tblW w:w="8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4630"/>
        <w:gridCol w:w="1276"/>
        <w:gridCol w:w="850"/>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序号</w:t>
            </w:r>
          </w:p>
        </w:tc>
        <w:tc>
          <w:tcPr>
            <w:tcW w:w="4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招标文件商务条款</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投标文件商务条款</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是否响应</w:t>
            </w:r>
          </w:p>
        </w:tc>
        <w:tc>
          <w:tcPr>
            <w:tcW w:w="13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1</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2</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3</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4</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5</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6</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7</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8</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b/>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9</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b/>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10</w:t>
            </w:r>
          </w:p>
        </w:tc>
        <w:tc>
          <w:tcPr>
            <w:tcW w:w="4630" w:type="dxa"/>
            <w:tcBorders>
              <w:top w:val="single" w:color="auto" w:sz="4" w:space="0"/>
              <w:left w:val="single" w:color="auto" w:sz="4" w:space="0"/>
              <w:bottom w:val="single" w:color="auto" w:sz="4" w:space="0"/>
              <w:right w:val="single" w:color="auto" w:sz="4" w:space="0"/>
            </w:tcBorders>
            <w:vAlign w:val="top"/>
          </w:tcPr>
          <w:p>
            <w:pPr>
              <w:rPr>
                <w:rFonts w:ascii="宋体" w:hAnsi="宋体" w:cs="宋体"/>
                <w:b/>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ascii="宋体" w:hAnsi="宋体" w:cs="宋体"/>
                <w:sz w:val="24"/>
                <w:highlight w:val="none"/>
              </w:rPr>
              <w:t>11</w:t>
            </w:r>
          </w:p>
        </w:tc>
        <w:tc>
          <w:tcPr>
            <w:tcW w:w="4630" w:type="dxa"/>
            <w:tcBorders>
              <w:top w:val="single" w:color="auto" w:sz="4" w:space="0"/>
              <w:left w:val="single" w:color="auto" w:sz="4" w:space="0"/>
              <w:bottom w:val="single" w:color="auto" w:sz="4" w:space="0"/>
              <w:right w:val="single" w:color="auto" w:sz="4" w:space="0"/>
            </w:tcBorders>
            <w:vAlign w:val="top"/>
          </w:tcPr>
          <w:p>
            <w:pPr>
              <w:pStyle w:val="18"/>
              <w:adjustRightInd w:val="0"/>
              <w:snapToGrid w:val="0"/>
              <w:spacing w:line="400" w:lineRule="exact"/>
              <w:ind w:left="17" w:hanging="17" w:hangingChars="7"/>
              <w:rPr>
                <w:rFonts w:hAnsi="宋体" w:cs="宋体"/>
                <w:b/>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85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c>
          <w:tcPr>
            <w:tcW w:w="1314"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宋体"/>
                <w:sz w:val="24"/>
                <w:highlight w:val="none"/>
              </w:rPr>
            </w:pPr>
          </w:p>
        </w:tc>
      </w:tr>
    </w:tbl>
    <w:p>
      <w:pPr>
        <w:adjustRightInd w:val="0"/>
        <w:snapToGrid w:val="0"/>
        <w:spacing w:line="360" w:lineRule="auto"/>
        <w:rPr>
          <w:rFonts w:ascii="宋体" w:hAnsi="宋体" w:cs="宋体"/>
          <w:b/>
          <w:sz w:val="24"/>
          <w:highlight w:val="none"/>
        </w:rPr>
      </w:pPr>
      <w:r>
        <w:rPr>
          <w:rFonts w:ascii="宋体" w:hAnsi="宋体" w:cs="宋体"/>
          <w:b/>
          <w:sz w:val="24"/>
          <w:highlight w:val="none"/>
        </w:rPr>
        <w:t>注：上表中所引用的顺序和编号应与采购文件“第二部分　采购项目内容”的“二、 采购项目商务要求”的要求相一致。投标人在具体的投标内容中应逐条进行回应，可以增加说明或描述性文字。投标文件对采购文件未提出异议的条款，均被视为接受和同意。如投标人完全响应，在“是否响应”栏内填“是”，如投标人提供的条款优于招标要求，则填写“正偏离”，如投标人提供的条款低于招标要求，则填写“负偏离”。投标文件与采购文件的任何差异之处，均应按本表格式在“差异说明”栏中逐一说明，优于招标要求的，可提供相关证明资料。填写不足、不详或不实、属于负偏离的可导致投标无效。</w:t>
      </w:r>
    </w:p>
    <w:p>
      <w:pPr>
        <w:rPr>
          <w:rFonts w:ascii="宋体" w:hAnsi="宋体" w:cs="宋体"/>
          <w:sz w:val="17"/>
          <w:highlight w:val="none"/>
        </w:rPr>
      </w:pPr>
    </w:p>
    <w:p>
      <w:pPr>
        <w:adjustRightInd w:val="0"/>
        <w:snapToGrid w:val="0"/>
        <w:spacing w:line="300" w:lineRule="auto"/>
        <w:rPr>
          <w:rFonts w:ascii="宋体" w:hAnsi="宋体" w:cs="宋体"/>
          <w:sz w:val="22"/>
          <w:highlight w:val="none"/>
        </w:rPr>
      </w:pPr>
      <w:r>
        <w:rPr>
          <w:rFonts w:ascii="宋体" w:hAnsi="宋体" w:cs="宋体"/>
          <w:sz w:val="22"/>
          <w:highlight w:val="none"/>
        </w:rPr>
        <w:t>投标人法定代表人/负责人（或法定代表人/负责人授权代表）签字：</w:t>
      </w:r>
      <w:r>
        <w:rPr>
          <w:rFonts w:ascii="宋体" w:hAnsi="宋体" w:cs="宋体"/>
          <w:sz w:val="22"/>
          <w:highlight w:val="none"/>
          <w:u w:val="single"/>
        </w:rPr>
        <w:t xml:space="preserve">                  </w:t>
      </w:r>
    </w:p>
    <w:p>
      <w:pPr>
        <w:adjustRightInd w:val="0"/>
        <w:snapToGrid w:val="0"/>
        <w:spacing w:line="300" w:lineRule="auto"/>
        <w:rPr>
          <w:rFonts w:ascii="宋体" w:hAnsi="宋体" w:cs="宋体"/>
          <w:sz w:val="22"/>
          <w:highlight w:val="none"/>
          <w:u w:val="single"/>
        </w:rPr>
      </w:pPr>
      <w:r>
        <w:rPr>
          <w:rFonts w:ascii="宋体" w:hAnsi="宋体" w:cs="宋体"/>
          <w:sz w:val="22"/>
          <w:highlight w:val="none"/>
        </w:rPr>
        <w:t>投标人名称(加盖公章) ：</w:t>
      </w:r>
      <w:r>
        <w:rPr>
          <w:rFonts w:ascii="宋体" w:hAnsi="宋体" w:cs="宋体"/>
          <w:sz w:val="22"/>
          <w:highlight w:val="none"/>
          <w:u w:val="single"/>
        </w:rPr>
        <w:t xml:space="preserve">                  </w:t>
      </w:r>
    </w:p>
    <w:p>
      <w:pPr>
        <w:rPr>
          <w:rFonts w:ascii="宋体" w:hAnsi="宋体" w:cs="宋体"/>
          <w:b/>
          <w:sz w:val="24"/>
          <w:highlight w:val="none"/>
        </w:rPr>
      </w:pPr>
      <w:r>
        <w:rPr>
          <w:rFonts w:ascii="宋体" w:hAnsi="宋体" w:cs="宋体"/>
          <w:sz w:val="22"/>
          <w:highlight w:val="none"/>
        </w:rPr>
        <w:t>日期：   年   月   日</w:t>
      </w:r>
    </w:p>
    <w:p>
      <w:pPr>
        <w:tabs>
          <w:tab w:val="left" w:pos="540"/>
        </w:tabs>
        <w:spacing w:line="360" w:lineRule="auto"/>
        <w:ind w:left="138"/>
        <w:rPr>
          <w:rFonts w:ascii="宋体" w:hAnsi="宋体" w:cs="宋体"/>
          <w:b/>
          <w:sz w:val="28"/>
          <w:szCs w:val="28"/>
          <w:highlight w:val="none"/>
        </w:rPr>
      </w:pPr>
    </w:p>
    <w:p>
      <w:pPr>
        <w:tabs>
          <w:tab w:val="left" w:pos="540"/>
        </w:tabs>
        <w:spacing w:line="360" w:lineRule="auto"/>
        <w:ind w:left="138"/>
        <w:rPr>
          <w:rFonts w:ascii="宋体" w:hAnsi="宋体" w:cs="宋体"/>
          <w:b/>
          <w:sz w:val="28"/>
          <w:szCs w:val="28"/>
          <w:highlight w:val="none"/>
        </w:rPr>
      </w:pPr>
    </w:p>
    <w:p>
      <w:pPr>
        <w:tabs>
          <w:tab w:val="left" w:pos="540"/>
        </w:tabs>
        <w:spacing w:line="360" w:lineRule="auto"/>
        <w:ind w:left="138"/>
        <w:rPr>
          <w:rFonts w:ascii="宋体" w:hAnsi="宋体" w:cs="宋体"/>
          <w:b/>
          <w:sz w:val="28"/>
          <w:szCs w:val="28"/>
          <w:highlight w:val="none"/>
        </w:rPr>
      </w:pPr>
    </w:p>
    <w:p>
      <w:pPr>
        <w:tabs>
          <w:tab w:val="left" w:pos="540"/>
        </w:tabs>
        <w:spacing w:line="360" w:lineRule="auto"/>
        <w:ind w:left="138"/>
        <w:rPr>
          <w:rFonts w:ascii="宋体" w:hAnsi="宋体" w:cs="宋体"/>
          <w:b/>
          <w:sz w:val="28"/>
          <w:szCs w:val="28"/>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eastAsia="宋体" w:cs="宋体"/>
          <w:sz w:val="28"/>
          <w:szCs w:val="28"/>
          <w:highlight w:val="none"/>
        </w:rPr>
        <w:t>服务响应、偏离说明表</w:t>
      </w:r>
    </w:p>
    <w:p>
      <w:pPr>
        <w:jc w:val="left"/>
        <w:rPr>
          <w:rFonts w:ascii="宋体" w:hAnsi="宋体" w:cs="宋体"/>
          <w:sz w:val="24"/>
          <w:highlight w:val="none"/>
        </w:rPr>
      </w:pPr>
      <w:r>
        <w:rPr>
          <w:rFonts w:ascii="宋体" w:hAnsi="宋体" w:cs="宋体"/>
          <w:sz w:val="24"/>
          <w:highlight w:val="none"/>
        </w:rPr>
        <w:t>采购项目名称：</w:t>
      </w:r>
      <w:r>
        <w:rPr>
          <w:rFonts w:ascii="宋体" w:hAnsi="宋体" w:cs="宋体"/>
          <w:sz w:val="24"/>
          <w:highlight w:val="none"/>
          <w:u w:val="single"/>
        </w:rPr>
        <w:t xml:space="preserve">                </w:t>
      </w:r>
      <w:r>
        <w:rPr>
          <w:rFonts w:ascii="宋体" w:hAnsi="宋体" w:cs="宋体"/>
          <w:sz w:val="24"/>
          <w:highlight w:val="none"/>
        </w:rPr>
        <w:t xml:space="preserve">    </w:t>
      </w:r>
    </w:p>
    <w:tbl>
      <w:tblPr>
        <w:tblStyle w:val="35"/>
        <w:tblW w:w="9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3045"/>
        <w:gridCol w:w="2861"/>
        <w:gridCol w:w="1200"/>
        <w:gridCol w:w="1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编号</w:t>
            </w:r>
          </w:p>
        </w:tc>
        <w:tc>
          <w:tcPr>
            <w:tcW w:w="30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招标文件服务条款</w:t>
            </w:r>
          </w:p>
        </w:tc>
        <w:tc>
          <w:tcPr>
            <w:tcW w:w="28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投标文件服务条款</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是否响应</w:t>
            </w: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ascii="宋体" w:hAnsi="宋体" w:cs="宋体"/>
                <w:sz w:val="24"/>
                <w:highlight w:val="no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304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28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304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28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304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28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3"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304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28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304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28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highlight w:val="none"/>
              </w:rPr>
            </w:pPr>
          </w:p>
        </w:tc>
        <w:tc>
          <w:tcPr>
            <w:tcW w:w="304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highlight w:val="none"/>
              </w:rPr>
            </w:pPr>
          </w:p>
        </w:tc>
        <w:tc>
          <w:tcPr>
            <w:tcW w:w="28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p>
        </w:tc>
      </w:tr>
    </w:tbl>
    <w:p>
      <w:pPr>
        <w:adjustRightInd w:val="0"/>
        <w:snapToGrid w:val="0"/>
        <w:spacing w:line="360" w:lineRule="auto"/>
        <w:rPr>
          <w:rFonts w:ascii="宋体" w:hAnsi="宋体" w:cs="宋体"/>
          <w:b/>
          <w:sz w:val="24"/>
          <w:highlight w:val="none"/>
        </w:rPr>
      </w:pPr>
      <w:r>
        <w:rPr>
          <w:rFonts w:ascii="宋体" w:hAnsi="宋体" w:cs="宋体"/>
          <w:b/>
          <w:sz w:val="24"/>
          <w:highlight w:val="none"/>
        </w:rPr>
        <w:t>注：上表中所引用的顺序和编号应与采购文件“第二部分　采购项目内容”的“三、采购项目服务要求”的要求相一致。投标人在具体的投标内容中应逐条进行回应，可以增加说明或描述性文字。投标文件对采购文件未提出异议的条款，均被视为接受和同意。如投标人完全响应，在“是否响应”栏内填“是”，如投标人提供的条款优于招标要求，则填写“正偏离”，如投标人提供的条款低于招标要求，则填写“负偏离”。投标文件与采购文件的任何差异之处，均应按本表格式在“差异说明”栏中逐一说明，优于或低于招标要求的，可提供相关证明资料。填写不足、不详或不实的，可导致投标无效。</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sz w:val="22"/>
          <w:szCs w:val="28"/>
          <w:highlight w:val="none"/>
        </w:rPr>
      </w:pPr>
      <w:r>
        <w:rPr>
          <w:rFonts w:ascii="宋体" w:hAnsi="宋体" w:cs="宋体"/>
          <w:sz w:val="22"/>
          <w:szCs w:val="28"/>
          <w:highlight w:val="none"/>
        </w:rPr>
        <w:t>投标人法定代表人/负责人（或法定代表人/负责人授权代表）签字：</w:t>
      </w:r>
      <w:r>
        <w:rPr>
          <w:rFonts w:ascii="宋体" w:hAnsi="宋体" w:cs="宋体"/>
          <w:sz w:val="22"/>
          <w:szCs w:val="28"/>
          <w:highlight w:val="none"/>
          <w:u w:val="single"/>
        </w:rPr>
        <w:t xml:space="preserve">              </w:t>
      </w:r>
    </w:p>
    <w:p>
      <w:pPr>
        <w:adjustRightInd w:val="0"/>
        <w:snapToGrid w:val="0"/>
        <w:spacing w:line="360" w:lineRule="auto"/>
        <w:rPr>
          <w:rFonts w:ascii="宋体" w:hAnsi="宋体" w:cs="宋体"/>
          <w:sz w:val="22"/>
          <w:szCs w:val="28"/>
          <w:highlight w:val="none"/>
          <w:u w:val="single"/>
        </w:rPr>
      </w:pPr>
      <w:r>
        <w:rPr>
          <w:rFonts w:ascii="宋体" w:hAnsi="宋体" w:cs="宋体"/>
          <w:sz w:val="22"/>
          <w:szCs w:val="28"/>
          <w:highlight w:val="none"/>
        </w:rPr>
        <w:t>投标人名称(加盖公章) ：</w:t>
      </w:r>
      <w:r>
        <w:rPr>
          <w:rFonts w:ascii="宋体" w:hAnsi="宋体" w:cs="宋体"/>
          <w:sz w:val="22"/>
          <w:szCs w:val="28"/>
          <w:highlight w:val="none"/>
          <w:u w:val="single"/>
        </w:rPr>
        <w:t xml:space="preserve">      </w:t>
      </w:r>
    </w:p>
    <w:p>
      <w:pPr>
        <w:spacing w:line="360" w:lineRule="auto"/>
        <w:rPr>
          <w:rFonts w:ascii="宋体" w:hAnsi="宋体" w:cs="宋体"/>
          <w:sz w:val="22"/>
          <w:szCs w:val="28"/>
          <w:highlight w:val="none"/>
        </w:rPr>
      </w:pPr>
      <w:r>
        <w:rPr>
          <w:rFonts w:ascii="宋体" w:hAnsi="宋体" w:cs="宋体"/>
          <w:sz w:val="22"/>
          <w:szCs w:val="28"/>
          <w:highlight w:val="none"/>
        </w:rPr>
        <w:t>日期：   年   月   日</w:t>
      </w:r>
    </w:p>
    <w:p>
      <w:pPr>
        <w:spacing w:line="360" w:lineRule="auto"/>
        <w:rPr>
          <w:rFonts w:ascii="宋体" w:hAnsi="宋体" w:cs="宋体"/>
          <w:highlight w:val="none"/>
        </w:rPr>
      </w:pPr>
    </w:p>
    <w:p>
      <w:pPr>
        <w:tabs>
          <w:tab w:val="left" w:pos="540"/>
        </w:tabs>
        <w:spacing w:line="360" w:lineRule="auto"/>
        <w:ind w:left="138"/>
        <w:rPr>
          <w:rFonts w:ascii="宋体" w:hAnsi="宋体" w:cs="宋体"/>
          <w:sz w:val="22"/>
          <w:szCs w:val="18"/>
          <w:highlight w:val="none"/>
        </w:rPr>
      </w:pPr>
      <w:r>
        <w:rPr>
          <w:rFonts w:ascii="宋体" w:hAnsi="宋体" w:cs="宋体"/>
          <w:b/>
          <w:sz w:val="28"/>
          <w:szCs w:val="28"/>
          <w:highlight w:val="none"/>
        </w:rPr>
        <w:br w:type="page"/>
      </w:r>
    </w:p>
    <w:p>
      <w:pPr>
        <w:pStyle w:val="4"/>
        <w:spacing w:before="0" w:after="0" w:line="360" w:lineRule="auto"/>
        <w:jc w:val="center"/>
        <w:rPr>
          <w:rFonts w:ascii="宋体" w:hAnsi="宋体" w:eastAsia="宋体" w:cs="宋体"/>
          <w:sz w:val="28"/>
          <w:szCs w:val="28"/>
          <w:highlight w:val="none"/>
        </w:rPr>
      </w:pPr>
      <w:r>
        <w:rPr>
          <w:rFonts w:ascii="宋体" w:hAnsi="宋体" w:eastAsia="宋体" w:cs="宋体"/>
          <w:sz w:val="28"/>
          <w:szCs w:val="28"/>
          <w:highlight w:val="none"/>
        </w:rPr>
        <w:t>业绩汇总表</w:t>
      </w:r>
    </w:p>
    <w:tbl>
      <w:tblPr>
        <w:tblStyle w:val="35"/>
        <w:tblW w:w="9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66"/>
        <w:gridCol w:w="2077"/>
        <w:gridCol w:w="1785"/>
        <w:gridCol w:w="1599"/>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F3F3F3"/>
            <w:vAlign w:val="center"/>
          </w:tcPr>
          <w:p>
            <w:pPr>
              <w:jc w:val="center"/>
              <w:rPr>
                <w:rFonts w:ascii="宋体" w:hAnsi="宋体" w:cs="宋体"/>
                <w:b/>
                <w:bCs/>
                <w:sz w:val="23"/>
                <w:szCs w:val="21"/>
                <w:highlight w:val="none"/>
              </w:rPr>
            </w:pPr>
            <w:r>
              <w:rPr>
                <w:rFonts w:ascii="宋体" w:hAnsi="宋体" w:cs="宋体"/>
                <w:b/>
                <w:bCs/>
                <w:sz w:val="23"/>
                <w:szCs w:val="21"/>
                <w:highlight w:val="none"/>
              </w:rPr>
              <w:t>序号</w:t>
            </w:r>
          </w:p>
        </w:tc>
        <w:tc>
          <w:tcPr>
            <w:tcW w:w="1766" w:type="dxa"/>
            <w:tcBorders>
              <w:top w:val="single" w:color="auto" w:sz="4" w:space="0"/>
              <w:left w:val="single" w:color="auto" w:sz="4" w:space="0"/>
              <w:bottom w:val="single" w:color="auto" w:sz="4" w:space="0"/>
              <w:right w:val="single" w:color="auto" w:sz="4" w:space="0"/>
            </w:tcBorders>
            <w:shd w:val="clear" w:color="auto" w:fill="F3F3F3"/>
            <w:vAlign w:val="center"/>
          </w:tcPr>
          <w:p>
            <w:pPr>
              <w:jc w:val="center"/>
              <w:rPr>
                <w:rFonts w:ascii="宋体" w:hAnsi="宋体" w:cs="宋体"/>
                <w:b/>
                <w:bCs/>
                <w:sz w:val="23"/>
                <w:szCs w:val="21"/>
                <w:highlight w:val="none"/>
              </w:rPr>
            </w:pPr>
            <w:r>
              <w:rPr>
                <w:rFonts w:ascii="宋体" w:hAnsi="宋体" w:cs="宋体"/>
                <w:b/>
                <w:bCs/>
                <w:sz w:val="23"/>
                <w:szCs w:val="21"/>
                <w:highlight w:val="none"/>
              </w:rPr>
              <w:t>客户名称</w:t>
            </w:r>
          </w:p>
        </w:tc>
        <w:tc>
          <w:tcPr>
            <w:tcW w:w="2077" w:type="dxa"/>
            <w:tcBorders>
              <w:top w:val="single" w:color="auto" w:sz="4" w:space="0"/>
              <w:left w:val="single" w:color="auto" w:sz="4" w:space="0"/>
              <w:bottom w:val="single" w:color="auto" w:sz="4" w:space="0"/>
              <w:right w:val="single" w:color="auto" w:sz="4" w:space="0"/>
            </w:tcBorders>
            <w:shd w:val="clear" w:color="auto" w:fill="F3F3F3"/>
            <w:vAlign w:val="center"/>
          </w:tcPr>
          <w:p>
            <w:pPr>
              <w:jc w:val="center"/>
              <w:rPr>
                <w:rFonts w:ascii="宋体" w:hAnsi="宋体" w:cs="宋体"/>
                <w:b/>
                <w:bCs/>
                <w:sz w:val="23"/>
                <w:szCs w:val="21"/>
                <w:highlight w:val="none"/>
              </w:rPr>
            </w:pPr>
            <w:r>
              <w:rPr>
                <w:rFonts w:ascii="宋体" w:hAnsi="宋体" w:cs="宋体"/>
                <w:b/>
                <w:bCs/>
                <w:sz w:val="23"/>
                <w:szCs w:val="21"/>
                <w:highlight w:val="none"/>
              </w:rPr>
              <w:t>项目名称</w:t>
            </w:r>
          </w:p>
        </w:tc>
        <w:tc>
          <w:tcPr>
            <w:tcW w:w="1785" w:type="dxa"/>
            <w:tcBorders>
              <w:top w:val="single" w:color="auto" w:sz="4" w:space="0"/>
              <w:left w:val="single" w:color="auto" w:sz="4" w:space="0"/>
              <w:bottom w:val="single" w:color="auto" w:sz="4" w:space="0"/>
              <w:right w:val="single" w:color="auto" w:sz="4" w:space="0"/>
            </w:tcBorders>
            <w:shd w:val="clear" w:color="auto" w:fill="F3F3F3"/>
            <w:vAlign w:val="center"/>
          </w:tcPr>
          <w:p>
            <w:pPr>
              <w:jc w:val="center"/>
              <w:rPr>
                <w:rFonts w:ascii="宋体" w:hAnsi="宋体" w:cs="宋体"/>
                <w:b/>
                <w:bCs/>
                <w:sz w:val="23"/>
                <w:szCs w:val="21"/>
                <w:highlight w:val="none"/>
              </w:rPr>
            </w:pPr>
            <w:r>
              <w:rPr>
                <w:rFonts w:ascii="宋体" w:hAnsi="宋体" w:cs="宋体"/>
                <w:b/>
                <w:bCs/>
                <w:sz w:val="23"/>
                <w:szCs w:val="21"/>
                <w:highlight w:val="none"/>
              </w:rPr>
              <w:t>合同金额(万元)</w:t>
            </w:r>
          </w:p>
        </w:tc>
        <w:tc>
          <w:tcPr>
            <w:tcW w:w="1599" w:type="dxa"/>
            <w:tcBorders>
              <w:top w:val="single" w:color="auto" w:sz="4" w:space="0"/>
              <w:left w:val="single" w:color="auto" w:sz="4" w:space="0"/>
              <w:bottom w:val="single" w:color="auto" w:sz="4" w:space="0"/>
              <w:right w:val="single" w:color="auto" w:sz="4" w:space="0"/>
            </w:tcBorders>
            <w:shd w:val="clear" w:color="auto" w:fill="F3F3F3"/>
            <w:vAlign w:val="center"/>
          </w:tcPr>
          <w:p>
            <w:pPr>
              <w:jc w:val="center"/>
              <w:rPr>
                <w:rFonts w:ascii="宋体" w:hAnsi="宋体" w:cs="宋体"/>
                <w:b/>
                <w:bCs/>
                <w:sz w:val="23"/>
                <w:szCs w:val="21"/>
                <w:highlight w:val="none"/>
              </w:rPr>
            </w:pPr>
            <w:r>
              <w:rPr>
                <w:rFonts w:ascii="宋体" w:hAnsi="宋体" w:cs="宋体"/>
                <w:b/>
                <w:bCs/>
                <w:sz w:val="23"/>
                <w:szCs w:val="21"/>
                <w:highlight w:val="none"/>
              </w:rPr>
              <w:t>合同签订时间</w:t>
            </w:r>
          </w:p>
        </w:tc>
        <w:tc>
          <w:tcPr>
            <w:tcW w:w="1225" w:type="dxa"/>
            <w:tcBorders>
              <w:top w:val="single" w:color="auto" w:sz="4" w:space="0"/>
              <w:left w:val="single" w:color="auto" w:sz="4" w:space="0"/>
              <w:bottom w:val="single" w:color="auto" w:sz="4" w:space="0"/>
              <w:right w:val="single" w:color="auto" w:sz="4" w:space="0"/>
            </w:tcBorders>
            <w:shd w:val="clear" w:color="auto" w:fill="F3F3F3"/>
            <w:vAlign w:val="top"/>
          </w:tcPr>
          <w:p>
            <w:pPr>
              <w:jc w:val="center"/>
              <w:rPr>
                <w:rFonts w:ascii="宋体" w:hAnsi="宋体" w:cs="宋体"/>
                <w:b/>
                <w:bCs/>
                <w:sz w:val="23"/>
                <w:szCs w:val="21"/>
                <w:highlight w:val="none"/>
              </w:rPr>
            </w:pPr>
            <w:r>
              <w:rPr>
                <w:rFonts w:ascii="宋体" w:hAnsi="宋体" w:cs="宋体"/>
                <w:b/>
                <w:bCs/>
                <w:sz w:val="23"/>
                <w:szCs w:val="21"/>
                <w:highlight w:val="none"/>
              </w:rPr>
              <w:t>证明材料所在页码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r>
              <w:rPr>
                <w:rFonts w:ascii="宋体" w:hAnsi="宋体" w:cs="宋体"/>
                <w:szCs w:val="21"/>
                <w:highlight w:val="none"/>
              </w:rPr>
              <w:t>1</w:t>
            </w:r>
          </w:p>
        </w:tc>
        <w:tc>
          <w:tcPr>
            <w:tcW w:w="1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20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7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5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22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r>
              <w:rPr>
                <w:rFonts w:ascii="宋体" w:hAnsi="宋体" w:cs="宋体"/>
                <w:szCs w:val="21"/>
                <w:highlight w:val="none"/>
              </w:rPr>
              <w:t>2</w:t>
            </w:r>
          </w:p>
        </w:tc>
        <w:tc>
          <w:tcPr>
            <w:tcW w:w="1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20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7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5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highlight w:val="none"/>
              </w:rPr>
            </w:pPr>
          </w:p>
        </w:tc>
        <w:tc>
          <w:tcPr>
            <w:tcW w:w="1225" w:type="dxa"/>
            <w:tcBorders>
              <w:top w:val="single" w:color="auto" w:sz="4" w:space="0"/>
              <w:left w:val="single" w:color="auto" w:sz="4" w:space="0"/>
              <w:bottom w:val="single" w:color="auto" w:sz="4" w:space="0"/>
              <w:right w:val="single" w:color="auto" w:sz="4" w:space="0"/>
            </w:tcBorders>
            <w:vAlign w:val="top"/>
          </w:tcPr>
          <w:p>
            <w:pP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r>
              <w:rPr>
                <w:rFonts w:ascii="宋体" w:hAnsi="宋体" w:cs="宋体"/>
                <w:szCs w:val="21"/>
                <w:highlight w:val="none"/>
              </w:rPr>
              <w:t>3</w:t>
            </w:r>
          </w:p>
        </w:tc>
        <w:tc>
          <w:tcPr>
            <w:tcW w:w="1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20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7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5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22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r>
              <w:rPr>
                <w:rFonts w:ascii="宋体" w:hAnsi="宋体" w:cs="宋体"/>
                <w:szCs w:val="21"/>
                <w:highlight w:val="none"/>
              </w:rPr>
              <w:t>…</w:t>
            </w:r>
          </w:p>
        </w:tc>
        <w:tc>
          <w:tcPr>
            <w:tcW w:w="1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20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7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5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p>
        </w:tc>
        <w:tc>
          <w:tcPr>
            <w:tcW w:w="122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szCs w:val="21"/>
                <w:highlight w:val="none"/>
              </w:rPr>
            </w:pPr>
          </w:p>
        </w:tc>
      </w:tr>
    </w:tbl>
    <w:p>
      <w:pPr>
        <w:rPr>
          <w:rFonts w:ascii="宋体" w:hAnsi="宋体" w:cs="宋体"/>
          <w:sz w:val="24"/>
          <w:szCs w:val="28"/>
          <w:highlight w:val="none"/>
        </w:rPr>
      </w:pPr>
      <w:r>
        <w:rPr>
          <w:rFonts w:ascii="宋体" w:hAnsi="宋体" w:cs="宋体"/>
          <w:sz w:val="24"/>
          <w:szCs w:val="28"/>
          <w:highlight w:val="none"/>
        </w:rPr>
        <w:t>注：1.</w:t>
      </w:r>
      <w:r>
        <w:rPr>
          <w:rFonts w:ascii="宋体" w:hAnsi="宋体" w:cs="宋体"/>
          <w:highlight w:val="none"/>
        </w:rPr>
        <w:t xml:space="preserve"> </w:t>
      </w:r>
      <w:r>
        <w:rPr>
          <w:rFonts w:ascii="宋体" w:hAnsi="宋体" w:cs="宋体"/>
          <w:sz w:val="24"/>
          <w:szCs w:val="28"/>
          <w:highlight w:val="none"/>
        </w:rPr>
        <w:t>填写商务部分评分要求的项目业绩。</w:t>
      </w:r>
    </w:p>
    <w:p>
      <w:pPr>
        <w:spacing w:line="360" w:lineRule="auto"/>
        <w:jc w:val="center"/>
        <w:rPr>
          <w:rFonts w:ascii="宋体" w:hAnsi="宋体" w:cs="宋体"/>
          <w:b/>
          <w:sz w:val="32"/>
          <w:szCs w:val="28"/>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eastAsia="宋体" w:cs="宋体"/>
          <w:sz w:val="28"/>
          <w:szCs w:val="28"/>
          <w:highlight w:val="none"/>
        </w:rPr>
        <w:t>服务团队情况表</w:t>
      </w:r>
    </w:p>
    <w:tbl>
      <w:tblPr>
        <w:tblStyle w:val="35"/>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901"/>
        <w:gridCol w:w="3165"/>
        <w:gridCol w:w="814"/>
        <w:gridCol w:w="814"/>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jc w:val="center"/>
        </w:trPr>
        <w:tc>
          <w:tcPr>
            <w:tcW w:w="1500" w:type="dxa"/>
            <w:shd w:val="clear" w:color="auto" w:fill="F3F3F3"/>
            <w:vAlign w:val="center"/>
          </w:tcPr>
          <w:p>
            <w:pPr>
              <w:rPr>
                <w:rFonts w:ascii="宋体" w:hAnsi="宋体" w:cs="宋体"/>
                <w:b/>
                <w:sz w:val="22"/>
                <w:highlight w:val="none"/>
              </w:rPr>
            </w:pPr>
            <w:r>
              <w:rPr>
                <w:rFonts w:ascii="宋体" w:hAnsi="宋体" w:cs="宋体"/>
                <w:b/>
                <w:sz w:val="22"/>
                <w:highlight w:val="none"/>
              </w:rPr>
              <w:t>职责分工</w:t>
            </w:r>
          </w:p>
        </w:tc>
        <w:tc>
          <w:tcPr>
            <w:tcW w:w="901" w:type="dxa"/>
            <w:shd w:val="clear" w:color="auto" w:fill="F3F3F3"/>
            <w:vAlign w:val="center"/>
          </w:tcPr>
          <w:p>
            <w:pPr>
              <w:rPr>
                <w:rFonts w:ascii="宋体" w:hAnsi="宋体" w:cs="宋体"/>
                <w:b/>
                <w:sz w:val="22"/>
                <w:highlight w:val="none"/>
              </w:rPr>
            </w:pPr>
            <w:r>
              <w:rPr>
                <w:rFonts w:ascii="宋体" w:hAnsi="宋体" w:cs="宋体"/>
                <w:b/>
                <w:sz w:val="22"/>
                <w:highlight w:val="none"/>
              </w:rPr>
              <w:t>姓名</w:t>
            </w:r>
          </w:p>
        </w:tc>
        <w:tc>
          <w:tcPr>
            <w:tcW w:w="3165" w:type="dxa"/>
            <w:shd w:val="clear" w:color="auto" w:fill="F3F3F3"/>
            <w:vAlign w:val="center"/>
          </w:tcPr>
          <w:p>
            <w:pPr>
              <w:rPr>
                <w:rFonts w:ascii="宋体" w:hAnsi="宋体" w:cs="宋体"/>
                <w:b/>
                <w:sz w:val="22"/>
                <w:highlight w:val="none"/>
              </w:rPr>
            </w:pPr>
            <w:r>
              <w:rPr>
                <w:rFonts w:ascii="宋体" w:hAnsi="宋体" w:cs="宋体"/>
                <w:b/>
                <w:sz w:val="22"/>
                <w:highlight w:val="none"/>
              </w:rPr>
              <w:t>曾主持/参与的同类项目经历</w:t>
            </w:r>
          </w:p>
        </w:tc>
        <w:tc>
          <w:tcPr>
            <w:tcW w:w="814" w:type="dxa"/>
            <w:shd w:val="clear" w:color="auto" w:fill="F3F3F3"/>
            <w:vAlign w:val="center"/>
          </w:tcPr>
          <w:p>
            <w:pPr>
              <w:rPr>
                <w:rFonts w:ascii="宋体" w:hAnsi="宋体" w:cs="宋体"/>
                <w:b/>
                <w:sz w:val="22"/>
                <w:highlight w:val="none"/>
              </w:rPr>
            </w:pPr>
            <w:r>
              <w:rPr>
                <w:rFonts w:ascii="宋体" w:hAnsi="宋体" w:cs="宋体"/>
                <w:b/>
                <w:sz w:val="22"/>
                <w:highlight w:val="none"/>
              </w:rPr>
              <w:t>年龄</w:t>
            </w:r>
          </w:p>
        </w:tc>
        <w:tc>
          <w:tcPr>
            <w:tcW w:w="814" w:type="dxa"/>
            <w:shd w:val="clear" w:color="auto" w:fill="F3F3F3"/>
            <w:vAlign w:val="center"/>
          </w:tcPr>
          <w:p>
            <w:pPr>
              <w:ind w:firstLine="12"/>
              <w:jc w:val="center"/>
              <w:rPr>
                <w:rFonts w:ascii="宋体" w:hAnsi="宋体" w:cs="宋体"/>
                <w:b/>
                <w:sz w:val="22"/>
                <w:highlight w:val="none"/>
              </w:rPr>
            </w:pPr>
            <w:r>
              <w:rPr>
                <w:rFonts w:ascii="宋体" w:hAnsi="宋体" w:cs="宋体"/>
                <w:b/>
                <w:sz w:val="22"/>
                <w:highlight w:val="none"/>
              </w:rPr>
              <w:t>证书名称</w:t>
            </w:r>
          </w:p>
        </w:tc>
        <w:tc>
          <w:tcPr>
            <w:tcW w:w="1830" w:type="dxa"/>
            <w:shd w:val="clear" w:color="auto" w:fill="F3F3F3"/>
            <w:vAlign w:val="center"/>
          </w:tcPr>
          <w:p>
            <w:pPr>
              <w:ind w:firstLine="12"/>
              <w:rPr>
                <w:rFonts w:ascii="宋体" w:hAnsi="宋体" w:cs="宋体"/>
                <w:b/>
                <w:sz w:val="22"/>
                <w:highlight w:val="none"/>
              </w:rPr>
            </w:pPr>
            <w:r>
              <w:rPr>
                <w:rFonts w:ascii="宋体" w:hAnsi="宋体" w:cs="宋体"/>
                <w:b/>
                <w:sz w:val="22"/>
                <w:highlight w:val="none"/>
              </w:rPr>
              <w:t>办公电话/手机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500" w:type="dxa"/>
            <w:vAlign w:val="center"/>
          </w:tcPr>
          <w:p>
            <w:pPr>
              <w:adjustRightInd w:val="0"/>
              <w:snapToGrid w:val="0"/>
              <w:jc w:val="center"/>
              <w:rPr>
                <w:rFonts w:ascii="宋体" w:hAnsi="宋体" w:cs="宋体"/>
                <w:sz w:val="24"/>
                <w:highlight w:val="none"/>
              </w:rPr>
            </w:pPr>
          </w:p>
        </w:tc>
        <w:tc>
          <w:tcPr>
            <w:tcW w:w="901" w:type="dxa"/>
            <w:vAlign w:val="center"/>
          </w:tcPr>
          <w:p>
            <w:pPr>
              <w:jc w:val="center"/>
              <w:rPr>
                <w:rFonts w:ascii="宋体" w:hAnsi="宋体" w:cs="宋体"/>
                <w:sz w:val="22"/>
                <w:highlight w:val="none"/>
              </w:rPr>
            </w:pPr>
          </w:p>
        </w:tc>
        <w:tc>
          <w:tcPr>
            <w:tcW w:w="3165" w:type="dxa"/>
            <w:vAlign w:val="center"/>
          </w:tcPr>
          <w:p>
            <w:pPr>
              <w:pStyle w:val="63"/>
              <w:keepNext w:val="0"/>
              <w:adjustRightInd/>
              <w:spacing w:before="0" w:after="0" w:line="240" w:lineRule="auto"/>
              <w:rPr>
                <w:rFonts w:ascii="宋体" w:hAnsi="宋体" w:cs="宋体"/>
                <w:spacing w:val="0"/>
                <w:kern w:val="2"/>
                <w:sz w:val="22"/>
                <w:szCs w:val="22"/>
                <w:highlight w:val="none"/>
              </w:rPr>
            </w:pPr>
          </w:p>
        </w:tc>
        <w:tc>
          <w:tcPr>
            <w:tcW w:w="814" w:type="dxa"/>
            <w:vAlign w:val="center"/>
          </w:tcPr>
          <w:p>
            <w:pPr>
              <w:jc w:val="center"/>
              <w:rPr>
                <w:rFonts w:ascii="宋体" w:hAnsi="宋体" w:cs="宋体"/>
                <w:sz w:val="22"/>
                <w:highlight w:val="none"/>
              </w:rPr>
            </w:pPr>
          </w:p>
        </w:tc>
        <w:tc>
          <w:tcPr>
            <w:tcW w:w="814" w:type="dxa"/>
            <w:vAlign w:val="center"/>
          </w:tcPr>
          <w:p>
            <w:pPr>
              <w:ind w:firstLine="12"/>
              <w:jc w:val="center"/>
              <w:rPr>
                <w:rFonts w:ascii="宋体" w:hAnsi="宋体" w:cs="宋体"/>
                <w:sz w:val="22"/>
                <w:highlight w:val="none"/>
              </w:rPr>
            </w:pPr>
          </w:p>
        </w:tc>
        <w:tc>
          <w:tcPr>
            <w:tcW w:w="1830" w:type="dxa"/>
            <w:vAlign w:val="center"/>
          </w:tcPr>
          <w:p>
            <w:pPr>
              <w:ind w:firstLine="12"/>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500" w:type="dxa"/>
            <w:vAlign w:val="center"/>
          </w:tcPr>
          <w:p>
            <w:pPr>
              <w:adjustRightInd w:val="0"/>
              <w:snapToGrid w:val="0"/>
              <w:jc w:val="center"/>
              <w:rPr>
                <w:rFonts w:ascii="宋体" w:hAnsi="宋体" w:cs="宋体"/>
                <w:sz w:val="24"/>
                <w:highlight w:val="none"/>
              </w:rPr>
            </w:pPr>
          </w:p>
        </w:tc>
        <w:tc>
          <w:tcPr>
            <w:tcW w:w="901" w:type="dxa"/>
            <w:vAlign w:val="center"/>
          </w:tcPr>
          <w:p>
            <w:pPr>
              <w:jc w:val="center"/>
              <w:rPr>
                <w:rFonts w:ascii="宋体" w:hAnsi="宋体" w:cs="宋体"/>
                <w:sz w:val="22"/>
                <w:highlight w:val="none"/>
              </w:rPr>
            </w:pPr>
          </w:p>
        </w:tc>
        <w:tc>
          <w:tcPr>
            <w:tcW w:w="3165" w:type="dxa"/>
            <w:vAlign w:val="center"/>
          </w:tcPr>
          <w:p>
            <w:pPr>
              <w:pStyle w:val="63"/>
              <w:keepNext w:val="0"/>
              <w:adjustRightInd/>
              <w:spacing w:before="0" w:after="0" w:line="240" w:lineRule="auto"/>
              <w:rPr>
                <w:rFonts w:ascii="宋体" w:hAnsi="宋体" w:cs="宋体"/>
                <w:spacing w:val="0"/>
                <w:kern w:val="2"/>
                <w:sz w:val="22"/>
                <w:szCs w:val="22"/>
                <w:highlight w:val="none"/>
              </w:rPr>
            </w:pPr>
          </w:p>
        </w:tc>
        <w:tc>
          <w:tcPr>
            <w:tcW w:w="814" w:type="dxa"/>
            <w:vAlign w:val="center"/>
          </w:tcPr>
          <w:p>
            <w:pPr>
              <w:jc w:val="center"/>
              <w:rPr>
                <w:rFonts w:ascii="宋体" w:hAnsi="宋体" w:cs="宋体"/>
                <w:sz w:val="22"/>
                <w:highlight w:val="none"/>
              </w:rPr>
            </w:pPr>
          </w:p>
        </w:tc>
        <w:tc>
          <w:tcPr>
            <w:tcW w:w="814" w:type="dxa"/>
            <w:vAlign w:val="center"/>
          </w:tcPr>
          <w:p>
            <w:pPr>
              <w:ind w:firstLine="12"/>
              <w:jc w:val="center"/>
              <w:rPr>
                <w:rFonts w:ascii="宋体" w:hAnsi="宋体" w:cs="宋体"/>
                <w:sz w:val="22"/>
                <w:highlight w:val="none"/>
              </w:rPr>
            </w:pPr>
          </w:p>
        </w:tc>
        <w:tc>
          <w:tcPr>
            <w:tcW w:w="1830" w:type="dxa"/>
            <w:vAlign w:val="center"/>
          </w:tcPr>
          <w:p>
            <w:pPr>
              <w:ind w:firstLine="12"/>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500" w:type="dxa"/>
            <w:vAlign w:val="center"/>
          </w:tcPr>
          <w:p>
            <w:pPr>
              <w:adjustRightInd w:val="0"/>
              <w:snapToGrid w:val="0"/>
              <w:jc w:val="center"/>
              <w:rPr>
                <w:rFonts w:ascii="宋体" w:hAnsi="宋体" w:cs="宋体"/>
                <w:sz w:val="24"/>
                <w:highlight w:val="none"/>
              </w:rPr>
            </w:pPr>
          </w:p>
        </w:tc>
        <w:tc>
          <w:tcPr>
            <w:tcW w:w="901" w:type="dxa"/>
            <w:vAlign w:val="center"/>
          </w:tcPr>
          <w:p>
            <w:pPr>
              <w:jc w:val="center"/>
              <w:rPr>
                <w:rFonts w:ascii="宋体" w:hAnsi="宋体" w:cs="宋体"/>
                <w:sz w:val="22"/>
                <w:highlight w:val="none"/>
              </w:rPr>
            </w:pPr>
          </w:p>
        </w:tc>
        <w:tc>
          <w:tcPr>
            <w:tcW w:w="3165" w:type="dxa"/>
            <w:vAlign w:val="center"/>
          </w:tcPr>
          <w:p>
            <w:pPr>
              <w:pStyle w:val="63"/>
              <w:keepNext w:val="0"/>
              <w:adjustRightInd/>
              <w:spacing w:before="0" w:after="0" w:line="240" w:lineRule="auto"/>
              <w:rPr>
                <w:rFonts w:ascii="宋体" w:hAnsi="宋体" w:cs="宋体"/>
                <w:spacing w:val="0"/>
                <w:kern w:val="2"/>
                <w:sz w:val="22"/>
                <w:szCs w:val="22"/>
                <w:highlight w:val="none"/>
              </w:rPr>
            </w:pPr>
          </w:p>
        </w:tc>
        <w:tc>
          <w:tcPr>
            <w:tcW w:w="814" w:type="dxa"/>
            <w:vAlign w:val="center"/>
          </w:tcPr>
          <w:p>
            <w:pPr>
              <w:jc w:val="center"/>
              <w:rPr>
                <w:rFonts w:ascii="宋体" w:hAnsi="宋体" w:cs="宋体"/>
                <w:sz w:val="22"/>
                <w:highlight w:val="none"/>
              </w:rPr>
            </w:pPr>
          </w:p>
        </w:tc>
        <w:tc>
          <w:tcPr>
            <w:tcW w:w="814" w:type="dxa"/>
            <w:vAlign w:val="center"/>
          </w:tcPr>
          <w:p>
            <w:pPr>
              <w:ind w:firstLine="12"/>
              <w:jc w:val="center"/>
              <w:rPr>
                <w:rFonts w:ascii="宋体" w:hAnsi="宋体" w:cs="宋体"/>
                <w:sz w:val="22"/>
                <w:highlight w:val="none"/>
              </w:rPr>
            </w:pPr>
          </w:p>
        </w:tc>
        <w:tc>
          <w:tcPr>
            <w:tcW w:w="1830" w:type="dxa"/>
            <w:vAlign w:val="center"/>
          </w:tcPr>
          <w:p>
            <w:pPr>
              <w:ind w:firstLine="12"/>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500" w:type="dxa"/>
            <w:vAlign w:val="center"/>
          </w:tcPr>
          <w:p>
            <w:pPr>
              <w:adjustRightInd w:val="0"/>
              <w:snapToGrid w:val="0"/>
              <w:jc w:val="center"/>
              <w:rPr>
                <w:rFonts w:ascii="宋体" w:hAnsi="宋体" w:cs="宋体"/>
                <w:sz w:val="24"/>
                <w:highlight w:val="none"/>
              </w:rPr>
            </w:pPr>
          </w:p>
        </w:tc>
        <w:tc>
          <w:tcPr>
            <w:tcW w:w="901" w:type="dxa"/>
            <w:vAlign w:val="center"/>
          </w:tcPr>
          <w:p>
            <w:pPr>
              <w:jc w:val="center"/>
              <w:rPr>
                <w:rFonts w:ascii="宋体" w:hAnsi="宋体" w:cs="宋体"/>
                <w:sz w:val="22"/>
                <w:highlight w:val="none"/>
              </w:rPr>
            </w:pPr>
          </w:p>
        </w:tc>
        <w:tc>
          <w:tcPr>
            <w:tcW w:w="3165" w:type="dxa"/>
            <w:vAlign w:val="center"/>
          </w:tcPr>
          <w:p>
            <w:pPr>
              <w:pStyle w:val="63"/>
              <w:keepNext w:val="0"/>
              <w:adjustRightInd/>
              <w:spacing w:before="0" w:after="0" w:line="240" w:lineRule="auto"/>
              <w:rPr>
                <w:rFonts w:ascii="宋体" w:hAnsi="宋体" w:cs="宋体"/>
                <w:spacing w:val="0"/>
                <w:kern w:val="2"/>
                <w:sz w:val="22"/>
                <w:szCs w:val="22"/>
                <w:highlight w:val="none"/>
              </w:rPr>
            </w:pPr>
          </w:p>
        </w:tc>
        <w:tc>
          <w:tcPr>
            <w:tcW w:w="814" w:type="dxa"/>
            <w:vAlign w:val="center"/>
          </w:tcPr>
          <w:p>
            <w:pPr>
              <w:jc w:val="center"/>
              <w:rPr>
                <w:rFonts w:ascii="宋体" w:hAnsi="宋体" w:cs="宋体"/>
                <w:sz w:val="22"/>
                <w:highlight w:val="none"/>
              </w:rPr>
            </w:pPr>
          </w:p>
        </w:tc>
        <w:tc>
          <w:tcPr>
            <w:tcW w:w="814" w:type="dxa"/>
            <w:vAlign w:val="center"/>
          </w:tcPr>
          <w:p>
            <w:pPr>
              <w:ind w:firstLine="12"/>
              <w:jc w:val="center"/>
              <w:rPr>
                <w:rFonts w:ascii="宋体" w:hAnsi="宋体" w:cs="宋体"/>
                <w:sz w:val="22"/>
                <w:highlight w:val="none"/>
              </w:rPr>
            </w:pPr>
          </w:p>
        </w:tc>
        <w:tc>
          <w:tcPr>
            <w:tcW w:w="1830" w:type="dxa"/>
            <w:vAlign w:val="center"/>
          </w:tcPr>
          <w:p>
            <w:pPr>
              <w:ind w:firstLine="12"/>
              <w:jc w:val="center"/>
              <w:rPr>
                <w:rFonts w:ascii="宋体" w:hAnsi="宋体" w:cs="宋体"/>
                <w:sz w:val="22"/>
                <w:highlight w:val="none"/>
              </w:rPr>
            </w:pPr>
          </w:p>
        </w:tc>
      </w:tr>
    </w:tbl>
    <w:p>
      <w:pPr>
        <w:spacing w:line="360" w:lineRule="auto"/>
        <w:rPr>
          <w:rFonts w:ascii="宋体" w:hAnsi="宋体" w:cs="宋体"/>
          <w:sz w:val="24"/>
          <w:highlight w:val="none"/>
          <w:lang w:val="en-GB"/>
        </w:rPr>
      </w:pPr>
    </w:p>
    <w:p>
      <w:pPr>
        <w:tabs>
          <w:tab w:val="left" w:pos="540"/>
        </w:tabs>
        <w:spacing w:line="360" w:lineRule="auto"/>
        <w:rPr>
          <w:rFonts w:ascii="宋体" w:hAnsi="宋体" w:cs="宋体"/>
          <w:sz w:val="24"/>
          <w:highlight w:val="none"/>
          <w:lang w:val="en-GB"/>
        </w:rPr>
      </w:pPr>
    </w:p>
    <w:p>
      <w:pPr>
        <w:rPr>
          <w:rFonts w:ascii="宋体" w:hAnsi="宋体" w:cs="宋体"/>
          <w:highlight w:val="none"/>
          <w:lang w:val="en-GB"/>
        </w:rPr>
      </w:pPr>
    </w:p>
    <w:p>
      <w:pPr>
        <w:pStyle w:val="4"/>
        <w:spacing w:before="0" w:after="0" w:line="360" w:lineRule="auto"/>
        <w:jc w:val="center"/>
        <w:rPr>
          <w:rFonts w:ascii="宋体" w:hAnsi="宋体" w:eastAsia="宋体" w:cs="宋体"/>
          <w:sz w:val="28"/>
          <w:szCs w:val="28"/>
          <w:highlight w:val="none"/>
        </w:rPr>
      </w:pPr>
      <w:r>
        <w:rPr>
          <w:rFonts w:ascii="宋体" w:hAnsi="宋体" w:eastAsia="宋体" w:cs="宋体"/>
          <w:sz w:val="28"/>
          <w:szCs w:val="28"/>
          <w:highlight w:val="none"/>
        </w:rPr>
        <w:t>评分所需或其他投标人认为须提交的资料</w:t>
      </w:r>
    </w:p>
    <w:p>
      <w:pPr>
        <w:tabs>
          <w:tab w:val="left" w:pos="540"/>
        </w:tabs>
        <w:spacing w:line="360" w:lineRule="auto"/>
        <w:rPr>
          <w:rFonts w:ascii="宋体" w:hAnsi="宋体" w:cs="宋体"/>
          <w:sz w:val="24"/>
          <w:highlight w:val="none"/>
          <w:lang w:val="en-GB"/>
        </w:rPr>
      </w:pPr>
      <w:r>
        <w:rPr>
          <w:rFonts w:ascii="宋体" w:hAnsi="宋体" w:cs="宋体"/>
          <w:sz w:val="24"/>
          <w:highlight w:val="none"/>
          <w:lang w:val="en-GB"/>
        </w:rPr>
        <w:t>注：所提交的复印件</w:t>
      </w:r>
      <w:r>
        <w:rPr>
          <w:rFonts w:ascii="宋体" w:hAnsi="宋体" w:cs="宋体"/>
          <w:sz w:val="24"/>
          <w:highlight w:val="none"/>
        </w:rPr>
        <w:t>/打印件</w:t>
      </w:r>
      <w:r>
        <w:rPr>
          <w:rFonts w:ascii="宋体" w:hAnsi="宋体" w:cs="宋体"/>
          <w:sz w:val="24"/>
          <w:highlight w:val="none"/>
          <w:lang w:val="en-GB"/>
        </w:rPr>
        <w:t>必须加盖投标人公章。</w:t>
      </w:r>
    </w:p>
    <w:p>
      <w:pPr>
        <w:tabs>
          <w:tab w:val="left" w:pos="540"/>
        </w:tabs>
        <w:spacing w:line="360" w:lineRule="auto"/>
        <w:rPr>
          <w:rFonts w:ascii="宋体" w:hAnsi="宋体" w:cs="宋体"/>
          <w:b/>
          <w:sz w:val="28"/>
          <w:szCs w:val="28"/>
          <w:highlight w:val="none"/>
        </w:rPr>
      </w:pPr>
    </w:p>
    <w:p>
      <w:pPr>
        <w:pStyle w:val="4"/>
        <w:spacing w:before="0" w:after="0" w:line="360" w:lineRule="auto"/>
        <w:jc w:val="center"/>
        <w:rPr>
          <w:rFonts w:ascii="宋体" w:hAnsi="宋体" w:eastAsia="宋体" w:cs="宋体"/>
          <w:sz w:val="28"/>
          <w:szCs w:val="28"/>
          <w:highlight w:val="none"/>
        </w:rPr>
      </w:pPr>
      <w:r>
        <w:rPr>
          <w:rFonts w:ascii="宋体" w:hAnsi="宋体" w:eastAsia="宋体" w:cs="宋体"/>
          <w:sz w:val="28"/>
          <w:szCs w:val="28"/>
          <w:highlight w:val="none"/>
        </w:rPr>
        <w:t>服务方案</w:t>
      </w:r>
    </w:p>
    <w:p>
      <w:pPr>
        <w:tabs>
          <w:tab w:val="left" w:pos="540"/>
        </w:tabs>
        <w:spacing w:line="360" w:lineRule="auto"/>
        <w:rPr>
          <w:rFonts w:ascii="宋体" w:hAnsi="宋体" w:cs="宋体"/>
          <w:sz w:val="24"/>
          <w:highlight w:val="none"/>
          <w:lang w:val="en-GB"/>
        </w:rPr>
      </w:pPr>
      <w:r>
        <w:rPr>
          <w:rFonts w:ascii="宋体" w:hAnsi="宋体" w:cs="宋体"/>
          <w:sz w:val="24"/>
          <w:highlight w:val="none"/>
          <w:lang w:val="en-GB"/>
        </w:rPr>
        <w:t>服务方案根据服务部分评分的顺序及相应内容，结合投标人实际能力进行编制。</w:t>
      </w:r>
    </w:p>
    <w:p>
      <w:pPr>
        <w:tabs>
          <w:tab w:val="left" w:pos="540"/>
        </w:tabs>
        <w:spacing w:line="360" w:lineRule="auto"/>
        <w:rPr>
          <w:rFonts w:ascii="宋体" w:hAnsi="宋体" w:cs="宋体"/>
          <w:sz w:val="24"/>
          <w:highlight w:val="none"/>
          <w:lang w:val="en-GB"/>
        </w:rPr>
      </w:pPr>
      <w:r>
        <w:rPr>
          <w:rFonts w:ascii="宋体" w:hAnsi="宋体" w:cs="宋体"/>
          <w:sz w:val="24"/>
          <w:highlight w:val="none"/>
          <w:lang w:val="en-GB"/>
        </w:rPr>
        <w:t>服务方案必须科学合理、真实可行，能充分体现出自身专业优势。</w:t>
      </w:r>
    </w:p>
    <w:p>
      <w:pPr>
        <w:tabs>
          <w:tab w:val="left" w:pos="540"/>
        </w:tabs>
        <w:spacing w:line="360" w:lineRule="auto"/>
        <w:rPr>
          <w:rFonts w:ascii="宋体" w:hAnsi="宋体" w:cs="宋体"/>
          <w:sz w:val="24"/>
          <w:highlight w:val="none"/>
          <w:lang w:val="en-GB"/>
        </w:rPr>
      </w:pPr>
      <w:r>
        <w:rPr>
          <w:rFonts w:ascii="宋体" w:hAnsi="宋体" w:cs="宋体"/>
          <w:sz w:val="24"/>
          <w:highlight w:val="none"/>
          <w:lang w:val="en-GB"/>
        </w:rPr>
        <w:t>服务方案格式自拟。</w:t>
      </w:r>
      <w:bookmarkStart w:id="81" w:name="_Toc28060"/>
      <w:bookmarkStart w:id="82" w:name="_Toc6208"/>
      <w:bookmarkStart w:id="83" w:name="_Toc2984"/>
      <w:bookmarkStart w:id="84" w:name="_Toc7022"/>
    </w:p>
    <w:p>
      <w:pPr>
        <w:spacing w:line="360" w:lineRule="auto"/>
        <w:jc w:val="left"/>
        <w:outlineLvl w:val="0"/>
        <w:rPr>
          <w:rFonts w:ascii="宋体" w:hAnsi="宋体" w:cs="宋体"/>
          <w:sz w:val="44"/>
          <w:highlight w:val="none"/>
        </w:rPr>
      </w:pPr>
      <w:r>
        <w:rPr>
          <w:rFonts w:ascii="宋体" w:hAnsi="宋体" w:cs="宋体"/>
          <w:sz w:val="24"/>
          <w:highlight w:val="none"/>
          <w:lang w:val="en-GB"/>
        </w:rPr>
        <w:br w:type="page"/>
      </w:r>
      <w:bookmarkStart w:id="85" w:name="_Toc4805"/>
      <w:r>
        <w:rPr>
          <w:rFonts w:ascii="宋体" w:hAnsi="宋体" w:cs="宋体"/>
          <w:b/>
          <w:bCs/>
          <w:kern w:val="0"/>
          <w:sz w:val="44"/>
          <w:highlight w:val="none"/>
        </w:rPr>
        <w:t>附件一 评审细则</w:t>
      </w:r>
      <w:bookmarkEnd w:id="81"/>
      <w:bookmarkEnd w:id="82"/>
      <w:bookmarkEnd w:id="83"/>
      <w:bookmarkEnd w:id="84"/>
      <w:bookmarkEnd w:id="85"/>
    </w:p>
    <w:p>
      <w:pPr>
        <w:spacing w:line="360" w:lineRule="auto"/>
        <w:jc w:val="center"/>
        <w:rPr>
          <w:rFonts w:ascii="宋体" w:hAnsi="宋体" w:cs="宋体"/>
          <w:b/>
          <w:sz w:val="52"/>
          <w:highlight w:val="none"/>
        </w:rPr>
      </w:pPr>
    </w:p>
    <w:p>
      <w:pPr>
        <w:spacing w:line="360" w:lineRule="auto"/>
        <w:jc w:val="center"/>
        <w:rPr>
          <w:rFonts w:ascii="宋体" w:hAnsi="宋体" w:cs="宋体"/>
          <w:b/>
          <w:sz w:val="44"/>
          <w:highlight w:val="none"/>
        </w:rPr>
      </w:pPr>
    </w:p>
    <w:p>
      <w:pPr>
        <w:spacing w:before="240" w:line="360" w:lineRule="auto"/>
        <w:ind w:firstLine="2523" w:firstLineChars="349"/>
        <w:rPr>
          <w:rFonts w:ascii="宋体" w:hAnsi="宋体" w:cs="宋体"/>
          <w:b/>
          <w:sz w:val="72"/>
          <w:szCs w:val="72"/>
          <w:highlight w:val="none"/>
        </w:rPr>
      </w:pPr>
      <w:r>
        <w:rPr>
          <w:rFonts w:ascii="宋体" w:hAnsi="宋体" w:cs="宋体"/>
          <w:b/>
          <w:sz w:val="72"/>
          <w:szCs w:val="72"/>
          <w:highlight w:val="none"/>
        </w:rPr>
        <w:t>评审细则</w:t>
      </w:r>
    </w:p>
    <w:p>
      <w:pPr>
        <w:spacing w:before="240" w:line="360" w:lineRule="auto"/>
        <w:rPr>
          <w:rFonts w:ascii="宋体" w:hAnsi="宋体" w:cs="宋体"/>
          <w:b/>
          <w:sz w:val="36"/>
          <w:highlight w:val="none"/>
        </w:rPr>
      </w:pPr>
    </w:p>
    <w:p>
      <w:pPr>
        <w:spacing w:before="240" w:line="360" w:lineRule="auto"/>
        <w:ind w:firstLine="842" w:firstLineChars="233"/>
        <w:rPr>
          <w:rFonts w:ascii="宋体" w:hAnsi="宋体" w:cs="宋体"/>
          <w:b/>
          <w:sz w:val="36"/>
          <w:highlight w:val="none"/>
          <w:u w:val="single"/>
        </w:rPr>
      </w:pPr>
      <w:r>
        <w:rPr>
          <w:rFonts w:ascii="宋体" w:hAnsi="宋体" w:cs="宋体"/>
          <w:b/>
          <w:sz w:val="36"/>
          <w:highlight w:val="none"/>
        </w:rPr>
        <w:t>采购项目编号：</w:t>
      </w:r>
      <w:r>
        <w:rPr>
          <w:rFonts w:ascii="宋体" w:hAnsi="宋体" w:cs="宋体"/>
          <w:b/>
          <w:sz w:val="36"/>
          <w:highlight w:val="none"/>
          <w:u w:val="single"/>
        </w:rPr>
        <w:t xml:space="preserve">  </w:t>
      </w:r>
    </w:p>
    <w:p>
      <w:pPr>
        <w:spacing w:line="360" w:lineRule="auto"/>
        <w:ind w:firstLine="842" w:firstLineChars="233"/>
        <w:rPr>
          <w:rFonts w:ascii="宋体" w:hAnsi="宋体" w:cs="宋体"/>
          <w:b/>
          <w:sz w:val="36"/>
          <w:highlight w:val="none"/>
        </w:rPr>
      </w:pPr>
    </w:p>
    <w:p>
      <w:pPr>
        <w:spacing w:line="360" w:lineRule="auto"/>
        <w:ind w:right="376" w:rightChars="179" w:firstLine="842" w:firstLineChars="233"/>
        <w:rPr>
          <w:rFonts w:ascii="宋体" w:hAnsi="宋体" w:cs="宋体"/>
          <w:b/>
          <w:sz w:val="36"/>
          <w:highlight w:val="none"/>
          <w:u w:val="single"/>
        </w:rPr>
      </w:pPr>
      <w:r>
        <w:rPr>
          <w:rFonts w:ascii="宋体" w:hAnsi="宋体" w:cs="宋体"/>
          <w:b/>
          <w:sz w:val="36"/>
          <w:highlight w:val="none"/>
        </w:rPr>
        <w:t>项目名称：</w:t>
      </w:r>
      <w:r>
        <w:rPr>
          <w:rFonts w:hint="eastAsia" w:ascii="宋体" w:hAnsi="宋体" w:cs="宋体"/>
          <w:b/>
          <w:sz w:val="36"/>
          <w:highlight w:val="none"/>
          <w:u w:val="single"/>
          <w:lang w:eastAsia="zh-CN"/>
        </w:rPr>
        <w:t>景裕豪园和宇佳水岸新都花园两处公交站场充电站</w:t>
      </w:r>
      <w:r>
        <w:rPr>
          <w:rFonts w:ascii="宋体" w:hAnsi="宋体" w:cs="宋体"/>
          <w:b/>
          <w:sz w:val="36"/>
          <w:highlight w:val="none"/>
          <w:u w:val="single"/>
        </w:rPr>
        <w:t>建设运营服务资格项目</w:t>
      </w:r>
    </w:p>
    <w:p>
      <w:pPr>
        <w:spacing w:line="360" w:lineRule="auto"/>
        <w:jc w:val="center"/>
        <w:rPr>
          <w:rFonts w:ascii="宋体" w:hAnsi="宋体" w:cs="宋体"/>
          <w:b/>
          <w:sz w:val="32"/>
          <w:highlight w:val="none"/>
        </w:rPr>
      </w:pPr>
    </w:p>
    <w:p>
      <w:pPr>
        <w:spacing w:line="360" w:lineRule="auto"/>
        <w:jc w:val="center"/>
        <w:rPr>
          <w:rFonts w:ascii="宋体" w:hAnsi="宋体" w:cs="宋体"/>
          <w:b/>
          <w:sz w:val="32"/>
          <w:highlight w:val="none"/>
        </w:rPr>
      </w:pPr>
    </w:p>
    <w:p>
      <w:pPr>
        <w:pStyle w:val="5"/>
        <w:spacing w:line="360" w:lineRule="auto"/>
        <w:rPr>
          <w:rFonts w:ascii="宋体" w:hAnsi="宋体" w:cs="宋体"/>
          <w:sz w:val="24"/>
          <w:szCs w:val="24"/>
          <w:highlight w:val="none"/>
        </w:rPr>
      </w:pPr>
      <w:r>
        <w:rPr>
          <w:rFonts w:ascii="宋体" w:hAnsi="宋体" w:cs="宋体"/>
          <w:highlight w:val="none"/>
        </w:rPr>
        <w:br w:type="page"/>
      </w:r>
      <w:r>
        <w:rPr>
          <w:rStyle w:val="105"/>
          <w:rFonts w:ascii="宋体" w:eastAsia="宋体" w:cs="宋体"/>
          <w:b/>
          <w:highlight w:val="none"/>
        </w:rPr>
        <w:t>一.说明</w:t>
      </w:r>
    </w:p>
    <w:p>
      <w:pPr>
        <w:pStyle w:val="76"/>
        <w:numPr>
          <w:ilvl w:val="0"/>
          <w:numId w:val="8"/>
        </w:numPr>
        <w:rPr>
          <w:rFonts w:ascii="宋体" w:hAnsi="宋体" w:eastAsia="宋体" w:cs="宋体"/>
          <w:highlight w:val="none"/>
        </w:rPr>
      </w:pPr>
      <w:r>
        <w:rPr>
          <w:rFonts w:ascii="宋体" w:hAnsi="宋体" w:eastAsia="宋体" w:cs="宋体"/>
          <w:highlight w:val="none"/>
        </w:rPr>
        <w:t>概述</w:t>
      </w:r>
    </w:p>
    <w:p>
      <w:pPr>
        <w:pStyle w:val="15"/>
        <w:spacing w:line="360" w:lineRule="auto"/>
        <w:ind w:left="0" w:leftChars="0" w:firstLine="523" w:firstLineChars="218"/>
        <w:rPr>
          <w:rFonts w:ascii="宋体" w:hAnsi="宋体" w:cs="宋体"/>
          <w:sz w:val="24"/>
          <w:highlight w:val="none"/>
        </w:rPr>
      </w:pPr>
      <w:r>
        <w:rPr>
          <w:rFonts w:ascii="宋体" w:hAnsi="宋体" w:cs="宋体"/>
          <w:sz w:val="24"/>
          <w:highlight w:val="none"/>
        </w:rPr>
        <w:t>在保证</w:t>
      </w:r>
      <w:r>
        <w:rPr>
          <w:rFonts w:hint="eastAsia" w:ascii="宋体" w:hAnsi="宋体" w:cs="宋体"/>
          <w:sz w:val="24"/>
          <w:highlight w:val="none"/>
          <w:u w:val="single"/>
          <w:lang w:eastAsia="zh-CN"/>
        </w:rPr>
        <w:t>景裕豪园和宇佳水岸新都花园两处公交站场充电站</w:t>
      </w:r>
      <w:r>
        <w:rPr>
          <w:rFonts w:ascii="宋体" w:hAnsi="宋体" w:cs="宋体"/>
          <w:sz w:val="24"/>
          <w:highlight w:val="none"/>
          <w:u w:val="single"/>
        </w:rPr>
        <w:t>建设运营服务资格项目</w:t>
      </w:r>
      <w:r>
        <w:rPr>
          <w:rFonts w:ascii="宋体" w:hAnsi="宋体" w:cs="宋体"/>
          <w:sz w:val="24"/>
          <w:highlight w:val="none"/>
        </w:rPr>
        <w:t>（以下简称项目）招标公开、公平、公正的基础上，结合项目的服务和商务需求，制定本评审细则，内容包括本次评标的评审过程和方法。</w:t>
      </w:r>
    </w:p>
    <w:p>
      <w:pPr>
        <w:pStyle w:val="76"/>
        <w:rPr>
          <w:rFonts w:ascii="宋体" w:hAnsi="宋体" w:eastAsia="宋体" w:cs="宋体"/>
          <w:highlight w:val="none"/>
        </w:rPr>
      </w:pPr>
      <w:r>
        <w:rPr>
          <w:rFonts w:ascii="宋体" w:hAnsi="宋体" w:eastAsia="宋体" w:cs="宋体"/>
          <w:highlight w:val="none"/>
        </w:rPr>
        <w:t>定义</w:t>
      </w:r>
    </w:p>
    <w:p>
      <w:pPr>
        <w:spacing w:line="360" w:lineRule="auto"/>
        <w:ind w:left="1388" w:hanging="1388" w:hangingChars="576"/>
        <w:rPr>
          <w:rFonts w:ascii="宋体" w:hAnsi="宋体" w:cs="宋体"/>
          <w:sz w:val="24"/>
          <w:highlight w:val="none"/>
        </w:rPr>
      </w:pPr>
      <w:r>
        <w:rPr>
          <w:rFonts w:ascii="宋体" w:hAnsi="宋体" w:cs="宋体"/>
          <w:b/>
          <w:sz w:val="24"/>
          <w:highlight w:val="none"/>
        </w:rPr>
        <w:t>采 购 人</w:t>
      </w:r>
      <w:r>
        <w:rPr>
          <w:rFonts w:ascii="宋体" w:hAnsi="宋体" w:cs="宋体"/>
          <w:sz w:val="24"/>
          <w:highlight w:val="none"/>
        </w:rPr>
        <w:t>：</w:t>
      </w:r>
      <w:r>
        <w:rPr>
          <w:rFonts w:hint="eastAsia" w:ascii="宋体" w:hAnsi="宋体" w:cs="宋体"/>
          <w:sz w:val="24"/>
          <w:highlight w:val="none"/>
          <w:u w:val="single"/>
          <w:lang w:eastAsia="zh-CN"/>
        </w:rPr>
        <w:t>佛山市南海区公交站场管理有限公司</w:t>
      </w:r>
      <w:r>
        <w:rPr>
          <w:rFonts w:ascii="宋体" w:hAnsi="宋体" w:cs="宋体"/>
          <w:sz w:val="24"/>
          <w:highlight w:val="none"/>
        </w:rPr>
        <w:t>。</w:t>
      </w:r>
    </w:p>
    <w:p>
      <w:pPr>
        <w:spacing w:line="360" w:lineRule="auto"/>
        <w:ind w:left="1388" w:hanging="1388" w:hangingChars="576"/>
        <w:rPr>
          <w:rFonts w:ascii="宋体" w:hAnsi="宋体" w:cs="宋体"/>
          <w:sz w:val="24"/>
          <w:highlight w:val="none"/>
        </w:rPr>
      </w:pPr>
      <w:r>
        <w:rPr>
          <w:rFonts w:ascii="宋体" w:hAnsi="宋体" w:cs="宋体"/>
          <w:b/>
          <w:sz w:val="24"/>
          <w:highlight w:val="none"/>
        </w:rPr>
        <w:t>采购代理机构</w:t>
      </w:r>
      <w:r>
        <w:rPr>
          <w:rFonts w:ascii="宋体" w:hAnsi="宋体" w:cs="宋体"/>
          <w:sz w:val="24"/>
          <w:highlight w:val="none"/>
        </w:rPr>
        <w:t>：</w:t>
      </w:r>
      <w:r>
        <w:rPr>
          <w:rFonts w:hint="eastAsia" w:ascii="宋体" w:hAnsi="宋体" w:cs="宋体"/>
          <w:sz w:val="24"/>
          <w:highlight w:val="none"/>
          <w:u w:val="single"/>
          <w:lang w:eastAsia="zh-CN"/>
        </w:rPr>
        <w:t>广东良德工程咨询有限公司</w:t>
      </w:r>
      <w:r>
        <w:rPr>
          <w:rFonts w:ascii="宋体" w:hAnsi="宋体" w:cs="宋体"/>
          <w:sz w:val="24"/>
          <w:highlight w:val="none"/>
        </w:rPr>
        <w:t>。</w:t>
      </w:r>
    </w:p>
    <w:p>
      <w:pPr>
        <w:pStyle w:val="76"/>
        <w:rPr>
          <w:rFonts w:ascii="宋体" w:hAnsi="宋体" w:eastAsia="宋体" w:cs="宋体"/>
          <w:highlight w:val="none"/>
        </w:rPr>
      </w:pPr>
      <w:bookmarkStart w:id="86" w:name="_Toc61327425"/>
      <w:bookmarkStart w:id="87" w:name="_Toc37496244"/>
      <w:bookmarkStart w:id="88" w:name="_Toc43264534"/>
      <w:bookmarkStart w:id="89" w:name="_Toc49135222"/>
      <w:bookmarkStart w:id="90" w:name="_Toc26800364"/>
      <w:r>
        <w:rPr>
          <w:rFonts w:ascii="宋体" w:hAnsi="宋体" w:eastAsia="宋体" w:cs="宋体"/>
          <w:highlight w:val="none"/>
        </w:rPr>
        <w:t>评标委员会组成</w:t>
      </w:r>
      <w:bookmarkEnd w:id="86"/>
      <w:bookmarkEnd w:id="87"/>
      <w:bookmarkEnd w:id="88"/>
      <w:bookmarkEnd w:id="89"/>
      <w:bookmarkEnd w:id="90"/>
    </w:p>
    <w:p>
      <w:pPr>
        <w:pStyle w:val="15"/>
        <w:spacing w:line="360" w:lineRule="auto"/>
        <w:ind w:left="0" w:leftChars="0" w:firstLine="523" w:firstLineChars="218"/>
        <w:rPr>
          <w:rFonts w:ascii="宋体" w:hAnsi="宋体" w:cs="宋体"/>
          <w:sz w:val="24"/>
          <w:highlight w:val="none"/>
        </w:rPr>
      </w:pPr>
      <w:bookmarkStart w:id="91" w:name="_Toc26800366"/>
      <w:bookmarkStart w:id="92" w:name="_Toc37496246"/>
      <w:bookmarkStart w:id="93" w:name="_Toc61327427"/>
      <w:bookmarkStart w:id="94" w:name="_Toc43264536"/>
      <w:bookmarkStart w:id="95" w:name="_Toc49135224"/>
      <w:r>
        <w:rPr>
          <w:rFonts w:ascii="宋体" w:hAnsi="宋体" w:cs="宋体"/>
          <w:sz w:val="24"/>
          <w:highlight w:val="none"/>
        </w:rPr>
        <w:t>评标委员会成员由采购人代表和（技术、经济等）方面的评审专家组成，采购人代表人数、专家人数及专业构成按相关采购规定确定。评标委员会专家成员依法从采购专家库中随机抽取。</w:t>
      </w:r>
    </w:p>
    <w:p>
      <w:pPr>
        <w:pStyle w:val="54"/>
        <w:rPr>
          <w:rFonts w:ascii="宋体" w:eastAsia="宋体" w:cs="宋体"/>
          <w:highlight w:val="none"/>
        </w:rPr>
      </w:pPr>
      <w:r>
        <w:rPr>
          <w:rFonts w:ascii="宋体" w:eastAsia="宋体" w:cs="宋体"/>
          <w:highlight w:val="none"/>
        </w:rPr>
        <w:t>二.评标须知</w:t>
      </w:r>
      <w:bookmarkEnd w:id="91"/>
      <w:bookmarkEnd w:id="92"/>
      <w:bookmarkEnd w:id="93"/>
      <w:bookmarkEnd w:id="94"/>
      <w:bookmarkEnd w:id="95"/>
    </w:p>
    <w:p>
      <w:pPr>
        <w:pStyle w:val="76"/>
        <w:numPr>
          <w:ilvl w:val="0"/>
          <w:numId w:val="9"/>
        </w:numPr>
        <w:rPr>
          <w:rFonts w:ascii="宋体" w:hAnsi="宋体" w:eastAsia="宋体" w:cs="宋体"/>
          <w:highlight w:val="none"/>
        </w:rPr>
      </w:pPr>
      <w:bookmarkStart w:id="96" w:name="_Toc37496248"/>
      <w:bookmarkStart w:id="97" w:name="_Toc26800368"/>
      <w:bookmarkStart w:id="98" w:name="_Toc43264538"/>
      <w:bookmarkStart w:id="99" w:name="_Toc49135226"/>
      <w:bookmarkStart w:id="100" w:name="_Toc61327429"/>
      <w:r>
        <w:rPr>
          <w:rFonts w:ascii="宋体" w:hAnsi="宋体" w:eastAsia="宋体" w:cs="宋体"/>
          <w:highlight w:val="none"/>
        </w:rPr>
        <w:t>关于评标</w:t>
      </w:r>
      <w:bookmarkEnd w:id="96"/>
      <w:bookmarkEnd w:id="97"/>
      <w:bookmarkEnd w:id="98"/>
      <w:r>
        <w:rPr>
          <w:rFonts w:ascii="宋体" w:hAnsi="宋体" w:eastAsia="宋体" w:cs="宋体"/>
          <w:highlight w:val="none"/>
        </w:rPr>
        <w:t>纪律</w:t>
      </w:r>
      <w:bookmarkEnd w:id="99"/>
      <w:bookmarkEnd w:id="100"/>
    </w:p>
    <w:p>
      <w:pPr>
        <w:spacing w:before="50" w:after="50" w:line="360" w:lineRule="auto"/>
        <w:rPr>
          <w:rFonts w:ascii="宋体" w:hAnsi="宋体" w:cs="宋体"/>
          <w:sz w:val="24"/>
          <w:highlight w:val="none"/>
        </w:rPr>
      </w:pPr>
      <w:r>
        <w:rPr>
          <w:rFonts w:ascii="宋体" w:hAnsi="宋体" w:cs="宋体"/>
          <w:sz w:val="24"/>
          <w:highlight w:val="none"/>
        </w:rPr>
        <w:t>（1）评标委员会成员不得与任何投标人或者与招标结果有利害关系的人进行私下接触，不得收受投标人、中介人、其他利害关系人的财物或者其他好处；</w:t>
      </w:r>
    </w:p>
    <w:p>
      <w:pPr>
        <w:spacing w:before="50" w:after="50" w:line="360" w:lineRule="auto"/>
        <w:rPr>
          <w:rFonts w:ascii="宋体" w:hAnsi="宋体" w:cs="宋体"/>
          <w:sz w:val="24"/>
          <w:highlight w:val="none"/>
        </w:rPr>
      </w:pPr>
      <w:r>
        <w:rPr>
          <w:rFonts w:ascii="宋体" w:hAnsi="宋体" w:cs="宋体"/>
          <w:sz w:val="24"/>
          <w:highlight w:val="none"/>
        </w:rPr>
        <w:t>（2）评委应本着客观、公正的原则独立给出评价意见；</w:t>
      </w:r>
    </w:p>
    <w:p>
      <w:pPr>
        <w:spacing w:before="50" w:after="50" w:line="360" w:lineRule="auto"/>
        <w:rPr>
          <w:rFonts w:ascii="宋体" w:hAnsi="宋体" w:cs="宋体"/>
          <w:sz w:val="24"/>
          <w:highlight w:val="none"/>
        </w:rPr>
      </w:pPr>
      <w:r>
        <w:rPr>
          <w:rFonts w:ascii="宋体" w:hAnsi="宋体" w:cs="宋体"/>
          <w:sz w:val="24"/>
          <w:highlight w:val="none"/>
        </w:rPr>
        <w:t>（3）评委之间不得相互串通进行评分；</w:t>
      </w:r>
    </w:p>
    <w:p>
      <w:pPr>
        <w:spacing w:line="360" w:lineRule="auto"/>
        <w:rPr>
          <w:rFonts w:ascii="宋体" w:hAnsi="宋体" w:cs="宋体"/>
          <w:sz w:val="24"/>
          <w:highlight w:val="none"/>
        </w:rPr>
      </w:pPr>
      <w:r>
        <w:rPr>
          <w:rFonts w:ascii="宋体" w:hAnsi="宋体" w:cs="宋体"/>
          <w:sz w:val="24"/>
          <w:highlight w:val="none"/>
        </w:rPr>
        <w:t>（4）评委不得试图影响其他评委的评价意见。</w:t>
      </w:r>
    </w:p>
    <w:p>
      <w:pPr>
        <w:pStyle w:val="76"/>
        <w:numPr>
          <w:ilvl w:val="0"/>
          <w:numId w:val="9"/>
        </w:numPr>
        <w:rPr>
          <w:rFonts w:ascii="宋体" w:hAnsi="宋体" w:eastAsia="宋体" w:cs="宋体"/>
          <w:highlight w:val="none"/>
        </w:rPr>
      </w:pPr>
      <w:bookmarkStart w:id="101" w:name="_Toc49135227"/>
      <w:bookmarkStart w:id="102" w:name="_Toc61327430"/>
      <w:bookmarkStart w:id="103" w:name="_Toc26800369"/>
      <w:bookmarkStart w:id="104" w:name="_Toc43264539"/>
      <w:bookmarkStart w:id="105" w:name="_Toc37496249"/>
      <w:r>
        <w:rPr>
          <w:rFonts w:ascii="宋体" w:hAnsi="宋体" w:eastAsia="宋体" w:cs="宋体"/>
          <w:highlight w:val="none"/>
        </w:rPr>
        <w:t>关于评标责任</w:t>
      </w:r>
      <w:bookmarkEnd w:id="101"/>
      <w:bookmarkEnd w:id="102"/>
    </w:p>
    <w:p>
      <w:pPr>
        <w:spacing w:line="360" w:lineRule="auto"/>
        <w:rPr>
          <w:rFonts w:ascii="宋体" w:hAnsi="宋体" w:cs="宋体"/>
          <w:sz w:val="24"/>
          <w:highlight w:val="none"/>
        </w:rPr>
      </w:pPr>
      <w:r>
        <w:rPr>
          <w:rFonts w:ascii="宋体" w:hAnsi="宋体" w:cs="宋体"/>
          <w:sz w:val="24"/>
          <w:highlight w:val="none"/>
        </w:rPr>
        <w:t>（1）评委应在其书面评审意见上签字确认；</w:t>
      </w:r>
    </w:p>
    <w:p>
      <w:pPr>
        <w:spacing w:line="360" w:lineRule="auto"/>
        <w:rPr>
          <w:rFonts w:ascii="宋体" w:hAnsi="宋体" w:cs="宋体"/>
          <w:sz w:val="24"/>
          <w:highlight w:val="none"/>
        </w:rPr>
      </w:pPr>
      <w:r>
        <w:rPr>
          <w:rFonts w:ascii="宋体" w:hAnsi="宋体" w:cs="宋体"/>
          <w:sz w:val="24"/>
          <w:highlight w:val="none"/>
        </w:rPr>
        <w:t>（2）评委对其所提出的评审意见承担个人责任。</w:t>
      </w:r>
    </w:p>
    <w:p>
      <w:pPr>
        <w:spacing w:line="360" w:lineRule="auto"/>
        <w:rPr>
          <w:rFonts w:ascii="宋体" w:hAnsi="宋体" w:cs="宋体"/>
          <w:sz w:val="24"/>
          <w:highlight w:val="none"/>
        </w:rPr>
      </w:pPr>
      <w:r>
        <w:rPr>
          <w:rFonts w:ascii="宋体" w:hAnsi="宋体" w:cs="宋体"/>
          <w:sz w:val="24"/>
          <w:highlight w:val="none"/>
        </w:rPr>
        <w:t>（3）评标委员会成员不得参加开标活动。</w:t>
      </w:r>
    </w:p>
    <w:bookmarkEnd w:id="103"/>
    <w:bookmarkEnd w:id="104"/>
    <w:bookmarkEnd w:id="105"/>
    <w:p>
      <w:pPr>
        <w:pStyle w:val="76"/>
        <w:numPr>
          <w:ilvl w:val="0"/>
          <w:numId w:val="9"/>
        </w:numPr>
        <w:rPr>
          <w:rFonts w:ascii="宋体" w:hAnsi="宋体" w:eastAsia="宋体" w:cs="宋体"/>
          <w:highlight w:val="none"/>
        </w:rPr>
      </w:pPr>
      <w:bookmarkStart w:id="106" w:name="_Toc61327431"/>
      <w:bookmarkStart w:id="107" w:name="_Toc49135228"/>
      <w:r>
        <w:rPr>
          <w:rFonts w:ascii="宋体" w:hAnsi="宋体" w:eastAsia="宋体" w:cs="宋体"/>
          <w:highlight w:val="none"/>
        </w:rPr>
        <w:t>关于回避</w:t>
      </w:r>
      <w:bookmarkEnd w:id="106"/>
      <w:bookmarkEnd w:id="107"/>
    </w:p>
    <w:p>
      <w:pPr>
        <w:spacing w:before="50" w:after="50" w:line="360" w:lineRule="auto"/>
        <w:ind w:firstLine="480" w:firstLineChars="200"/>
        <w:rPr>
          <w:rFonts w:ascii="宋体" w:hAnsi="宋体" w:cs="宋体"/>
          <w:sz w:val="24"/>
          <w:highlight w:val="none"/>
        </w:rPr>
      </w:pPr>
      <w:r>
        <w:rPr>
          <w:rFonts w:ascii="宋体" w:hAnsi="宋体" w:cs="宋体"/>
          <w:sz w:val="24"/>
          <w:highlight w:val="none"/>
        </w:rPr>
        <w:t>有下列情形之一的，不得担任评标委员会成员，如事先不知情的，应在宣读投标人名单及评标纪律后主动提出回避：</w:t>
      </w:r>
    </w:p>
    <w:p>
      <w:pPr>
        <w:spacing w:before="50" w:after="50" w:line="360" w:lineRule="auto"/>
        <w:rPr>
          <w:rFonts w:ascii="宋体" w:hAnsi="宋体" w:cs="宋体"/>
          <w:sz w:val="24"/>
          <w:highlight w:val="none"/>
        </w:rPr>
      </w:pPr>
      <w:r>
        <w:rPr>
          <w:rFonts w:ascii="宋体" w:hAnsi="宋体" w:cs="宋体"/>
          <w:sz w:val="24"/>
          <w:highlight w:val="none"/>
        </w:rPr>
        <w:t>（1）是投标人或者投标人主要负责人的近亲属；</w:t>
      </w:r>
    </w:p>
    <w:p>
      <w:pPr>
        <w:spacing w:before="50" w:after="50" w:line="360" w:lineRule="auto"/>
        <w:rPr>
          <w:rFonts w:ascii="宋体" w:hAnsi="宋体" w:cs="宋体"/>
          <w:sz w:val="24"/>
          <w:highlight w:val="none"/>
        </w:rPr>
      </w:pPr>
      <w:r>
        <w:rPr>
          <w:rFonts w:ascii="宋体" w:hAnsi="宋体" w:cs="宋体"/>
          <w:sz w:val="24"/>
          <w:highlight w:val="none"/>
        </w:rPr>
        <w:t>（2）是该投标人的项目主管部门或是该投标人的行政监督部门的人员；</w:t>
      </w:r>
    </w:p>
    <w:p>
      <w:pPr>
        <w:spacing w:before="50" w:after="50" w:line="360" w:lineRule="auto"/>
        <w:rPr>
          <w:rFonts w:ascii="宋体" w:hAnsi="宋体" w:cs="宋体"/>
          <w:sz w:val="24"/>
          <w:highlight w:val="none"/>
        </w:rPr>
      </w:pPr>
      <w:r>
        <w:rPr>
          <w:rFonts w:ascii="宋体" w:hAnsi="宋体" w:cs="宋体"/>
          <w:sz w:val="24"/>
          <w:highlight w:val="none"/>
        </w:rPr>
        <w:t>（3）与投标人有经济利益关系，可能影响对投标公正评审的；</w:t>
      </w:r>
    </w:p>
    <w:p>
      <w:pPr>
        <w:spacing w:line="360" w:lineRule="auto"/>
        <w:ind w:left="600" w:hanging="600" w:hangingChars="250"/>
        <w:rPr>
          <w:rFonts w:ascii="宋体" w:hAnsi="宋体" w:cs="宋体"/>
          <w:sz w:val="24"/>
          <w:highlight w:val="none"/>
        </w:rPr>
      </w:pPr>
      <w:r>
        <w:rPr>
          <w:rFonts w:ascii="宋体" w:hAnsi="宋体" w:cs="宋体"/>
          <w:sz w:val="24"/>
          <w:highlight w:val="none"/>
        </w:rPr>
        <w:t>（4）曾因在招标、评标以及其他与招标投标有关活动中从事违法行为而受过行政处罚或刑事处罚的。</w:t>
      </w:r>
    </w:p>
    <w:p>
      <w:pPr>
        <w:pStyle w:val="76"/>
        <w:numPr>
          <w:ilvl w:val="0"/>
          <w:numId w:val="9"/>
        </w:numPr>
        <w:rPr>
          <w:rFonts w:ascii="宋体" w:hAnsi="宋体" w:eastAsia="宋体" w:cs="宋体"/>
          <w:highlight w:val="none"/>
        </w:rPr>
      </w:pPr>
      <w:bookmarkStart w:id="108" w:name="_Toc61327432"/>
      <w:bookmarkStart w:id="109" w:name="_Toc49135229"/>
      <w:bookmarkStart w:id="110" w:name="_Toc43264540"/>
      <w:bookmarkStart w:id="111" w:name="_Toc37496250"/>
      <w:bookmarkStart w:id="112" w:name="_Toc26800370"/>
      <w:r>
        <w:rPr>
          <w:rFonts w:ascii="宋体" w:hAnsi="宋体" w:eastAsia="宋体" w:cs="宋体"/>
          <w:highlight w:val="none"/>
        </w:rPr>
        <w:t>关于保密</w:t>
      </w:r>
      <w:bookmarkEnd w:id="108"/>
      <w:bookmarkEnd w:id="109"/>
    </w:p>
    <w:p>
      <w:pPr>
        <w:spacing w:before="50" w:after="50" w:line="360" w:lineRule="auto"/>
        <w:ind w:firstLine="480" w:firstLineChars="200"/>
        <w:rPr>
          <w:rFonts w:ascii="宋体" w:hAnsi="宋体" w:cs="宋体"/>
          <w:sz w:val="24"/>
          <w:highlight w:val="none"/>
        </w:rPr>
      </w:pPr>
      <w:r>
        <w:rPr>
          <w:rFonts w:ascii="宋体" w:hAnsi="宋体" w:cs="宋体"/>
          <w:sz w:val="24"/>
          <w:highlight w:val="none"/>
        </w:rPr>
        <w:t>评标委员会成员和与评标活动有关的工作人员不得透露对投标文件的评审和比较、中标候选人的推荐情况以及评标有关的其他情况。</w:t>
      </w:r>
    </w:p>
    <w:p>
      <w:pPr>
        <w:spacing w:before="50" w:after="50" w:line="360" w:lineRule="auto"/>
        <w:ind w:firstLine="480" w:firstLineChars="200"/>
        <w:rPr>
          <w:rFonts w:ascii="宋体" w:hAnsi="宋体" w:cs="宋体"/>
          <w:sz w:val="24"/>
          <w:highlight w:val="none"/>
        </w:rPr>
      </w:pPr>
      <w:r>
        <w:rPr>
          <w:rFonts w:ascii="宋体" w:hAnsi="宋体" w:cs="宋体"/>
          <w:sz w:val="24"/>
          <w:highlight w:val="none"/>
        </w:rPr>
        <w:t>前款所称与评标活动有关的工作人员，是指评标委员会成员以外的因参与评标监督工作或者事务性工作而知悉有关评标情况的所有人员。</w:t>
      </w:r>
    </w:p>
    <w:bookmarkEnd w:id="110"/>
    <w:bookmarkEnd w:id="111"/>
    <w:bookmarkEnd w:id="112"/>
    <w:p>
      <w:pPr>
        <w:pStyle w:val="54"/>
        <w:rPr>
          <w:rFonts w:ascii="宋体" w:eastAsia="宋体" w:cs="宋体"/>
          <w:highlight w:val="none"/>
        </w:rPr>
      </w:pPr>
      <w:bookmarkStart w:id="113" w:name="_Toc61327434"/>
      <w:bookmarkStart w:id="114" w:name="_Toc37496251"/>
      <w:bookmarkStart w:id="115" w:name="_Toc49135231"/>
      <w:bookmarkStart w:id="116" w:name="_Toc26800371"/>
      <w:bookmarkStart w:id="117" w:name="_Toc43264541"/>
      <w:r>
        <w:rPr>
          <w:rFonts w:ascii="宋体" w:eastAsia="宋体" w:cs="宋体"/>
          <w:highlight w:val="none"/>
        </w:rPr>
        <w:t>三.评标原则</w:t>
      </w:r>
      <w:bookmarkEnd w:id="113"/>
      <w:bookmarkEnd w:id="114"/>
      <w:bookmarkEnd w:id="115"/>
      <w:bookmarkEnd w:id="116"/>
      <w:bookmarkEnd w:id="117"/>
    </w:p>
    <w:p>
      <w:pPr>
        <w:spacing w:before="50" w:after="50" w:line="360" w:lineRule="auto"/>
        <w:ind w:firstLine="480" w:firstLineChars="200"/>
        <w:rPr>
          <w:rFonts w:ascii="宋体" w:hAnsi="宋体" w:cs="宋体"/>
          <w:sz w:val="24"/>
          <w:highlight w:val="none"/>
        </w:rPr>
      </w:pPr>
      <w:r>
        <w:rPr>
          <w:rFonts w:ascii="宋体" w:hAnsi="宋体" w:cs="宋体"/>
          <w:sz w:val="24"/>
          <w:highlight w:val="none"/>
        </w:rPr>
        <w:t>评标工作应遵循“公平、公正、科学、择优”的原则。</w:t>
      </w:r>
    </w:p>
    <w:p>
      <w:pPr>
        <w:spacing w:before="50" w:after="50" w:line="360" w:lineRule="auto"/>
        <w:ind w:firstLine="480" w:firstLineChars="200"/>
        <w:rPr>
          <w:rFonts w:ascii="宋体" w:hAnsi="宋体" w:cs="宋体"/>
          <w:sz w:val="24"/>
          <w:highlight w:val="none"/>
        </w:rPr>
      </w:pPr>
      <w:r>
        <w:rPr>
          <w:rFonts w:ascii="宋体" w:hAnsi="宋体" w:cs="宋体"/>
          <w:sz w:val="24"/>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pStyle w:val="54"/>
        <w:rPr>
          <w:rFonts w:ascii="宋体" w:eastAsia="宋体" w:cs="宋体"/>
          <w:highlight w:val="none"/>
        </w:rPr>
      </w:pPr>
      <w:r>
        <w:rPr>
          <w:rFonts w:ascii="宋体" w:eastAsia="宋体" w:cs="宋体"/>
          <w:highlight w:val="none"/>
        </w:rPr>
        <w:t>四.开标</w:t>
      </w:r>
    </w:p>
    <w:p>
      <w:pPr>
        <w:pStyle w:val="48"/>
        <w:numPr>
          <w:ilvl w:val="0"/>
          <w:numId w:val="10"/>
        </w:numPr>
        <w:ind w:firstLine="480" w:firstLineChars="200"/>
        <w:rPr>
          <w:rFonts w:ascii="宋体" w:hAnsi="宋体" w:eastAsia="宋体" w:cs="宋体"/>
          <w:highlight w:val="none"/>
        </w:rPr>
      </w:pPr>
      <w:bookmarkStart w:id="118" w:name="_Toc61327437"/>
      <w:bookmarkStart w:id="119" w:name="_Toc43264544"/>
      <w:bookmarkStart w:id="120" w:name="_Toc37496254"/>
      <w:bookmarkStart w:id="121" w:name="_Toc49135234"/>
      <w:bookmarkStart w:id="122" w:name="_Toc26800374"/>
      <w:r>
        <w:rPr>
          <w:rFonts w:ascii="宋体" w:hAnsi="宋体" w:eastAsia="宋体" w:cs="宋体"/>
          <w:highlight w:val="none"/>
        </w:rPr>
        <w:t>递交投标文件时间截止后，采购代理机构或采购人查询投标保证金的递交情况。</w:t>
      </w:r>
    </w:p>
    <w:p>
      <w:pPr>
        <w:pStyle w:val="48"/>
        <w:numPr>
          <w:ilvl w:val="0"/>
          <w:numId w:val="10"/>
        </w:numPr>
        <w:ind w:firstLine="480" w:firstLineChars="200"/>
        <w:rPr>
          <w:rFonts w:ascii="宋体" w:hAnsi="宋体" w:eastAsia="宋体" w:cs="宋体"/>
          <w:highlight w:val="none"/>
        </w:rPr>
      </w:pPr>
      <w:r>
        <w:rPr>
          <w:rFonts w:ascii="宋体" w:hAnsi="宋体" w:eastAsia="宋体" w:cs="宋体"/>
          <w:highlight w:val="none"/>
        </w:rPr>
        <w:t>采购人在《投标邀请函》中规定的日期、时间和地点组织公开开标。开标由采购人或者采购代理机构主持，邀请投标人参加。</w:t>
      </w:r>
    </w:p>
    <w:p>
      <w:pPr>
        <w:pStyle w:val="48"/>
        <w:numPr>
          <w:ilvl w:val="0"/>
          <w:numId w:val="10"/>
        </w:numPr>
        <w:ind w:firstLine="480" w:firstLineChars="200"/>
        <w:rPr>
          <w:rFonts w:ascii="宋体" w:hAnsi="宋体" w:eastAsia="宋体" w:cs="宋体"/>
          <w:highlight w:val="none"/>
        </w:rPr>
      </w:pPr>
      <w:r>
        <w:rPr>
          <w:rFonts w:ascii="宋体" w:hAnsi="宋体" w:eastAsia="宋体" w:cs="宋体"/>
          <w:highlight w:val="none"/>
        </w:rPr>
        <w:t>开标时，应当由投标人或者其推选的代表检查投标文件的密封情况；经确认无误后，由采购人或者采购代理机构工作人员当众拆封，宣布投标人名称、投标价格和招标文件规定的需要宣布的其他内容。</w:t>
      </w:r>
    </w:p>
    <w:p>
      <w:pPr>
        <w:pStyle w:val="48"/>
        <w:numPr>
          <w:ilvl w:val="0"/>
          <w:numId w:val="10"/>
        </w:numPr>
        <w:ind w:firstLine="480" w:firstLineChars="200"/>
        <w:rPr>
          <w:rFonts w:ascii="宋体" w:hAnsi="宋体" w:eastAsia="宋体" w:cs="宋体"/>
          <w:highlight w:val="none"/>
        </w:rPr>
      </w:pPr>
      <w:r>
        <w:rPr>
          <w:rFonts w:ascii="宋体" w:hAnsi="宋体" w:eastAsia="宋体" w:cs="宋体"/>
          <w:highlight w:val="none"/>
        </w:rPr>
        <w:t>投标人不足3家的，不开标，且将密封投标文件退还给投标人。</w:t>
      </w:r>
    </w:p>
    <w:p>
      <w:pPr>
        <w:pStyle w:val="48"/>
        <w:numPr>
          <w:ilvl w:val="0"/>
          <w:numId w:val="10"/>
        </w:numPr>
        <w:ind w:firstLine="480" w:firstLineChars="200"/>
        <w:rPr>
          <w:rFonts w:ascii="宋体" w:hAnsi="宋体" w:eastAsia="宋体" w:cs="宋体"/>
          <w:highlight w:val="none"/>
        </w:rPr>
      </w:pPr>
      <w:r>
        <w:rPr>
          <w:rFonts w:ascii="宋体" w:hAnsi="宋体" w:eastAsia="宋体" w:cs="宋体"/>
          <w:highlight w:val="none"/>
        </w:rPr>
        <w:t>开标过程由采购人或者采购代理机构负责记录，由参加开标的各投标人代表和相关工作人员签字确认后随招标文件一并存档。</w:t>
      </w:r>
    </w:p>
    <w:p>
      <w:pPr>
        <w:pStyle w:val="48"/>
        <w:numPr>
          <w:ilvl w:val="0"/>
          <w:numId w:val="10"/>
        </w:numPr>
        <w:ind w:firstLine="480" w:firstLineChars="200"/>
        <w:rPr>
          <w:rFonts w:ascii="宋体" w:hAnsi="宋体" w:eastAsia="宋体" w:cs="宋体"/>
          <w:highlight w:val="none"/>
        </w:rPr>
      </w:pPr>
      <w:r>
        <w:rPr>
          <w:rFonts w:ascii="宋体" w:hAnsi="宋体" w:eastAsia="宋体" w:cs="宋体"/>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pPr>
        <w:pStyle w:val="48"/>
        <w:numPr>
          <w:ilvl w:val="0"/>
          <w:numId w:val="10"/>
        </w:numPr>
        <w:ind w:firstLine="480" w:firstLineChars="200"/>
        <w:rPr>
          <w:rFonts w:ascii="宋体" w:hAnsi="宋体" w:eastAsia="宋体" w:cs="宋体"/>
          <w:highlight w:val="none"/>
        </w:rPr>
      </w:pPr>
      <w:r>
        <w:rPr>
          <w:rFonts w:ascii="宋体" w:hAnsi="宋体" w:eastAsia="宋体" w:cs="宋体"/>
          <w:highlight w:val="none"/>
        </w:rPr>
        <w:t>投标人未参加开标的，视同认可开标结果。</w:t>
      </w:r>
    </w:p>
    <w:bookmarkEnd w:id="118"/>
    <w:bookmarkEnd w:id="119"/>
    <w:bookmarkEnd w:id="120"/>
    <w:bookmarkEnd w:id="121"/>
    <w:bookmarkEnd w:id="122"/>
    <w:p>
      <w:pPr>
        <w:pStyle w:val="54"/>
        <w:rPr>
          <w:rFonts w:ascii="宋体" w:eastAsia="宋体" w:cs="宋体"/>
          <w:highlight w:val="none"/>
        </w:rPr>
      </w:pPr>
      <w:r>
        <w:rPr>
          <w:rFonts w:ascii="宋体" w:eastAsia="宋体" w:cs="宋体"/>
          <w:highlight w:val="none"/>
        </w:rPr>
        <w:t>五.资格审查</w:t>
      </w:r>
    </w:p>
    <w:p>
      <w:pPr>
        <w:pStyle w:val="48"/>
        <w:numPr>
          <w:ilvl w:val="0"/>
          <w:numId w:val="0"/>
        </w:numPr>
        <w:ind w:firstLine="398" w:firstLineChars="166"/>
        <w:rPr>
          <w:rFonts w:ascii="宋体" w:hAnsi="宋体" w:eastAsia="宋体" w:cs="宋体"/>
          <w:highlight w:val="none"/>
        </w:rPr>
      </w:pPr>
      <w:r>
        <w:rPr>
          <w:rFonts w:ascii="宋体" w:hAnsi="宋体" w:eastAsia="宋体" w:cs="宋体"/>
          <w:highlight w:val="none"/>
        </w:rPr>
        <w:t>依据法律法规和采购文件的规定，采购人或采购代理机构应当依法对投标人的资格进行审查。采购人或采购代理机构主要审查投标人资格是否符合招标文件要求，若合格的投标人不足3家的，不再进行下一阶段的评审工作。参与资格性审查的采购人代表或采购代理机构代表，不得参与下一阶段的评审工作。资格审查标准详见《附件1  资格审查标准》。</w:t>
      </w:r>
    </w:p>
    <w:p>
      <w:pPr>
        <w:pStyle w:val="48"/>
        <w:numPr>
          <w:ilvl w:val="0"/>
          <w:numId w:val="0"/>
        </w:numPr>
        <w:ind w:left="480"/>
        <w:rPr>
          <w:rFonts w:ascii="宋体" w:hAnsi="宋体" w:eastAsia="宋体" w:cs="宋体"/>
          <w:highlight w:val="none"/>
        </w:rPr>
      </w:pPr>
    </w:p>
    <w:p>
      <w:pPr>
        <w:pStyle w:val="54"/>
        <w:rPr>
          <w:rFonts w:ascii="宋体" w:eastAsia="宋体" w:cs="宋体"/>
          <w:highlight w:val="none"/>
        </w:rPr>
      </w:pPr>
      <w:r>
        <w:rPr>
          <w:rFonts w:ascii="宋体" w:eastAsia="宋体" w:cs="宋体"/>
          <w:highlight w:val="none"/>
        </w:rPr>
        <w:t>六.符合性检查</w:t>
      </w:r>
    </w:p>
    <w:p>
      <w:pPr>
        <w:numPr>
          <w:ilvl w:val="0"/>
          <w:numId w:val="11"/>
        </w:numPr>
        <w:spacing w:line="360" w:lineRule="auto"/>
        <w:ind w:firstLine="480" w:firstLineChars="200"/>
        <w:rPr>
          <w:rFonts w:ascii="宋体" w:hAnsi="宋体" w:cs="宋体"/>
          <w:sz w:val="24"/>
          <w:highlight w:val="none"/>
        </w:rPr>
      </w:pPr>
      <w:bookmarkStart w:id="123" w:name="_Toc49135237"/>
      <w:bookmarkStart w:id="124" w:name="_Toc43264547"/>
      <w:bookmarkStart w:id="125" w:name="_Toc37496257"/>
      <w:bookmarkStart w:id="126" w:name="_Toc61327440"/>
      <w:bookmarkStart w:id="127" w:name="_Toc26800377"/>
      <w:r>
        <w:rPr>
          <w:rFonts w:ascii="宋体" w:hAnsi="宋体" w:cs="宋体"/>
          <w:sz w:val="24"/>
          <w:highlight w:val="none"/>
        </w:rPr>
        <w:t>评标委员会对符合资格的投标人的投标文件进行符合性审查，以确定其是否满足招标文件的实质性要求。符合性审查标准详见《附件2 符合性审查标准》。</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 xml:space="preserve"> 投标人存在下列情况之一的，投标无效:</w:t>
      </w:r>
    </w:p>
    <w:p>
      <w:pPr>
        <w:numPr>
          <w:ilvl w:val="0"/>
          <w:numId w:val="12"/>
        </w:numPr>
        <w:spacing w:line="360" w:lineRule="auto"/>
        <w:ind w:firstLine="480" w:firstLineChars="200"/>
        <w:rPr>
          <w:rFonts w:ascii="宋体" w:hAnsi="宋体" w:cs="宋体"/>
          <w:sz w:val="24"/>
          <w:highlight w:val="none"/>
        </w:rPr>
      </w:pPr>
      <w:r>
        <w:rPr>
          <w:rFonts w:ascii="宋体" w:hAnsi="宋体" w:cs="宋体"/>
          <w:sz w:val="24"/>
          <w:highlight w:val="none"/>
        </w:rPr>
        <w:t>未按照招标文件的规定提交投标保证金的；</w:t>
      </w:r>
    </w:p>
    <w:p>
      <w:pPr>
        <w:numPr>
          <w:ilvl w:val="0"/>
          <w:numId w:val="12"/>
        </w:numPr>
        <w:spacing w:line="360" w:lineRule="auto"/>
        <w:ind w:firstLine="480" w:firstLineChars="200"/>
        <w:rPr>
          <w:rFonts w:ascii="宋体" w:hAnsi="宋体" w:cs="宋体"/>
          <w:sz w:val="24"/>
          <w:highlight w:val="none"/>
        </w:rPr>
      </w:pPr>
      <w:r>
        <w:rPr>
          <w:rFonts w:ascii="宋体" w:hAnsi="宋体" w:cs="宋体"/>
          <w:sz w:val="24"/>
          <w:highlight w:val="none"/>
        </w:rPr>
        <w:t>投标文件未按招标文件要求签署、盖章的；</w:t>
      </w:r>
    </w:p>
    <w:p>
      <w:pPr>
        <w:numPr>
          <w:ilvl w:val="0"/>
          <w:numId w:val="12"/>
        </w:numPr>
        <w:spacing w:line="360" w:lineRule="auto"/>
        <w:ind w:firstLine="480" w:firstLineChars="200"/>
        <w:rPr>
          <w:rFonts w:ascii="宋体" w:hAnsi="宋体" w:cs="宋体"/>
          <w:sz w:val="24"/>
          <w:highlight w:val="none"/>
        </w:rPr>
      </w:pPr>
      <w:r>
        <w:rPr>
          <w:rFonts w:ascii="宋体" w:hAnsi="宋体" w:cs="宋体"/>
          <w:sz w:val="24"/>
          <w:highlight w:val="none"/>
        </w:rPr>
        <w:t>报价超过招标文件中规定的报价上限的；</w:t>
      </w:r>
    </w:p>
    <w:p>
      <w:pPr>
        <w:numPr>
          <w:ilvl w:val="0"/>
          <w:numId w:val="12"/>
        </w:numPr>
        <w:spacing w:line="360" w:lineRule="auto"/>
        <w:ind w:firstLine="480" w:firstLineChars="200"/>
        <w:rPr>
          <w:rFonts w:ascii="宋体" w:hAnsi="宋体" w:cs="宋体"/>
          <w:sz w:val="24"/>
          <w:highlight w:val="none"/>
        </w:rPr>
      </w:pPr>
      <w:r>
        <w:rPr>
          <w:rFonts w:ascii="宋体" w:hAnsi="宋体" w:cs="宋体"/>
          <w:sz w:val="24"/>
          <w:highlight w:val="none"/>
        </w:rPr>
        <w:t>投标文件含有采购人不能接受的附加条件的;</w:t>
      </w:r>
    </w:p>
    <w:p>
      <w:pPr>
        <w:numPr>
          <w:ilvl w:val="0"/>
          <w:numId w:val="12"/>
        </w:numPr>
        <w:spacing w:line="360" w:lineRule="auto"/>
        <w:ind w:firstLine="480" w:firstLineChars="200"/>
        <w:rPr>
          <w:rFonts w:ascii="宋体" w:hAnsi="宋体" w:cs="宋体"/>
          <w:sz w:val="24"/>
          <w:highlight w:val="none"/>
        </w:rPr>
      </w:pPr>
      <w:r>
        <w:rPr>
          <w:rFonts w:ascii="宋体" w:hAnsi="宋体" w:cs="宋体"/>
          <w:sz w:val="24"/>
          <w:highlight w:val="none"/>
        </w:rPr>
        <w:t>法律、法规和招标文件规定的其他无效情形。</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评标委员会认为投标人的报价明显低于其他通过符合性审查投标人的报价，有可能影响产品质量或者不能诚信履约的，应当要求投标人在合理的时间内提供书面说明，必要时提交相关证明材料；投标人不能证明其报价合理性的，评标委员会应当将其作为无效投标处理。</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在评标过程中发现投标人有下列情形之一的，视为投标人串通投标，其投标无效：</w:t>
      </w:r>
    </w:p>
    <w:p>
      <w:pPr>
        <w:pStyle w:val="18"/>
        <w:numPr>
          <w:ilvl w:val="0"/>
          <w:numId w:val="13"/>
        </w:numPr>
        <w:adjustRightInd w:val="0"/>
        <w:snapToGrid w:val="0"/>
        <w:spacing w:line="360" w:lineRule="auto"/>
        <w:ind w:firstLine="480" w:firstLineChars="200"/>
        <w:rPr>
          <w:rFonts w:hAnsi="宋体" w:cs="宋体"/>
          <w:sz w:val="24"/>
          <w:szCs w:val="24"/>
          <w:highlight w:val="none"/>
        </w:rPr>
      </w:pPr>
      <w:r>
        <w:rPr>
          <w:rFonts w:hAnsi="宋体" w:cs="宋体"/>
          <w:sz w:val="24"/>
          <w:szCs w:val="24"/>
          <w:highlight w:val="none"/>
        </w:rPr>
        <w:t>不同投标人的投标文件由同一单位或者个人编制；</w:t>
      </w:r>
    </w:p>
    <w:p>
      <w:pPr>
        <w:pStyle w:val="18"/>
        <w:numPr>
          <w:ilvl w:val="0"/>
          <w:numId w:val="13"/>
        </w:numPr>
        <w:adjustRightInd w:val="0"/>
        <w:snapToGrid w:val="0"/>
        <w:spacing w:line="360" w:lineRule="auto"/>
        <w:ind w:firstLine="480" w:firstLineChars="200"/>
        <w:rPr>
          <w:rFonts w:hAnsi="宋体" w:cs="宋体"/>
          <w:sz w:val="24"/>
          <w:szCs w:val="24"/>
          <w:highlight w:val="none"/>
        </w:rPr>
      </w:pPr>
      <w:r>
        <w:rPr>
          <w:rFonts w:hAnsi="宋体" w:cs="宋体"/>
          <w:sz w:val="24"/>
          <w:szCs w:val="24"/>
          <w:highlight w:val="none"/>
        </w:rPr>
        <w:t>不同投标人委托同一单位或者个人办理投标事宜；</w:t>
      </w:r>
    </w:p>
    <w:p>
      <w:pPr>
        <w:pStyle w:val="18"/>
        <w:numPr>
          <w:ilvl w:val="0"/>
          <w:numId w:val="13"/>
        </w:numPr>
        <w:adjustRightInd w:val="0"/>
        <w:snapToGrid w:val="0"/>
        <w:spacing w:line="360" w:lineRule="auto"/>
        <w:ind w:firstLine="480" w:firstLineChars="200"/>
        <w:rPr>
          <w:rFonts w:hAnsi="宋体" w:cs="宋体"/>
          <w:sz w:val="24"/>
          <w:szCs w:val="24"/>
          <w:highlight w:val="none"/>
        </w:rPr>
      </w:pPr>
      <w:r>
        <w:rPr>
          <w:rFonts w:hAnsi="宋体" w:cs="宋体"/>
          <w:sz w:val="24"/>
          <w:szCs w:val="24"/>
          <w:highlight w:val="none"/>
        </w:rPr>
        <w:t>不同投标人的投标文件载明的项目管理成员或者联系人员为同一人；</w:t>
      </w:r>
    </w:p>
    <w:p>
      <w:pPr>
        <w:pStyle w:val="18"/>
        <w:numPr>
          <w:ilvl w:val="0"/>
          <w:numId w:val="13"/>
        </w:numPr>
        <w:adjustRightInd w:val="0"/>
        <w:snapToGrid w:val="0"/>
        <w:spacing w:line="360" w:lineRule="auto"/>
        <w:ind w:firstLine="480" w:firstLineChars="200"/>
        <w:rPr>
          <w:rFonts w:hAnsi="宋体" w:cs="宋体"/>
          <w:sz w:val="24"/>
          <w:szCs w:val="24"/>
          <w:highlight w:val="none"/>
        </w:rPr>
      </w:pPr>
      <w:r>
        <w:rPr>
          <w:rFonts w:hAnsi="宋体" w:cs="宋体"/>
          <w:sz w:val="24"/>
          <w:szCs w:val="24"/>
          <w:highlight w:val="none"/>
        </w:rPr>
        <w:t>不同投标人的投标文件异常一致或者投标报价呈规律性差异；</w:t>
      </w:r>
    </w:p>
    <w:p>
      <w:pPr>
        <w:pStyle w:val="18"/>
        <w:numPr>
          <w:ilvl w:val="0"/>
          <w:numId w:val="13"/>
        </w:numPr>
        <w:adjustRightInd w:val="0"/>
        <w:snapToGrid w:val="0"/>
        <w:spacing w:line="360" w:lineRule="auto"/>
        <w:ind w:firstLine="480" w:firstLineChars="200"/>
        <w:rPr>
          <w:rFonts w:hAnsi="宋体" w:cs="宋体"/>
          <w:sz w:val="24"/>
          <w:szCs w:val="24"/>
          <w:highlight w:val="none"/>
        </w:rPr>
      </w:pPr>
      <w:r>
        <w:rPr>
          <w:rFonts w:hAnsi="宋体" w:cs="宋体"/>
          <w:sz w:val="24"/>
          <w:szCs w:val="24"/>
          <w:highlight w:val="none"/>
        </w:rPr>
        <w:t>不同投标人的投标文件相互混装；</w:t>
      </w:r>
    </w:p>
    <w:p>
      <w:pPr>
        <w:pStyle w:val="18"/>
        <w:numPr>
          <w:ilvl w:val="0"/>
          <w:numId w:val="13"/>
        </w:numPr>
        <w:adjustRightInd w:val="0"/>
        <w:snapToGrid w:val="0"/>
        <w:spacing w:line="360" w:lineRule="auto"/>
        <w:ind w:firstLine="480" w:firstLineChars="200"/>
        <w:rPr>
          <w:rFonts w:hAnsi="宋体" w:cs="宋体"/>
          <w:sz w:val="24"/>
          <w:szCs w:val="24"/>
          <w:highlight w:val="none"/>
        </w:rPr>
      </w:pPr>
      <w:r>
        <w:rPr>
          <w:rFonts w:hAnsi="宋体" w:cs="宋体"/>
          <w:sz w:val="24"/>
          <w:szCs w:val="24"/>
          <w:highlight w:val="none"/>
        </w:rPr>
        <w:t>不同投标人的投标保证金从同一单位或者个人的账户转出。</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对于投标文件中含义不明确、同类问题表述不一致或者有明显文字和计算错误的内容，评标委员会应当以书面形式要求投标人作出必要的澄清、说明或者补正。</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投标人的澄清、说明或者补正应当采用书面形式，并加盖公章，或者由法定代表人或其授权的代表签字。投标人的澄清、说明或者补正不得超出投标文件的范围或者改变投标文件的实质性内容。</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 xml:space="preserve"> 投标文件报价出现前后不一致的，除招标文件另有规定外，按照下列规定修正：</w:t>
      </w:r>
    </w:p>
    <w:p>
      <w:pPr>
        <w:numPr>
          <w:ilvl w:val="0"/>
          <w:numId w:val="14"/>
        </w:numPr>
        <w:spacing w:line="360" w:lineRule="auto"/>
        <w:ind w:firstLine="480" w:firstLineChars="200"/>
        <w:rPr>
          <w:rFonts w:ascii="宋体" w:hAnsi="宋体" w:cs="宋体"/>
          <w:sz w:val="24"/>
          <w:highlight w:val="none"/>
        </w:rPr>
      </w:pPr>
      <w:r>
        <w:rPr>
          <w:rFonts w:ascii="宋体" w:hAnsi="宋体" w:cs="宋体"/>
          <w:sz w:val="24"/>
          <w:highlight w:val="none"/>
        </w:rPr>
        <w:t>投标文件中开标一览表（报价表）内容与投标文件中相应内容不一致的，以开标一览表（报价表）为准；</w:t>
      </w:r>
    </w:p>
    <w:p>
      <w:pPr>
        <w:numPr>
          <w:ilvl w:val="0"/>
          <w:numId w:val="14"/>
        </w:numPr>
        <w:spacing w:line="360" w:lineRule="auto"/>
        <w:ind w:firstLine="480" w:firstLineChars="200"/>
        <w:rPr>
          <w:rFonts w:ascii="宋体" w:hAnsi="宋体" w:cs="宋体"/>
          <w:sz w:val="24"/>
          <w:highlight w:val="none"/>
        </w:rPr>
      </w:pPr>
      <w:r>
        <w:rPr>
          <w:rFonts w:ascii="宋体" w:hAnsi="宋体" w:cs="宋体"/>
          <w:sz w:val="24"/>
          <w:highlight w:val="none"/>
        </w:rPr>
        <w:t>大写金额和小写金额不一致的，以大写金额为准；</w:t>
      </w:r>
    </w:p>
    <w:p>
      <w:pPr>
        <w:numPr>
          <w:ilvl w:val="0"/>
          <w:numId w:val="14"/>
        </w:numPr>
        <w:spacing w:line="360" w:lineRule="auto"/>
        <w:ind w:firstLine="480" w:firstLineChars="200"/>
        <w:rPr>
          <w:rFonts w:ascii="宋体" w:hAnsi="宋体" w:cs="宋体"/>
          <w:sz w:val="24"/>
          <w:highlight w:val="none"/>
        </w:rPr>
      </w:pPr>
      <w:r>
        <w:rPr>
          <w:rFonts w:ascii="宋体" w:hAnsi="宋体" w:cs="宋体"/>
          <w:sz w:val="24"/>
          <w:highlight w:val="none"/>
        </w:rPr>
        <w:t>单价金额小数点或者百分比有明显错位的，以开标一览表的总价为准，并修改单价；</w:t>
      </w:r>
    </w:p>
    <w:p>
      <w:pPr>
        <w:numPr>
          <w:ilvl w:val="0"/>
          <w:numId w:val="14"/>
        </w:numPr>
        <w:spacing w:line="360" w:lineRule="auto"/>
        <w:ind w:firstLine="480" w:firstLineChars="200"/>
        <w:rPr>
          <w:rFonts w:ascii="宋体" w:hAnsi="宋体" w:cs="宋体"/>
          <w:sz w:val="24"/>
          <w:highlight w:val="none"/>
        </w:rPr>
      </w:pPr>
      <w:r>
        <w:rPr>
          <w:rFonts w:ascii="宋体" w:hAnsi="宋体" w:cs="宋体"/>
          <w:sz w:val="24"/>
          <w:highlight w:val="none"/>
        </w:rPr>
        <w:t>总价金额与按单价汇总金额不一致的，以单价金额计算结果为准。</w:t>
      </w:r>
    </w:p>
    <w:p>
      <w:pPr>
        <w:spacing w:line="360" w:lineRule="auto"/>
        <w:ind w:firstLine="523" w:firstLineChars="218"/>
        <w:rPr>
          <w:rFonts w:ascii="宋体" w:hAnsi="宋体" w:cs="宋体"/>
          <w:sz w:val="24"/>
          <w:highlight w:val="none"/>
        </w:rPr>
      </w:pPr>
      <w:r>
        <w:rPr>
          <w:rFonts w:ascii="宋体" w:hAnsi="宋体" w:cs="宋体"/>
          <w:sz w:val="24"/>
          <w:highlight w:val="none"/>
        </w:rPr>
        <w:t>同时出现两种以上不一致的，按照前款规定的顺序修正。修正后的报价按照前款的规定经投标人确认后产生约束力，投标人不确认的，其投标无效。</w:t>
      </w:r>
    </w:p>
    <w:p>
      <w:pPr>
        <w:numPr>
          <w:ilvl w:val="0"/>
          <w:numId w:val="11"/>
        </w:numPr>
        <w:spacing w:line="360" w:lineRule="auto"/>
        <w:ind w:firstLine="480" w:firstLineChars="200"/>
        <w:rPr>
          <w:rFonts w:ascii="宋体" w:hAnsi="宋体" w:cs="宋体"/>
          <w:sz w:val="24"/>
          <w:highlight w:val="none"/>
        </w:rPr>
      </w:pPr>
      <w:r>
        <w:rPr>
          <w:rFonts w:ascii="宋体" w:hAnsi="宋体" w:cs="宋体"/>
          <w:sz w:val="24"/>
          <w:highlight w:val="none"/>
        </w:rPr>
        <w:t>投标截止后投标人不足3家或者通过资格审查或符合性审查的投标人不足3家的，除采购任务取消情形外，按照以下方式处理：</w:t>
      </w:r>
    </w:p>
    <w:p>
      <w:pPr>
        <w:numPr>
          <w:ilvl w:val="0"/>
          <w:numId w:val="15"/>
        </w:numPr>
        <w:spacing w:line="360" w:lineRule="auto"/>
        <w:ind w:firstLine="480" w:firstLineChars="200"/>
        <w:rPr>
          <w:rFonts w:ascii="宋体" w:hAnsi="宋体" w:cs="宋体"/>
          <w:sz w:val="24"/>
          <w:highlight w:val="none"/>
        </w:rPr>
      </w:pPr>
      <w:r>
        <w:rPr>
          <w:rFonts w:ascii="宋体" w:hAnsi="宋体" w:cs="宋体"/>
          <w:sz w:val="24"/>
          <w:highlight w:val="none"/>
        </w:rPr>
        <w:t>招标文件存在不合理条款或者招标程序不符合规定的，采购人、采购代理机构改正后依法重新招标；</w:t>
      </w:r>
    </w:p>
    <w:p>
      <w:pPr>
        <w:numPr>
          <w:ilvl w:val="0"/>
          <w:numId w:val="15"/>
        </w:numPr>
        <w:spacing w:line="360" w:lineRule="auto"/>
        <w:ind w:firstLine="480" w:firstLineChars="200"/>
        <w:rPr>
          <w:rFonts w:ascii="宋体" w:hAnsi="宋体" w:cs="宋体"/>
          <w:sz w:val="24"/>
          <w:highlight w:val="none"/>
        </w:rPr>
      </w:pPr>
      <w:r>
        <w:rPr>
          <w:rFonts w:ascii="宋体" w:hAnsi="宋体" w:cs="宋体"/>
          <w:sz w:val="24"/>
          <w:highlight w:val="none"/>
        </w:rPr>
        <w:t>招标文件没有不合理条款、招标程序符合规定，需要采用其他采购方式采购的，采购人应当依法报财政部门批准。</w:t>
      </w:r>
    </w:p>
    <w:p>
      <w:pPr>
        <w:pStyle w:val="54"/>
        <w:rPr>
          <w:rFonts w:ascii="宋体" w:eastAsia="宋体" w:cs="宋体"/>
          <w:highlight w:val="none"/>
        </w:rPr>
      </w:pPr>
      <w:r>
        <w:rPr>
          <w:rFonts w:ascii="宋体" w:eastAsia="宋体" w:cs="宋体"/>
          <w:highlight w:val="none"/>
        </w:rPr>
        <w:t>七、综合比较与评价</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本次招标的评标方法采用综合评分法。</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评标委员会应当按照招标文件中规定的评标方法和标准，对符合性审查合格的投标文件进行商务和服务评估，综合比较与评价。</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评标时，评标委员会各成员应当独立对每个投标人的投标文件进行评价，并汇总每个投标人的得分。</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评分应考虑到投标文件与招标文件之间的细微偏差。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在详细评审时对细微偏差作不利于该投标人的量化。</w:t>
      </w:r>
    </w:p>
    <w:p>
      <w:pPr>
        <w:spacing w:line="360" w:lineRule="auto"/>
        <w:ind w:firstLine="422" w:firstLineChars="175"/>
        <w:rPr>
          <w:rFonts w:ascii="宋体" w:hAnsi="宋体" w:cs="宋体"/>
          <w:b/>
          <w:bCs/>
          <w:sz w:val="24"/>
          <w:highlight w:val="none"/>
        </w:rPr>
      </w:pPr>
      <w:r>
        <w:rPr>
          <w:rFonts w:ascii="宋体" w:hAnsi="宋体" w:cs="宋体"/>
          <w:b/>
          <w:bCs/>
          <w:sz w:val="24"/>
          <w:highlight w:val="none"/>
        </w:rPr>
        <w:t>服务、商务、价格评分应分别考虑下列因素(计算得分均保留小数点后2位，第3位四舍五入)：</w:t>
      </w:r>
    </w:p>
    <w:tbl>
      <w:tblPr>
        <w:tblStyle w:val="35"/>
        <w:tblW w:w="8463" w:type="dxa"/>
        <w:tblInd w:w="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5"/>
        <w:gridCol w:w="2116"/>
        <w:gridCol w:w="2116"/>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2115" w:type="dxa"/>
            <w:vAlign w:val="center"/>
          </w:tcPr>
          <w:p>
            <w:pPr>
              <w:spacing w:line="360" w:lineRule="auto"/>
              <w:jc w:val="center"/>
              <w:rPr>
                <w:rFonts w:ascii="宋体" w:hAnsi="宋体" w:cs="宋体"/>
                <w:sz w:val="24"/>
                <w:highlight w:val="none"/>
              </w:rPr>
            </w:pPr>
            <w:r>
              <w:rPr>
                <w:rFonts w:ascii="宋体" w:hAnsi="宋体" w:cs="宋体"/>
                <w:sz w:val="24"/>
                <w:highlight w:val="none"/>
              </w:rPr>
              <w:t>评分项目</w:t>
            </w:r>
          </w:p>
        </w:tc>
        <w:tc>
          <w:tcPr>
            <w:tcW w:w="2116" w:type="dxa"/>
            <w:vAlign w:val="center"/>
          </w:tcPr>
          <w:p>
            <w:pPr>
              <w:spacing w:line="360" w:lineRule="auto"/>
              <w:jc w:val="center"/>
              <w:rPr>
                <w:rFonts w:ascii="宋体" w:hAnsi="宋体" w:cs="宋体"/>
                <w:sz w:val="24"/>
                <w:highlight w:val="none"/>
              </w:rPr>
            </w:pPr>
            <w:r>
              <w:rPr>
                <w:rFonts w:ascii="宋体" w:hAnsi="宋体" w:cs="宋体"/>
                <w:sz w:val="24"/>
                <w:highlight w:val="none"/>
              </w:rPr>
              <w:t>服务部分</w:t>
            </w:r>
          </w:p>
        </w:tc>
        <w:tc>
          <w:tcPr>
            <w:tcW w:w="2116" w:type="dxa"/>
            <w:vAlign w:val="center"/>
          </w:tcPr>
          <w:p>
            <w:pPr>
              <w:spacing w:line="360" w:lineRule="auto"/>
              <w:jc w:val="center"/>
              <w:rPr>
                <w:rFonts w:ascii="宋体" w:hAnsi="宋体" w:cs="宋体"/>
                <w:sz w:val="24"/>
                <w:highlight w:val="none"/>
              </w:rPr>
            </w:pPr>
            <w:r>
              <w:rPr>
                <w:rFonts w:ascii="宋体" w:hAnsi="宋体" w:cs="宋体"/>
                <w:sz w:val="24"/>
                <w:highlight w:val="none"/>
              </w:rPr>
              <w:t>商务部分</w:t>
            </w:r>
          </w:p>
        </w:tc>
        <w:tc>
          <w:tcPr>
            <w:tcW w:w="2116" w:type="dxa"/>
            <w:vAlign w:val="center"/>
          </w:tcPr>
          <w:p>
            <w:pPr>
              <w:spacing w:line="360" w:lineRule="auto"/>
              <w:jc w:val="center"/>
              <w:rPr>
                <w:rFonts w:ascii="宋体" w:hAnsi="宋体" w:cs="宋体"/>
                <w:sz w:val="24"/>
                <w:highlight w:val="none"/>
              </w:rPr>
            </w:pPr>
            <w:r>
              <w:rPr>
                <w:rFonts w:ascii="宋体" w:hAnsi="宋体" w:cs="宋体"/>
                <w:sz w:val="24"/>
                <w:highlight w:val="none"/>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Align w:val="center"/>
          </w:tcPr>
          <w:p>
            <w:pPr>
              <w:spacing w:line="360" w:lineRule="auto"/>
              <w:jc w:val="center"/>
              <w:rPr>
                <w:rFonts w:ascii="宋体" w:hAnsi="宋体" w:cs="宋体"/>
                <w:color w:val="auto"/>
                <w:sz w:val="24"/>
                <w:highlight w:val="none"/>
              </w:rPr>
            </w:pPr>
            <w:r>
              <w:rPr>
                <w:rFonts w:ascii="宋体" w:hAnsi="宋体" w:cs="宋体"/>
                <w:color w:val="auto"/>
                <w:sz w:val="24"/>
                <w:highlight w:val="none"/>
              </w:rPr>
              <w:t>分数分配</w:t>
            </w:r>
          </w:p>
        </w:tc>
        <w:tc>
          <w:tcPr>
            <w:tcW w:w="2116" w:type="dxa"/>
            <w:vAlign w:val="center"/>
          </w:tcPr>
          <w:p>
            <w:pPr>
              <w:pStyle w:val="2"/>
              <w:spacing w:line="360" w:lineRule="auto"/>
              <w:ind w:firstLine="31"/>
              <w:jc w:val="center"/>
              <w:rPr>
                <w:rFonts w:ascii="宋体" w:hAnsi="宋体" w:cs="宋体"/>
                <w:color w:val="auto"/>
                <w:sz w:val="24"/>
                <w:szCs w:val="24"/>
                <w:highlight w:val="none"/>
              </w:rPr>
            </w:pPr>
            <w:r>
              <w:rPr>
                <w:rFonts w:hint="default" w:ascii="宋体" w:hAnsi="宋体" w:cs="宋体"/>
                <w:color w:val="auto"/>
                <w:sz w:val="24"/>
                <w:szCs w:val="24"/>
                <w:highlight w:val="none"/>
              </w:rPr>
              <w:t>50</w:t>
            </w:r>
          </w:p>
        </w:tc>
        <w:tc>
          <w:tcPr>
            <w:tcW w:w="2116" w:type="dxa"/>
            <w:vAlign w:val="center"/>
          </w:tcPr>
          <w:p>
            <w:pPr>
              <w:pStyle w:val="2"/>
              <w:spacing w:line="360" w:lineRule="auto"/>
              <w:jc w:val="center"/>
              <w:rPr>
                <w:rFonts w:ascii="宋体" w:hAnsi="宋体" w:cs="宋体"/>
                <w:color w:val="auto"/>
                <w:sz w:val="24"/>
                <w:szCs w:val="24"/>
                <w:highlight w:val="none"/>
              </w:rPr>
            </w:pPr>
            <w:r>
              <w:rPr>
                <w:rFonts w:hint="default" w:ascii="宋体" w:hAnsi="宋体" w:cs="宋体"/>
                <w:color w:val="auto"/>
                <w:sz w:val="24"/>
                <w:szCs w:val="24"/>
                <w:highlight w:val="none"/>
              </w:rPr>
              <w:t>30</w:t>
            </w:r>
          </w:p>
        </w:tc>
        <w:tc>
          <w:tcPr>
            <w:tcW w:w="2116" w:type="dxa"/>
            <w:vAlign w:val="center"/>
          </w:tcPr>
          <w:p>
            <w:pPr>
              <w:pStyle w:val="2"/>
              <w:spacing w:line="360" w:lineRule="auto"/>
              <w:ind w:firstLine="960" w:firstLineChars="400"/>
              <w:rPr>
                <w:rFonts w:ascii="宋体" w:hAnsi="宋体" w:cs="宋体"/>
                <w:color w:val="auto"/>
                <w:sz w:val="24"/>
                <w:szCs w:val="24"/>
                <w:highlight w:val="none"/>
              </w:rPr>
            </w:pPr>
            <w:r>
              <w:rPr>
                <w:rFonts w:ascii="宋体" w:hAnsi="宋体" w:cs="宋体"/>
                <w:color w:val="auto"/>
                <w:sz w:val="24"/>
                <w:szCs w:val="24"/>
                <w:highlight w:val="none"/>
              </w:rPr>
              <w:t>20</w:t>
            </w:r>
          </w:p>
        </w:tc>
      </w:tr>
    </w:tbl>
    <w:p>
      <w:pPr>
        <w:spacing w:line="360" w:lineRule="auto"/>
        <w:ind w:firstLine="463" w:firstLineChars="192"/>
        <w:rPr>
          <w:rFonts w:ascii="宋体" w:hAnsi="宋体" w:cs="宋体"/>
          <w:b/>
          <w:bCs/>
          <w:sz w:val="24"/>
          <w:highlight w:val="none"/>
        </w:rPr>
      </w:pPr>
      <w:r>
        <w:rPr>
          <w:rFonts w:ascii="宋体" w:hAnsi="宋体" w:cs="宋体"/>
          <w:b/>
          <w:bCs/>
          <w:sz w:val="24"/>
          <w:highlight w:val="none"/>
        </w:rPr>
        <w:t>（1）服务评分（评审因素内容详见《附件3 服务部分评分标准》）</w:t>
      </w:r>
    </w:p>
    <w:p>
      <w:pPr>
        <w:spacing w:line="360" w:lineRule="auto"/>
        <w:ind w:left="540"/>
        <w:rPr>
          <w:rFonts w:ascii="宋体" w:hAnsi="宋体" w:cs="宋体"/>
          <w:sz w:val="24"/>
          <w:highlight w:val="none"/>
        </w:rPr>
      </w:pPr>
      <w:r>
        <w:rPr>
          <w:rFonts w:ascii="宋体" w:hAnsi="宋体" w:cs="宋体"/>
          <w:sz w:val="24"/>
          <w:highlight w:val="none"/>
        </w:rPr>
        <w:t>计算公式：服务部分得分</w:t>
      </w:r>
      <w:r>
        <w:rPr>
          <w:rFonts w:ascii="宋体" w:hAnsi="宋体" w:cs="宋体"/>
          <w:spacing w:val="-2"/>
          <w:kern w:val="0"/>
          <w:sz w:val="24"/>
          <w:highlight w:val="none"/>
        </w:rPr>
        <w:t>＝</w:t>
      </w:r>
      <w:r>
        <w:rPr>
          <w:rFonts w:ascii="宋体" w:hAnsi="宋体" w:cs="宋体"/>
          <w:sz w:val="24"/>
          <w:highlight w:val="none"/>
        </w:rPr>
        <w:t>各评委评分总和÷评委人数</w:t>
      </w:r>
    </w:p>
    <w:p>
      <w:pPr>
        <w:spacing w:line="360" w:lineRule="auto"/>
        <w:ind w:firstLine="463" w:firstLineChars="192"/>
        <w:rPr>
          <w:rFonts w:ascii="宋体" w:hAnsi="宋体" w:cs="宋体"/>
          <w:b/>
          <w:bCs/>
          <w:sz w:val="24"/>
          <w:highlight w:val="none"/>
        </w:rPr>
      </w:pPr>
      <w:r>
        <w:rPr>
          <w:rFonts w:ascii="宋体" w:hAnsi="宋体" w:cs="宋体"/>
          <w:b/>
          <w:bCs/>
          <w:sz w:val="24"/>
          <w:highlight w:val="none"/>
        </w:rPr>
        <w:t>（2）商务评分（评审因素内容详见《附件4  商务部分评分标准》）</w:t>
      </w:r>
    </w:p>
    <w:p>
      <w:pPr>
        <w:spacing w:line="360" w:lineRule="auto"/>
        <w:ind w:left="540"/>
        <w:rPr>
          <w:rFonts w:ascii="宋体" w:hAnsi="宋体" w:cs="宋体"/>
          <w:sz w:val="24"/>
          <w:highlight w:val="none"/>
        </w:rPr>
      </w:pPr>
      <w:r>
        <w:rPr>
          <w:rFonts w:ascii="宋体" w:hAnsi="宋体" w:cs="宋体"/>
          <w:sz w:val="24"/>
          <w:highlight w:val="none"/>
        </w:rPr>
        <w:t>计算公式：商务部分得分</w:t>
      </w:r>
      <w:r>
        <w:rPr>
          <w:rFonts w:ascii="宋体" w:hAnsi="宋体" w:cs="宋体"/>
          <w:spacing w:val="-2"/>
          <w:kern w:val="0"/>
          <w:sz w:val="24"/>
          <w:highlight w:val="none"/>
        </w:rPr>
        <w:t>＝</w:t>
      </w:r>
      <w:r>
        <w:rPr>
          <w:rFonts w:ascii="宋体" w:hAnsi="宋体" w:cs="宋体"/>
          <w:sz w:val="24"/>
          <w:highlight w:val="none"/>
        </w:rPr>
        <w:t>各评委评分总和÷评委人数</w:t>
      </w:r>
    </w:p>
    <w:p>
      <w:pPr>
        <w:spacing w:line="360" w:lineRule="auto"/>
        <w:ind w:left="540"/>
        <w:rPr>
          <w:rFonts w:ascii="宋体" w:hAnsi="宋体" w:cs="宋体"/>
          <w:b/>
          <w:bCs/>
          <w:sz w:val="24"/>
          <w:highlight w:val="none"/>
        </w:rPr>
      </w:pPr>
      <w:r>
        <w:rPr>
          <w:rFonts w:ascii="宋体" w:hAnsi="宋体" w:cs="宋体"/>
          <w:b/>
          <w:bCs/>
          <w:sz w:val="24"/>
          <w:highlight w:val="none"/>
        </w:rPr>
        <w:t>（3）价格评分</w:t>
      </w:r>
    </w:p>
    <w:p>
      <w:pPr>
        <w:spacing w:line="360" w:lineRule="auto"/>
        <w:ind w:left="539"/>
        <w:rPr>
          <w:rFonts w:ascii="宋体" w:hAnsi="宋体" w:cs="宋体"/>
          <w:sz w:val="24"/>
          <w:highlight w:val="none"/>
        </w:rPr>
      </w:pPr>
      <w:r>
        <w:rPr>
          <w:rFonts w:ascii="宋体" w:hAnsi="宋体" w:cs="宋体"/>
          <w:sz w:val="24"/>
          <w:highlight w:val="none"/>
        </w:rPr>
        <w:t>对符合要求的有效投标人进行价格评分，具体计算规则详见《价格部分评分标准》。</w:t>
      </w:r>
    </w:p>
    <w:p>
      <w:pPr>
        <w:spacing w:line="360" w:lineRule="auto"/>
        <w:ind w:left="539"/>
        <w:rPr>
          <w:rFonts w:ascii="宋体" w:hAnsi="宋体" w:cs="宋体"/>
          <w:b/>
          <w:bCs/>
          <w:sz w:val="24"/>
          <w:highlight w:val="none"/>
        </w:rPr>
      </w:pPr>
      <w:r>
        <w:rPr>
          <w:rFonts w:ascii="宋体" w:hAnsi="宋体" w:cs="宋体"/>
          <w:b/>
          <w:bCs/>
          <w:sz w:val="24"/>
          <w:highlight w:val="none"/>
        </w:rPr>
        <w:t>综合得分</w:t>
      </w:r>
      <w:r>
        <w:rPr>
          <w:rFonts w:ascii="宋体" w:hAnsi="宋体" w:cs="宋体"/>
          <w:b/>
          <w:bCs/>
          <w:spacing w:val="-2"/>
          <w:kern w:val="0"/>
          <w:sz w:val="24"/>
          <w:highlight w:val="none"/>
        </w:rPr>
        <w:t>＝</w:t>
      </w:r>
      <w:r>
        <w:rPr>
          <w:rFonts w:ascii="宋体" w:hAnsi="宋体" w:cs="宋体"/>
          <w:b/>
          <w:bCs/>
          <w:sz w:val="24"/>
          <w:highlight w:val="none"/>
        </w:rPr>
        <w:t>服务部分得分+商务部分得分+价格部分得分</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评标结果按评审后综合得分由高到低顺序排列。综合得分相同的，按投标报价由低到高顺序排列。综合得分且投标报价相同的并列。投标文件满足招标文件全部实质性要求，且按照评审因素的量化指标评审得分最高的投标人为中标候选人。本项目只设一名中标候选人。中标候选人并列的，采取随机抽取的方式确定。</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评标结果汇总完成后，除下列情形外，任何人不得修改评标结果：</w:t>
      </w:r>
    </w:p>
    <w:p>
      <w:pPr>
        <w:numPr>
          <w:ilvl w:val="0"/>
          <w:numId w:val="17"/>
        </w:numPr>
        <w:spacing w:line="360" w:lineRule="auto"/>
        <w:ind w:firstLine="480" w:firstLineChars="200"/>
        <w:rPr>
          <w:rFonts w:ascii="宋体" w:hAnsi="宋体" w:cs="宋体"/>
          <w:sz w:val="24"/>
          <w:highlight w:val="none"/>
        </w:rPr>
      </w:pPr>
      <w:r>
        <w:rPr>
          <w:rFonts w:ascii="宋体" w:hAnsi="宋体" w:cs="宋体"/>
          <w:sz w:val="24"/>
          <w:highlight w:val="none"/>
        </w:rPr>
        <w:t>分值汇总计算错误的；</w:t>
      </w:r>
    </w:p>
    <w:p>
      <w:pPr>
        <w:numPr>
          <w:ilvl w:val="0"/>
          <w:numId w:val="17"/>
        </w:numPr>
        <w:spacing w:line="360" w:lineRule="auto"/>
        <w:ind w:firstLine="480" w:firstLineChars="200"/>
        <w:rPr>
          <w:rFonts w:ascii="宋体" w:hAnsi="宋体" w:cs="宋体"/>
          <w:sz w:val="24"/>
          <w:highlight w:val="none"/>
        </w:rPr>
      </w:pPr>
      <w:r>
        <w:rPr>
          <w:rFonts w:ascii="宋体" w:hAnsi="宋体" w:cs="宋体"/>
          <w:sz w:val="24"/>
          <w:highlight w:val="none"/>
        </w:rPr>
        <w:t>分项评分超出评分标准范围的；</w:t>
      </w:r>
    </w:p>
    <w:p>
      <w:pPr>
        <w:numPr>
          <w:ilvl w:val="0"/>
          <w:numId w:val="17"/>
        </w:numPr>
        <w:spacing w:line="360" w:lineRule="auto"/>
        <w:ind w:firstLine="480" w:firstLineChars="200"/>
        <w:rPr>
          <w:rFonts w:ascii="宋体" w:hAnsi="宋体" w:cs="宋体"/>
          <w:sz w:val="24"/>
          <w:highlight w:val="none"/>
        </w:rPr>
      </w:pPr>
      <w:r>
        <w:rPr>
          <w:rFonts w:ascii="宋体" w:hAnsi="宋体" w:cs="宋体"/>
          <w:sz w:val="24"/>
          <w:highlight w:val="none"/>
        </w:rPr>
        <w:t>评标委员会成员对客观评审因素评分不一致的；</w:t>
      </w:r>
    </w:p>
    <w:p>
      <w:pPr>
        <w:numPr>
          <w:ilvl w:val="0"/>
          <w:numId w:val="17"/>
        </w:numPr>
        <w:spacing w:line="360" w:lineRule="auto"/>
        <w:ind w:firstLine="480" w:firstLineChars="200"/>
        <w:rPr>
          <w:rFonts w:ascii="宋体" w:hAnsi="宋体" w:cs="宋体"/>
          <w:sz w:val="24"/>
          <w:highlight w:val="none"/>
        </w:rPr>
      </w:pPr>
      <w:r>
        <w:rPr>
          <w:rFonts w:ascii="宋体" w:hAnsi="宋体" w:cs="宋体"/>
          <w:sz w:val="24"/>
          <w:highlight w:val="none"/>
        </w:rPr>
        <w:t>经评标委员会认定评分畸高、畸低的。</w:t>
      </w:r>
    </w:p>
    <w:p>
      <w:pPr>
        <w:spacing w:line="360" w:lineRule="auto"/>
        <w:ind w:firstLine="523" w:firstLineChars="218"/>
        <w:rPr>
          <w:rFonts w:ascii="宋体" w:hAnsi="宋体" w:cs="宋体"/>
          <w:sz w:val="24"/>
          <w:highlight w:val="none"/>
        </w:rPr>
      </w:pPr>
      <w:r>
        <w:rPr>
          <w:rFonts w:ascii="宋体" w:hAnsi="宋体" w:cs="宋体"/>
          <w:sz w:val="24"/>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spacing w:line="360" w:lineRule="auto"/>
        <w:ind w:firstLine="523" w:firstLineChars="218"/>
        <w:rPr>
          <w:rFonts w:ascii="宋体" w:hAnsi="宋体" w:cs="宋体"/>
          <w:sz w:val="24"/>
          <w:highlight w:val="none"/>
        </w:rPr>
      </w:pPr>
      <w:r>
        <w:rPr>
          <w:rFonts w:ascii="宋体" w:hAnsi="宋体" w:cs="宋体"/>
          <w:sz w:val="24"/>
          <w:highlight w:val="none"/>
        </w:rPr>
        <w:t>投标人对本条第一款情形提出质疑的，采购人或者采购代理机构可以组织原评标委员会进行重新评审，重新评审改变评标结果的，应当书面报告本级财政部门。</w:t>
      </w:r>
    </w:p>
    <w:p>
      <w:pPr>
        <w:numPr>
          <w:ilvl w:val="0"/>
          <w:numId w:val="16"/>
        </w:numPr>
        <w:spacing w:line="360" w:lineRule="auto"/>
        <w:ind w:firstLine="480" w:firstLineChars="200"/>
        <w:rPr>
          <w:rFonts w:ascii="宋体" w:hAnsi="宋体" w:cs="宋体"/>
          <w:sz w:val="24"/>
          <w:highlight w:val="none"/>
        </w:rPr>
      </w:pPr>
      <w:r>
        <w:rPr>
          <w:rFonts w:ascii="宋体" w:hAnsi="宋体" w:cs="宋体"/>
          <w:sz w:val="24"/>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bookmarkEnd w:id="123"/>
    <w:bookmarkEnd w:id="124"/>
    <w:bookmarkEnd w:id="125"/>
    <w:bookmarkEnd w:id="126"/>
    <w:bookmarkEnd w:id="127"/>
    <w:p>
      <w:pPr>
        <w:pStyle w:val="54"/>
        <w:rPr>
          <w:rFonts w:ascii="宋体" w:eastAsia="宋体" w:cs="宋体"/>
          <w:highlight w:val="none"/>
        </w:rPr>
      </w:pPr>
      <w:bookmarkStart w:id="128" w:name="_Toc26800381"/>
      <w:bookmarkStart w:id="129" w:name="_Toc43264551"/>
      <w:bookmarkStart w:id="130" w:name="_Toc61327444"/>
      <w:bookmarkStart w:id="131" w:name="_Toc37496261"/>
      <w:bookmarkStart w:id="132" w:name="_Toc49135241"/>
      <w:r>
        <w:rPr>
          <w:rFonts w:ascii="宋体" w:eastAsia="宋体" w:cs="宋体"/>
          <w:highlight w:val="none"/>
        </w:rPr>
        <w:t>八.定标和授标</w:t>
      </w:r>
      <w:bookmarkEnd w:id="128"/>
      <w:bookmarkEnd w:id="129"/>
      <w:bookmarkEnd w:id="130"/>
      <w:bookmarkEnd w:id="131"/>
      <w:bookmarkEnd w:id="132"/>
    </w:p>
    <w:p>
      <w:pPr>
        <w:numPr>
          <w:ilvl w:val="0"/>
          <w:numId w:val="18"/>
        </w:numPr>
        <w:spacing w:line="360" w:lineRule="auto"/>
        <w:ind w:firstLine="480" w:firstLineChars="200"/>
        <w:rPr>
          <w:rFonts w:ascii="宋体" w:hAnsi="宋体" w:cs="宋体"/>
          <w:sz w:val="24"/>
          <w:highlight w:val="none"/>
        </w:rPr>
      </w:pPr>
      <w:r>
        <w:rPr>
          <w:rFonts w:ascii="宋体" w:hAnsi="宋体" w:cs="宋体"/>
          <w:sz w:val="24"/>
          <w:highlight w:val="none"/>
        </w:rPr>
        <w:t xml:space="preserve"> 采购代理机构应当在评标结束后2个工作日内将评标报告送采购人。</w:t>
      </w:r>
    </w:p>
    <w:p>
      <w:pPr>
        <w:numPr>
          <w:ilvl w:val="0"/>
          <w:numId w:val="18"/>
        </w:numPr>
        <w:spacing w:line="360" w:lineRule="auto"/>
        <w:ind w:firstLine="480" w:firstLineChars="200"/>
        <w:rPr>
          <w:rFonts w:ascii="宋体" w:hAnsi="宋体" w:cs="宋体"/>
          <w:sz w:val="24"/>
          <w:highlight w:val="none"/>
        </w:rPr>
      </w:pPr>
      <w:r>
        <w:rPr>
          <w:rFonts w:ascii="宋体" w:hAnsi="宋体" w:cs="宋体"/>
          <w:sz w:val="24"/>
          <w:highlight w:val="none"/>
        </w:rPr>
        <w:t>采购人应当自收到评标报告之日起５个工作日内，在评标报告确定的中标候选人名单中按顺序确定中标人。</w:t>
      </w:r>
    </w:p>
    <w:p>
      <w:pPr>
        <w:numPr>
          <w:ilvl w:val="0"/>
          <w:numId w:val="18"/>
        </w:numPr>
        <w:spacing w:line="360" w:lineRule="auto"/>
        <w:ind w:firstLine="480" w:firstLineChars="200"/>
        <w:rPr>
          <w:rFonts w:ascii="宋体" w:hAnsi="宋体" w:cs="宋体"/>
          <w:sz w:val="24"/>
          <w:highlight w:val="none"/>
        </w:rPr>
      </w:pPr>
      <w:r>
        <w:rPr>
          <w:rFonts w:ascii="宋体" w:hAnsi="宋体" w:cs="宋体"/>
          <w:sz w:val="24"/>
          <w:highlight w:val="none"/>
        </w:rPr>
        <w:t>采购人在收到评标报告5个工作日内未按评标报告推荐的中标候选人顺序确定中标人，又不能说明合法理由的，视同按评标报告推荐的顺序确定排名第一的中标候选人为中标人。</w:t>
      </w:r>
    </w:p>
    <w:p>
      <w:pPr>
        <w:numPr>
          <w:ilvl w:val="0"/>
          <w:numId w:val="18"/>
        </w:numPr>
        <w:spacing w:line="360" w:lineRule="auto"/>
        <w:ind w:firstLine="480" w:firstLineChars="200"/>
        <w:rPr>
          <w:rFonts w:ascii="宋体" w:hAnsi="宋体" w:cs="宋体"/>
          <w:sz w:val="24"/>
          <w:highlight w:val="none"/>
        </w:rPr>
      </w:pPr>
      <w:r>
        <w:rPr>
          <w:rFonts w:ascii="宋体" w:hAnsi="宋体" w:cs="宋体"/>
          <w:sz w:val="24"/>
          <w:highlight w:val="none"/>
        </w:rPr>
        <w:t xml:space="preserve"> 采购人或者采购代理机构应当自中标人确定之日起2个工作日内，在</w:t>
      </w:r>
      <w:r>
        <w:rPr>
          <w:rFonts w:hint="eastAsia" w:ascii="宋体" w:hAnsi="宋体" w:cs="宋体"/>
          <w:sz w:val="24"/>
          <w:highlight w:val="none"/>
          <w:lang w:eastAsia="zh-CN"/>
        </w:rPr>
        <w:t>所属地区公共资源交易网</w:t>
      </w:r>
      <w:r>
        <w:rPr>
          <w:rFonts w:ascii="宋体" w:hAnsi="宋体" w:cs="宋体"/>
          <w:sz w:val="24"/>
          <w:highlight w:val="none"/>
        </w:rPr>
        <w:t>上公告中标结果，招标文件应当随中标结果同时公告。</w:t>
      </w:r>
    </w:p>
    <w:p>
      <w:pPr>
        <w:pStyle w:val="54"/>
        <w:rPr>
          <w:rFonts w:ascii="宋体" w:eastAsia="宋体" w:cs="宋体"/>
          <w:highlight w:val="none"/>
        </w:rPr>
      </w:pPr>
      <w:bookmarkStart w:id="133" w:name="_Toc43264552"/>
      <w:bookmarkStart w:id="134" w:name="_Toc37496262"/>
      <w:bookmarkStart w:id="135" w:name="_Toc49135242"/>
      <w:bookmarkStart w:id="136" w:name="_Toc26800382"/>
      <w:bookmarkStart w:id="137" w:name="_Toc61327445"/>
      <w:r>
        <w:rPr>
          <w:rFonts w:ascii="宋体" w:eastAsia="宋体" w:cs="宋体"/>
          <w:highlight w:val="none"/>
        </w:rPr>
        <w:t>九.附件</w:t>
      </w:r>
      <w:bookmarkEnd w:id="133"/>
      <w:bookmarkEnd w:id="134"/>
      <w:bookmarkEnd w:id="135"/>
      <w:bookmarkEnd w:id="136"/>
      <w:bookmarkEnd w:id="137"/>
    </w:p>
    <w:p>
      <w:pPr>
        <w:spacing w:line="360" w:lineRule="auto"/>
        <w:ind w:firstLine="460" w:firstLineChars="192"/>
        <w:rPr>
          <w:rFonts w:ascii="宋体" w:hAnsi="宋体" w:cs="宋体"/>
          <w:sz w:val="24"/>
          <w:highlight w:val="none"/>
        </w:rPr>
      </w:pPr>
      <w:r>
        <w:rPr>
          <w:rFonts w:ascii="宋体" w:hAnsi="宋体" w:cs="宋体"/>
          <w:sz w:val="24"/>
          <w:highlight w:val="none"/>
        </w:rPr>
        <w:t>附件1    资格审查标准</w:t>
      </w:r>
    </w:p>
    <w:p>
      <w:pPr>
        <w:spacing w:line="360" w:lineRule="auto"/>
        <w:ind w:firstLine="460" w:firstLineChars="192"/>
        <w:rPr>
          <w:rFonts w:ascii="宋体" w:hAnsi="宋体" w:cs="宋体"/>
          <w:sz w:val="24"/>
          <w:highlight w:val="none"/>
        </w:rPr>
      </w:pPr>
      <w:r>
        <w:rPr>
          <w:rFonts w:ascii="宋体" w:hAnsi="宋体" w:cs="宋体"/>
          <w:sz w:val="24"/>
          <w:highlight w:val="none"/>
        </w:rPr>
        <w:t>附件2    符合性审查标准</w:t>
      </w:r>
    </w:p>
    <w:p>
      <w:pPr>
        <w:spacing w:line="360" w:lineRule="auto"/>
        <w:ind w:firstLine="460" w:firstLineChars="192"/>
        <w:rPr>
          <w:rFonts w:ascii="宋体" w:hAnsi="宋体" w:cs="宋体"/>
          <w:sz w:val="24"/>
          <w:highlight w:val="none"/>
        </w:rPr>
      </w:pPr>
      <w:r>
        <w:rPr>
          <w:rFonts w:ascii="宋体" w:hAnsi="宋体" w:cs="宋体"/>
          <w:sz w:val="24"/>
          <w:highlight w:val="none"/>
        </w:rPr>
        <w:t>附件3    服务部分评分标准</w:t>
      </w:r>
    </w:p>
    <w:p>
      <w:pPr>
        <w:spacing w:line="360" w:lineRule="auto"/>
        <w:ind w:firstLine="460" w:firstLineChars="192"/>
        <w:rPr>
          <w:rFonts w:ascii="宋体" w:hAnsi="宋体" w:cs="宋体"/>
          <w:sz w:val="24"/>
          <w:highlight w:val="none"/>
        </w:rPr>
      </w:pPr>
      <w:r>
        <w:rPr>
          <w:rFonts w:ascii="宋体" w:hAnsi="宋体" w:cs="宋体"/>
          <w:sz w:val="24"/>
          <w:highlight w:val="none"/>
        </w:rPr>
        <w:t>附件4    商务部分评分标准</w:t>
      </w:r>
    </w:p>
    <w:p>
      <w:pPr>
        <w:spacing w:line="360" w:lineRule="auto"/>
        <w:ind w:firstLine="460" w:firstLineChars="192"/>
        <w:rPr>
          <w:rFonts w:ascii="宋体" w:hAnsi="宋体" w:cs="宋体"/>
          <w:sz w:val="24"/>
          <w:highlight w:val="none"/>
        </w:rPr>
      </w:pPr>
      <w:r>
        <w:rPr>
          <w:rFonts w:ascii="宋体" w:hAnsi="宋体" w:cs="宋体"/>
          <w:sz w:val="24"/>
          <w:highlight w:val="none"/>
        </w:rPr>
        <w:t>附件5    价格部分评分标准</w:t>
      </w:r>
    </w:p>
    <w:p>
      <w:pPr>
        <w:pStyle w:val="5"/>
        <w:rPr>
          <w:rFonts w:ascii="宋体" w:hAnsi="宋体"/>
          <w:sz w:val="28"/>
          <w:szCs w:val="28"/>
          <w:highlight w:val="none"/>
        </w:rPr>
      </w:pPr>
      <w:r>
        <w:rPr>
          <w:sz w:val="24"/>
          <w:highlight w:val="none"/>
        </w:rPr>
        <w:br w:type="page"/>
      </w:r>
      <w:bookmarkStart w:id="138" w:name="_Toc10844"/>
      <w:bookmarkStart w:id="139" w:name="_Toc26538"/>
      <w:bookmarkStart w:id="140" w:name="_Toc13100"/>
      <w:bookmarkStart w:id="141" w:name="_Toc22806"/>
      <w:r>
        <w:rPr>
          <w:rFonts w:ascii="宋体" w:hAnsi="宋体"/>
          <w:sz w:val="28"/>
          <w:szCs w:val="28"/>
          <w:highlight w:val="none"/>
        </w:rPr>
        <w:t>附件1资格审查标准</w:t>
      </w:r>
    </w:p>
    <w:p>
      <w:pPr>
        <w:spacing w:line="360" w:lineRule="auto"/>
        <w:ind w:left="-105" w:firstLine="405"/>
        <w:rPr>
          <w:rFonts w:ascii="宋体" w:hAnsi="宋体" w:cs="宋体"/>
          <w:sz w:val="24"/>
          <w:highlight w:val="none"/>
        </w:rPr>
      </w:pPr>
    </w:p>
    <w:tbl>
      <w:tblPr>
        <w:tblStyle w:val="35"/>
        <w:tblW w:w="995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68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150" w:type="dxa"/>
            <w:vAlign w:val="center"/>
          </w:tcPr>
          <w:p>
            <w:pPr>
              <w:spacing w:line="360" w:lineRule="auto"/>
              <w:jc w:val="center"/>
              <w:rPr>
                <w:rFonts w:ascii="宋体" w:hAnsi="宋体" w:cs="宋体"/>
                <w:b/>
                <w:sz w:val="24"/>
                <w:highlight w:val="none"/>
              </w:rPr>
            </w:pPr>
            <w:r>
              <w:rPr>
                <w:rFonts w:ascii="宋体" w:hAnsi="宋体" w:cs="宋体"/>
                <w:b/>
                <w:sz w:val="24"/>
                <w:highlight w:val="none"/>
              </w:rPr>
              <w:t>评审内容</w:t>
            </w:r>
          </w:p>
        </w:tc>
        <w:tc>
          <w:tcPr>
            <w:tcW w:w="6806" w:type="dxa"/>
            <w:vAlign w:val="center"/>
          </w:tcPr>
          <w:p>
            <w:pPr>
              <w:spacing w:line="360" w:lineRule="auto"/>
              <w:jc w:val="center"/>
              <w:rPr>
                <w:rFonts w:ascii="宋体" w:hAnsi="宋体" w:cs="宋体"/>
                <w:b/>
                <w:sz w:val="24"/>
                <w:highlight w:val="none"/>
              </w:rPr>
            </w:pPr>
            <w:r>
              <w:rPr>
                <w:rFonts w:ascii="宋体" w:hAnsi="宋体" w:cs="宋体"/>
                <w:b/>
                <w:sz w:val="24"/>
                <w:highlight w:val="none"/>
              </w:rPr>
              <w:t>招标文件要求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150" w:type="dxa"/>
            <w:vAlign w:val="center"/>
          </w:tcPr>
          <w:p>
            <w:pPr>
              <w:spacing w:line="360" w:lineRule="auto"/>
              <w:jc w:val="center"/>
              <w:rPr>
                <w:rFonts w:ascii="宋体" w:hAnsi="宋体" w:cs="宋体"/>
                <w:b/>
                <w:sz w:val="24"/>
                <w:highlight w:val="none"/>
              </w:rPr>
            </w:pPr>
            <w:r>
              <w:rPr>
                <w:rFonts w:ascii="宋体" w:hAnsi="宋体" w:cs="宋体"/>
                <w:b/>
                <w:sz w:val="24"/>
                <w:highlight w:val="none"/>
              </w:rPr>
              <w:t>投标人资格</w:t>
            </w:r>
          </w:p>
        </w:tc>
        <w:tc>
          <w:tcPr>
            <w:tcW w:w="6806" w:type="dxa"/>
            <w:vAlign w:val="center"/>
          </w:tcPr>
          <w:p>
            <w:pPr>
              <w:rPr>
                <w:rFonts w:ascii="宋体" w:hAnsi="宋体" w:cs="宋体"/>
                <w:sz w:val="24"/>
                <w:highlight w:val="none"/>
              </w:rPr>
            </w:pPr>
            <w:r>
              <w:rPr>
                <w:rFonts w:ascii="宋体" w:hAnsi="宋体" w:cs="宋体"/>
                <w:sz w:val="24"/>
                <w:highlight w:val="none"/>
              </w:rPr>
              <w:t>1、投标人应具备以下规定的条件：</w:t>
            </w:r>
          </w:p>
          <w:p>
            <w:pPr>
              <w:rPr>
                <w:rFonts w:ascii="宋体" w:hAnsi="宋体" w:cs="宋体"/>
                <w:sz w:val="24"/>
                <w:highlight w:val="none"/>
              </w:rPr>
            </w:pPr>
            <w:r>
              <w:rPr>
                <w:rFonts w:ascii="宋体" w:hAnsi="宋体" w:cs="宋体"/>
                <w:sz w:val="24"/>
                <w:highlight w:val="none"/>
              </w:rPr>
              <w:t>（1）具有独立承担民事责任的能力；</w:t>
            </w:r>
          </w:p>
          <w:p>
            <w:pPr>
              <w:rPr>
                <w:rFonts w:ascii="宋体" w:hAnsi="宋体" w:cs="宋体"/>
                <w:sz w:val="24"/>
                <w:highlight w:val="none"/>
              </w:rPr>
            </w:pPr>
            <w:r>
              <w:rPr>
                <w:rFonts w:ascii="宋体" w:hAnsi="宋体" w:cs="宋体"/>
                <w:sz w:val="24"/>
                <w:highlight w:val="none"/>
              </w:rPr>
              <w:t>（2）具有良好的商业信誉和健全的财务会计制度；</w:t>
            </w:r>
          </w:p>
          <w:p>
            <w:pPr>
              <w:rPr>
                <w:rFonts w:ascii="宋体" w:hAnsi="宋体" w:cs="宋体"/>
                <w:sz w:val="24"/>
                <w:highlight w:val="none"/>
              </w:rPr>
            </w:pPr>
            <w:r>
              <w:rPr>
                <w:rFonts w:ascii="宋体" w:hAnsi="宋体" w:cs="宋体"/>
                <w:sz w:val="24"/>
                <w:highlight w:val="none"/>
              </w:rPr>
              <w:t>（3）具有履行合同所必需的设备和专业技术能力；</w:t>
            </w:r>
          </w:p>
          <w:p>
            <w:pPr>
              <w:rPr>
                <w:rFonts w:ascii="宋体" w:hAnsi="宋体" w:cs="宋体"/>
                <w:sz w:val="24"/>
                <w:highlight w:val="none"/>
              </w:rPr>
            </w:pPr>
            <w:r>
              <w:rPr>
                <w:rFonts w:ascii="宋体" w:hAnsi="宋体" w:cs="宋体"/>
                <w:sz w:val="24"/>
                <w:highlight w:val="none"/>
              </w:rPr>
              <w:t>（4）有依法缴纳税收和社会保障资金的良好记录；</w:t>
            </w:r>
          </w:p>
          <w:p>
            <w:pPr>
              <w:rPr>
                <w:rFonts w:ascii="宋体" w:hAnsi="宋体" w:cs="宋体"/>
                <w:sz w:val="24"/>
                <w:highlight w:val="none"/>
              </w:rPr>
            </w:pPr>
            <w:r>
              <w:rPr>
                <w:rFonts w:ascii="宋体" w:hAnsi="宋体" w:cs="宋体"/>
                <w:sz w:val="24"/>
                <w:highlight w:val="none"/>
              </w:rPr>
              <w:t>（5）参与本项目采购前三年内，在经营活动中没有重大违法记录；</w:t>
            </w:r>
          </w:p>
          <w:p>
            <w:pPr>
              <w:rPr>
                <w:rFonts w:ascii="宋体" w:hAnsi="宋体" w:cs="宋体"/>
                <w:b/>
                <w:sz w:val="24"/>
                <w:highlight w:val="none"/>
              </w:rPr>
            </w:pPr>
            <w:r>
              <w:rPr>
                <w:rFonts w:ascii="宋体" w:hAnsi="宋体" w:cs="宋体"/>
                <w:sz w:val="24"/>
                <w:highlight w:val="none"/>
              </w:rPr>
              <w:t>2、本项目不接受联合体投标。</w:t>
            </w:r>
          </w:p>
        </w:tc>
      </w:tr>
    </w:tbl>
    <w:p>
      <w:pPr>
        <w:spacing w:line="360" w:lineRule="auto"/>
        <w:rPr>
          <w:rFonts w:ascii="宋体" w:hAnsi="宋体" w:cs="宋体"/>
          <w:sz w:val="24"/>
          <w:highlight w:val="none"/>
        </w:rPr>
      </w:pPr>
    </w:p>
    <w:p>
      <w:pPr>
        <w:spacing w:line="360" w:lineRule="auto"/>
        <w:rPr>
          <w:rFonts w:ascii="宋体" w:hAnsi="宋体" w:cs="宋体"/>
          <w:sz w:val="24"/>
          <w:highlight w:val="none"/>
        </w:rPr>
      </w:pPr>
      <w:r>
        <w:rPr>
          <w:rFonts w:ascii="宋体" w:hAnsi="宋体" w:cs="宋体"/>
          <w:sz w:val="24"/>
          <w:highlight w:val="none"/>
        </w:rPr>
        <w:t>注：所提交的资格证明材料必须满足“关于资格的声明函”的要求。</w:t>
      </w:r>
    </w:p>
    <w:p>
      <w:pPr>
        <w:spacing w:line="360" w:lineRule="auto"/>
        <w:rPr>
          <w:rFonts w:ascii="宋体" w:hAnsi="宋体" w:cs="宋体"/>
          <w:sz w:val="24"/>
          <w:highlight w:val="none"/>
        </w:rPr>
      </w:pPr>
    </w:p>
    <w:p>
      <w:pPr>
        <w:pStyle w:val="5"/>
        <w:rPr>
          <w:rFonts w:ascii="宋体" w:hAnsi="宋体"/>
          <w:sz w:val="28"/>
          <w:szCs w:val="28"/>
          <w:highlight w:val="none"/>
        </w:rPr>
      </w:pPr>
      <w:r>
        <w:rPr>
          <w:rFonts w:ascii="宋体" w:hAnsi="宋体"/>
          <w:sz w:val="28"/>
          <w:szCs w:val="28"/>
          <w:highlight w:val="none"/>
        </w:rPr>
        <w:t>附件2 符合性审查标准</w:t>
      </w:r>
    </w:p>
    <w:tbl>
      <w:tblPr>
        <w:tblStyle w:val="35"/>
        <w:tblW w:w="995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68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150" w:type="dxa"/>
            <w:vAlign w:val="center"/>
          </w:tcPr>
          <w:p>
            <w:pPr>
              <w:spacing w:line="360" w:lineRule="auto"/>
              <w:jc w:val="center"/>
              <w:rPr>
                <w:rFonts w:ascii="宋体" w:hAnsi="宋体" w:cs="宋体"/>
                <w:b/>
                <w:sz w:val="24"/>
                <w:highlight w:val="none"/>
              </w:rPr>
            </w:pPr>
            <w:bookmarkStart w:id="142" w:name="_Toc37496264"/>
            <w:bookmarkStart w:id="143" w:name="_Toc26800384"/>
            <w:bookmarkStart w:id="144" w:name="_Toc43264554"/>
            <w:bookmarkStart w:id="145" w:name="_Toc49135244"/>
            <w:bookmarkStart w:id="146" w:name="_Toc61327447"/>
            <w:r>
              <w:rPr>
                <w:rFonts w:ascii="宋体" w:hAnsi="宋体" w:cs="宋体"/>
                <w:b/>
                <w:sz w:val="24"/>
                <w:highlight w:val="none"/>
              </w:rPr>
              <w:t>评审内容</w:t>
            </w:r>
          </w:p>
        </w:tc>
        <w:tc>
          <w:tcPr>
            <w:tcW w:w="6806" w:type="dxa"/>
            <w:vAlign w:val="center"/>
          </w:tcPr>
          <w:p>
            <w:pPr>
              <w:spacing w:line="360" w:lineRule="auto"/>
              <w:jc w:val="center"/>
              <w:rPr>
                <w:rFonts w:ascii="宋体" w:hAnsi="宋体" w:cs="宋体"/>
                <w:b/>
                <w:sz w:val="24"/>
                <w:highlight w:val="none"/>
              </w:rPr>
            </w:pPr>
            <w:r>
              <w:rPr>
                <w:rFonts w:ascii="宋体" w:hAnsi="宋体" w:cs="宋体"/>
                <w:b/>
                <w:sz w:val="24"/>
                <w:highlight w:val="none"/>
              </w:rPr>
              <w:t>招标文件要求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3150" w:type="dxa"/>
            <w:vAlign w:val="center"/>
          </w:tcPr>
          <w:p>
            <w:pPr>
              <w:jc w:val="center"/>
              <w:rPr>
                <w:rFonts w:ascii="宋体" w:hAnsi="宋体" w:cs="宋体"/>
                <w:sz w:val="24"/>
                <w:highlight w:val="none"/>
              </w:rPr>
            </w:pPr>
            <w:r>
              <w:rPr>
                <w:rFonts w:ascii="宋体" w:hAnsi="宋体" w:cs="宋体"/>
                <w:sz w:val="24"/>
                <w:highlight w:val="none"/>
              </w:rPr>
              <w:t>投标函</w:t>
            </w:r>
          </w:p>
        </w:tc>
        <w:tc>
          <w:tcPr>
            <w:tcW w:w="6806" w:type="dxa"/>
            <w:vAlign w:val="center"/>
          </w:tcPr>
          <w:p>
            <w:pPr>
              <w:jc w:val="left"/>
              <w:rPr>
                <w:rFonts w:ascii="宋体" w:hAnsi="宋体" w:cs="宋体"/>
                <w:sz w:val="24"/>
                <w:highlight w:val="none"/>
              </w:rPr>
            </w:pPr>
            <w:r>
              <w:rPr>
                <w:rFonts w:ascii="宋体" w:hAnsi="宋体" w:cs="宋体"/>
                <w:sz w:val="24"/>
                <w:highlight w:val="none"/>
              </w:rPr>
              <w:t>按对应格式文件填写、签署、盖章(原件)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150" w:type="dxa"/>
            <w:vAlign w:val="center"/>
          </w:tcPr>
          <w:p>
            <w:pPr>
              <w:jc w:val="center"/>
              <w:rPr>
                <w:rFonts w:ascii="宋体" w:hAnsi="宋体" w:cs="宋体"/>
                <w:sz w:val="24"/>
                <w:highlight w:val="none"/>
              </w:rPr>
            </w:pPr>
            <w:r>
              <w:rPr>
                <w:rFonts w:ascii="宋体" w:hAnsi="宋体" w:cs="宋体"/>
                <w:sz w:val="24"/>
                <w:highlight w:val="none"/>
              </w:rPr>
              <w:t>法定代表人/负责人授权委托书</w:t>
            </w:r>
          </w:p>
        </w:tc>
        <w:tc>
          <w:tcPr>
            <w:tcW w:w="6806" w:type="dxa"/>
            <w:vAlign w:val="center"/>
          </w:tcPr>
          <w:p>
            <w:pPr>
              <w:jc w:val="left"/>
              <w:rPr>
                <w:rFonts w:ascii="宋体" w:hAnsi="宋体" w:cs="宋体"/>
                <w:sz w:val="24"/>
                <w:highlight w:val="none"/>
              </w:rPr>
            </w:pPr>
            <w:r>
              <w:rPr>
                <w:rFonts w:ascii="宋体" w:hAnsi="宋体" w:cs="宋体"/>
                <w:sz w:val="24"/>
                <w:highlight w:val="none"/>
              </w:rPr>
              <w:t>按对应格式文件签署、盖章(原件)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150" w:type="dxa"/>
            <w:vAlign w:val="center"/>
          </w:tcPr>
          <w:p>
            <w:pPr>
              <w:jc w:val="center"/>
              <w:rPr>
                <w:rFonts w:ascii="宋体" w:hAnsi="宋体" w:cs="宋体"/>
                <w:sz w:val="24"/>
                <w:highlight w:val="none"/>
              </w:rPr>
            </w:pPr>
            <w:r>
              <w:rPr>
                <w:rFonts w:ascii="宋体" w:hAnsi="宋体" w:cs="宋体"/>
                <w:sz w:val="24"/>
                <w:highlight w:val="none"/>
              </w:rPr>
              <w:t>保证金</w:t>
            </w:r>
          </w:p>
        </w:tc>
        <w:tc>
          <w:tcPr>
            <w:tcW w:w="6806" w:type="dxa"/>
            <w:vAlign w:val="center"/>
          </w:tcPr>
          <w:p>
            <w:pPr>
              <w:jc w:val="left"/>
              <w:rPr>
                <w:rFonts w:ascii="宋体" w:hAnsi="宋体" w:cs="宋体"/>
                <w:sz w:val="24"/>
                <w:highlight w:val="none"/>
              </w:rPr>
            </w:pPr>
            <w:r>
              <w:rPr>
                <w:rFonts w:ascii="宋体" w:hAnsi="宋体" w:cs="宋体"/>
                <w:sz w:val="24"/>
                <w:highlight w:val="none"/>
              </w:rPr>
              <w:t>符合“投标人须知一览表”的“投标保证金递交要求”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150" w:type="dxa"/>
            <w:vAlign w:val="center"/>
          </w:tcPr>
          <w:p>
            <w:pPr>
              <w:spacing w:before="120" w:beforeLines="50" w:after="120" w:afterLines="50"/>
              <w:jc w:val="center"/>
              <w:rPr>
                <w:rFonts w:ascii="宋体" w:hAnsi="宋体" w:cs="宋体"/>
                <w:sz w:val="24"/>
                <w:highlight w:val="none"/>
              </w:rPr>
            </w:pPr>
            <w:r>
              <w:rPr>
                <w:rFonts w:ascii="宋体" w:hAnsi="宋体" w:cs="宋体"/>
                <w:sz w:val="24"/>
                <w:highlight w:val="none"/>
              </w:rPr>
              <w:t>服务要求</w:t>
            </w:r>
          </w:p>
        </w:tc>
        <w:tc>
          <w:tcPr>
            <w:tcW w:w="6806" w:type="dxa"/>
            <w:vAlign w:val="center"/>
          </w:tcPr>
          <w:p>
            <w:pPr>
              <w:spacing w:before="120" w:beforeLines="50" w:after="120" w:afterLines="50"/>
              <w:rPr>
                <w:rFonts w:ascii="宋体" w:hAnsi="宋体" w:cs="宋体"/>
                <w:sz w:val="24"/>
                <w:highlight w:val="none"/>
              </w:rPr>
            </w:pPr>
            <w:r>
              <w:rPr>
                <w:rFonts w:ascii="宋体" w:hAnsi="宋体" w:cs="宋体"/>
                <w:sz w:val="24"/>
                <w:highlight w:val="none"/>
              </w:rPr>
              <w:t>实质性响应招标文件中的服务要求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150" w:type="dxa"/>
            <w:vAlign w:val="center"/>
          </w:tcPr>
          <w:p>
            <w:pPr>
              <w:spacing w:before="120" w:beforeLines="50" w:after="120" w:afterLines="50"/>
              <w:jc w:val="center"/>
              <w:rPr>
                <w:rFonts w:ascii="宋体" w:hAnsi="宋体" w:cs="宋体"/>
                <w:sz w:val="24"/>
                <w:highlight w:val="none"/>
              </w:rPr>
            </w:pPr>
            <w:r>
              <w:rPr>
                <w:rFonts w:ascii="宋体" w:hAnsi="宋体" w:cs="宋体"/>
                <w:sz w:val="24"/>
                <w:highlight w:val="none"/>
              </w:rPr>
              <w:t>商务要求</w:t>
            </w:r>
          </w:p>
        </w:tc>
        <w:tc>
          <w:tcPr>
            <w:tcW w:w="6806" w:type="dxa"/>
            <w:vAlign w:val="center"/>
          </w:tcPr>
          <w:p>
            <w:pPr>
              <w:spacing w:before="120" w:beforeLines="50" w:after="120" w:afterLines="50"/>
              <w:rPr>
                <w:rFonts w:ascii="宋体" w:hAnsi="宋体" w:cs="宋体"/>
                <w:sz w:val="24"/>
                <w:highlight w:val="none"/>
              </w:rPr>
            </w:pPr>
            <w:r>
              <w:rPr>
                <w:rFonts w:ascii="宋体" w:hAnsi="宋体" w:cs="宋体"/>
                <w:sz w:val="24"/>
                <w:highlight w:val="none"/>
              </w:rPr>
              <w:t>实质性响应招标文件中的商务要求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3150" w:type="dxa"/>
            <w:vAlign w:val="center"/>
          </w:tcPr>
          <w:p>
            <w:pPr>
              <w:spacing w:before="120" w:beforeLines="50" w:after="120" w:afterLines="50"/>
              <w:jc w:val="center"/>
              <w:rPr>
                <w:rFonts w:ascii="宋体" w:hAnsi="宋体" w:cs="宋体"/>
                <w:sz w:val="24"/>
                <w:highlight w:val="none"/>
              </w:rPr>
            </w:pPr>
            <w:r>
              <w:rPr>
                <w:rFonts w:ascii="宋体" w:hAnsi="宋体" w:cs="宋体"/>
                <w:sz w:val="24"/>
                <w:highlight w:val="none"/>
              </w:rPr>
              <w:t>投标要求</w:t>
            </w:r>
          </w:p>
        </w:tc>
        <w:tc>
          <w:tcPr>
            <w:tcW w:w="6806" w:type="dxa"/>
            <w:vAlign w:val="center"/>
          </w:tcPr>
          <w:p>
            <w:pPr>
              <w:spacing w:before="120" w:beforeLines="50" w:after="120" w:afterLines="50"/>
              <w:rPr>
                <w:rFonts w:ascii="宋体" w:hAnsi="宋体" w:cs="宋体"/>
                <w:sz w:val="24"/>
                <w:highlight w:val="none"/>
              </w:rPr>
            </w:pPr>
            <w:r>
              <w:rPr>
                <w:rFonts w:ascii="宋体" w:hAnsi="宋体" w:cs="宋体"/>
                <w:sz w:val="24"/>
                <w:highlight w:val="none"/>
              </w:rPr>
              <w:t>本项目只允许投标人有一个投标方案，每个投标人只能有一个报价。投标报价不得超过招标文件中规定的报价上限。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150" w:type="dxa"/>
            <w:vAlign w:val="center"/>
          </w:tcPr>
          <w:p>
            <w:pPr>
              <w:spacing w:before="120" w:beforeLines="50" w:after="120" w:afterLines="50"/>
              <w:jc w:val="center"/>
              <w:rPr>
                <w:rFonts w:ascii="宋体" w:hAnsi="宋体" w:cs="宋体"/>
                <w:sz w:val="24"/>
                <w:highlight w:val="none"/>
              </w:rPr>
            </w:pPr>
            <w:r>
              <w:rPr>
                <w:rFonts w:ascii="宋体" w:hAnsi="宋体" w:cs="宋体"/>
                <w:sz w:val="24"/>
                <w:highlight w:val="none"/>
              </w:rPr>
              <w:t>其他</w:t>
            </w:r>
          </w:p>
        </w:tc>
        <w:tc>
          <w:tcPr>
            <w:tcW w:w="6806" w:type="dxa"/>
            <w:vAlign w:val="center"/>
          </w:tcPr>
          <w:p>
            <w:pPr>
              <w:spacing w:before="120" w:beforeLines="50" w:after="120" w:afterLines="50"/>
              <w:rPr>
                <w:rFonts w:ascii="宋体" w:hAnsi="宋体" w:cs="宋体"/>
                <w:sz w:val="24"/>
                <w:highlight w:val="none"/>
              </w:rPr>
            </w:pPr>
            <w:r>
              <w:rPr>
                <w:rFonts w:ascii="宋体" w:hAnsi="宋体" w:cs="宋体"/>
                <w:sz w:val="24"/>
                <w:highlight w:val="none"/>
              </w:rPr>
              <w:t>法律、法规和招标文件规定的其他无效情形。</w:t>
            </w:r>
          </w:p>
        </w:tc>
      </w:tr>
    </w:tbl>
    <w:p>
      <w:pPr>
        <w:rPr>
          <w:rFonts w:ascii="宋体" w:hAnsi="宋体" w:cs="宋体"/>
          <w:highlight w:val="none"/>
        </w:rPr>
        <w:sectPr>
          <w:footerReference r:id="rId17" w:type="default"/>
          <w:headerReference r:id="rId16" w:type="even"/>
          <w:footerReference r:id="rId18" w:type="even"/>
          <w:pgSz w:w="11906" w:h="16838"/>
          <w:pgMar w:top="1440" w:right="1469" w:bottom="1440" w:left="1440" w:header="850" w:footer="992" w:gutter="0"/>
          <w:cols w:space="720" w:num="1"/>
          <w:titlePg/>
          <w:docGrid w:linePitch="285" w:charSpace="0"/>
        </w:sectPr>
      </w:pPr>
    </w:p>
    <w:bookmarkEnd w:id="142"/>
    <w:bookmarkEnd w:id="143"/>
    <w:bookmarkEnd w:id="144"/>
    <w:bookmarkEnd w:id="145"/>
    <w:bookmarkEnd w:id="146"/>
    <w:p>
      <w:pPr>
        <w:pStyle w:val="5"/>
        <w:rPr>
          <w:rFonts w:ascii="宋体" w:hAnsi="宋体"/>
          <w:sz w:val="28"/>
          <w:szCs w:val="28"/>
          <w:highlight w:val="none"/>
        </w:rPr>
      </w:pPr>
      <w:r>
        <w:rPr>
          <w:rFonts w:ascii="宋体" w:hAnsi="宋体"/>
          <w:sz w:val="28"/>
          <w:szCs w:val="28"/>
          <w:highlight w:val="none"/>
        </w:rPr>
        <w:t>附件3服务部分评分标准</w:t>
      </w:r>
    </w:p>
    <w:tbl>
      <w:tblPr>
        <w:tblStyle w:val="35"/>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695"/>
        <w:gridCol w:w="6171"/>
        <w:gridCol w:w="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94" w:type="dxa"/>
            <w:vAlign w:val="center"/>
          </w:tcPr>
          <w:p>
            <w:pPr>
              <w:jc w:val="center"/>
              <w:rPr>
                <w:rFonts w:ascii="宋体" w:hAnsi="宋体" w:cs="宋体"/>
                <w:b/>
                <w:bCs/>
                <w:sz w:val="24"/>
                <w:highlight w:val="none"/>
              </w:rPr>
            </w:pPr>
            <w:r>
              <w:rPr>
                <w:rFonts w:ascii="宋体" w:hAnsi="宋体" w:cs="宋体"/>
                <w:b/>
                <w:bCs/>
                <w:sz w:val="24"/>
                <w:highlight w:val="none"/>
              </w:rPr>
              <w:t>评审内容</w:t>
            </w:r>
          </w:p>
        </w:tc>
        <w:tc>
          <w:tcPr>
            <w:tcW w:w="1695" w:type="dxa"/>
            <w:vAlign w:val="center"/>
          </w:tcPr>
          <w:p>
            <w:pPr>
              <w:jc w:val="center"/>
              <w:rPr>
                <w:rFonts w:ascii="宋体" w:hAnsi="宋体" w:cs="宋体"/>
                <w:b/>
                <w:bCs/>
                <w:sz w:val="24"/>
                <w:highlight w:val="none"/>
              </w:rPr>
            </w:pPr>
            <w:r>
              <w:rPr>
                <w:rFonts w:ascii="宋体" w:hAnsi="宋体" w:cs="宋体"/>
                <w:b/>
                <w:bCs/>
                <w:sz w:val="24"/>
                <w:highlight w:val="none"/>
              </w:rPr>
              <w:t>内容</w:t>
            </w:r>
          </w:p>
        </w:tc>
        <w:tc>
          <w:tcPr>
            <w:tcW w:w="6171" w:type="dxa"/>
            <w:vAlign w:val="center"/>
          </w:tcPr>
          <w:p>
            <w:pPr>
              <w:jc w:val="center"/>
              <w:rPr>
                <w:rFonts w:ascii="宋体" w:hAnsi="宋体" w:cs="宋体"/>
                <w:b/>
                <w:bCs/>
                <w:sz w:val="24"/>
                <w:highlight w:val="none"/>
              </w:rPr>
            </w:pPr>
            <w:r>
              <w:rPr>
                <w:rFonts w:ascii="宋体" w:hAnsi="宋体" w:cs="宋体"/>
                <w:b/>
                <w:bCs/>
                <w:sz w:val="24"/>
                <w:highlight w:val="none"/>
              </w:rPr>
              <w:t>评 审 因 素</w:t>
            </w:r>
          </w:p>
        </w:tc>
        <w:tc>
          <w:tcPr>
            <w:tcW w:w="848" w:type="dxa"/>
            <w:vAlign w:val="center"/>
          </w:tcPr>
          <w:p>
            <w:pPr>
              <w:jc w:val="center"/>
              <w:rPr>
                <w:rFonts w:ascii="宋体" w:hAnsi="宋体" w:cs="宋体"/>
                <w:b/>
                <w:bCs/>
                <w:sz w:val="24"/>
                <w:highlight w:val="none"/>
              </w:rPr>
            </w:pPr>
            <w:r>
              <w:rPr>
                <w:rFonts w:ascii="宋体" w:hAnsi="宋体" w:cs="宋体"/>
                <w:b/>
                <w:bCs/>
                <w:sz w:val="24"/>
                <w:highlight w:val="none"/>
              </w:rPr>
              <w:t>单项满分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94" w:type="dxa"/>
            <w:vMerge w:val="restart"/>
            <w:vAlign w:val="center"/>
          </w:tcPr>
          <w:p>
            <w:pPr>
              <w:rPr>
                <w:rFonts w:ascii="宋体" w:hAnsi="宋体" w:cs="宋体"/>
                <w:sz w:val="24"/>
                <w:highlight w:val="none"/>
              </w:rPr>
            </w:pPr>
            <w:r>
              <w:rPr>
                <w:rFonts w:ascii="宋体" w:hAnsi="宋体" w:cs="宋体"/>
                <w:sz w:val="24"/>
                <w:highlight w:val="none"/>
              </w:rPr>
              <w:t>服务部分</w:t>
            </w:r>
            <w:r>
              <w:rPr>
                <w:rFonts w:hint="default" w:ascii="宋体" w:hAnsi="宋体" w:cs="宋体"/>
                <w:sz w:val="24"/>
                <w:highlight w:val="none"/>
              </w:rPr>
              <w:t>50</w:t>
            </w:r>
            <w:r>
              <w:rPr>
                <w:rFonts w:ascii="宋体" w:hAnsi="宋体" w:cs="宋体"/>
                <w:sz w:val="24"/>
                <w:highlight w:val="none"/>
              </w:rPr>
              <w:t>分</w:t>
            </w:r>
          </w:p>
        </w:tc>
        <w:tc>
          <w:tcPr>
            <w:tcW w:w="1695" w:type="dxa"/>
            <w:vAlign w:val="center"/>
          </w:tcPr>
          <w:p>
            <w:pPr>
              <w:jc w:val="center"/>
              <w:rPr>
                <w:rFonts w:ascii="宋体" w:hAnsi="宋体" w:cs="宋体"/>
                <w:sz w:val="24"/>
                <w:highlight w:val="none"/>
              </w:rPr>
            </w:pPr>
            <w:r>
              <w:rPr>
                <w:rFonts w:ascii="宋体" w:hAnsi="宋体" w:cs="宋体"/>
                <w:sz w:val="24"/>
                <w:highlight w:val="none"/>
              </w:rPr>
              <w:t>项目建设方案</w:t>
            </w:r>
          </w:p>
        </w:tc>
        <w:tc>
          <w:tcPr>
            <w:tcW w:w="6171" w:type="dxa"/>
            <w:vAlign w:val="center"/>
          </w:tcPr>
          <w:p>
            <w:pPr>
              <w:pStyle w:val="18"/>
              <w:jc w:val="left"/>
              <w:rPr>
                <w:rFonts w:hAnsi="宋体"/>
                <w:spacing w:val="-4"/>
                <w:sz w:val="24"/>
                <w:szCs w:val="24"/>
                <w:highlight w:val="none"/>
              </w:rPr>
            </w:pPr>
            <w:r>
              <w:rPr>
                <w:rFonts w:hAnsi="宋体" w:cs="宋体"/>
                <w:sz w:val="24"/>
                <w:szCs w:val="24"/>
                <w:highlight w:val="none"/>
              </w:rPr>
              <w:t>项目建设质量、进度和安全管理得当。内容全面完整，科学合理，优得</w:t>
            </w:r>
            <w:r>
              <w:rPr>
                <w:rFonts w:hint="default" w:hAnsi="宋体" w:cs="宋体"/>
                <w:sz w:val="24"/>
                <w:szCs w:val="24"/>
                <w:highlight w:val="none"/>
              </w:rPr>
              <w:t>8</w:t>
            </w:r>
            <w:r>
              <w:rPr>
                <w:rFonts w:hAnsi="宋体" w:cs="宋体"/>
                <w:sz w:val="24"/>
                <w:szCs w:val="24"/>
                <w:highlight w:val="none"/>
              </w:rPr>
              <w:t>-10分，较好得</w:t>
            </w:r>
            <w:r>
              <w:rPr>
                <w:rFonts w:hint="default" w:hAnsi="宋体" w:cs="宋体"/>
                <w:sz w:val="24"/>
                <w:szCs w:val="24"/>
                <w:highlight w:val="none"/>
              </w:rPr>
              <w:t>4</w:t>
            </w:r>
            <w:r>
              <w:rPr>
                <w:rFonts w:hAnsi="宋体" w:cs="宋体"/>
                <w:sz w:val="24"/>
                <w:szCs w:val="24"/>
                <w:highlight w:val="none"/>
              </w:rPr>
              <w:t>-</w:t>
            </w:r>
            <w:r>
              <w:rPr>
                <w:rFonts w:hint="default" w:hAnsi="宋体" w:cs="宋体"/>
                <w:sz w:val="24"/>
                <w:szCs w:val="24"/>
                <w:highlight w:val="none"/>
              </w:rPr>
              <w:t>7</w:t>
            </w:r>
            <w:r>
              <w:rPr>
                <w:rFonts w:hAnsi="宋体" w:cs="宋体"/>
                <w:sz w:val="24"/>
                <w:szCs w:val="24"/>
                <w:highlight w:val="none"/>
              </w:rPr>
              <w:t>分，一般得</w:t>
            </w:r>
            <w:r>
              <w:rPr>
                <w:rFonts w:hint="default" w:hAnsi="宋体" w:cs="宋体"/>
                <w:sz w:val="24"/>
                <w:szCs w:val="24"/>
                <w:highlight w:val="none"/>
              </w:rPr>
              <w:t>1</w:t>
            </w:r>
            <w:r>
              <w:rPr>
                <w:rFonts w:hAnsi="宋体" w:cs="宋体"/>
                <w:sz w:val="24"/>
                <w:szCs w:val="24"/>
                <w:highlight w:val="none"/>
              </w:rPr>
              <w:t>-</w:t>
            </w:r>
            <w:r>
              <w:rPr>
                <w:rFonts w:hint="default" w:hAnsi="宋体" w:cs="宋体"/>
                <w:sz w:val="24"/>
                <w:szCs w:val="24"/>
                <w:highlight w:val="none"/>
              </w:rPr>
              <w:t>3</w:t>
            </w:r>
            <w:r>
              <w:rPr>
                <w:rFonts w:hAnsi="宋体" w:cs="宋体"/>
                <w:sz w:val="24"/>
                <w:szCs w:val="24"/>
                <w:highlight w:val="none"/>
              </w:rPr>
              <w:t>分，差或不提供不得分；</w:t>
            </w:r>
          </w:p>
        </w:tc>
        <w:tc>
          <w:tcPr>
            <w:tcW w:w="848" w:type="dxa"/>
            <w:vAlign w:val="center"/>
          </w:tcPr>
          <w:p>
            <w:pPr>
              <w:widowControl/>
              <w:jc w:val="center"/>
              <w:textAlignment w:val="center"/>
              <w:rPr>
                <w:rFonts w:ascii="宋体" w:hAnsi="宋体" w:cs="宋体"/>
                <w:sz w:val="24"/>
                <w:highlight w:val="none"/>
              </w:rPr>
            </w:pPr>
            <w:r>
              <w:rPr>
                <w:rFonts w:hint="default" w:ascii="宋体" w:hAnsi="宋体" w:cs="宋体"/>
                <w:kern w:val="0"/>
                <w:sz w:val="24"/>
                <w:highlight w:val="none"/>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894" w:type="dxa"/>
            <w:vMerge w:val="continue"/>
            <w:vAlign w:val="center"/>
          </w:tcPr>
          <w:p>
            <w:pPr>
              <w:rPr>
                <w:rFonts w:ascii="宋体" w:hAnsi="宋体" w:cs="宋体"/>
                <w:sz w:val="24"/>
                <w:highlight w:val="none"/>
              </w:rPr>
            </w:pPr>
          </w:p>
        </w:tc>
        <w:tc>
          <w:tcPr>
            <w:tcW w:w="1695" w:type="dxa"/>
            <w:vAlign w:val="center"/>
          </w:tcPr>
          <w:p>
            <w:pPr>
              <w:spacing w:line="360" w:lineRule="exact"/>
              <w:jc w:val="center"/>
              <w:rPr>
                <w:rFonts w:ascii="宋体" w:hAnsi="宋体" w:cs="宋体"/>
                <w:sz w:val="24"/>
                <w:highlight w:val="none"/>
              </w:rPr>
            </w:pPr>
            <w:r>
              <w:rPr>
                <w:rFonts w:ascii="宋体" w:hAnsi="宋体" w:cs="宋体"/>
                <w:sz w:val="24"/>
                <w:highlight w:val="none"/>
              </w:rPr>
              <w:t>项目运营方案</w:t>
            </w:r>
          </w:p>
        </w:tc>
        <w:tc>
          <w:tcPr>
            <w:tcW w:w="6171" w:type="dxa"/>
            <w:vAlign w:val="center"/>
          </w:tcPr>
          <w:p>
            <w:pPr>
              <w:widowControl/>
              <w:spacing w:before="24" w:after="24"/>
              <w:jc w:val="left"/>
              <w:rPr>
                <w:rFonts w:ascii="宋体" w:hAnsi="宋体" w:cs="宋体"/>
                <w:sz w:val="24"/>
                <w:szCs w:val="24"/>
                <w:highlight w:val="none"/>
              </w:rPr>
            </w:pPr>
            <w:r>
              <w:rPr>
                <w:rFonts w:ascii="宋体" w:hAnsi="宋体" w:cs="宋体"/>
                <w:sz w:val="24"/>
                <w:szCs w:val="24"/>
                <w:highlight w:val="none"/>
              </w:rPr>
              <w:t>管理流程合理、责任权属明确、成本控制措施得当、日常检测体系科学，内容全面完整，科学合理，</w:t>
            </w:r>
            <w:r>
              <w:rPr>
                <w:rFonts w:hAnsi="宋体" w:cs="宋体"/>
                <w:sz w:val="24"/>
                <w:szCs w:val="24"/>
                <w:highlight w:val="none"/>
              </w:rPr>
              <w:t>优</w:t>
            </w:r>
            <w:r>
              <w:rPr>
                <w:rFonts w:ascii="宋体" w:hAnsi="宋体" w:cs="宋体"/>
                <w:sz w:val="24"/>
                <w:szCs w:val="24"/>
                <w:highlight w:val="none"/>
              </w:rPr>
              <w:t>得</w:t>
            </w:r>
            <w:r>
              <w:rPr>
                <w:rFonts w:hint="default" w:hAnsi="宋体" w:cs="宋体"/>
                <w:sz w:val="24"/>
                <w:szCs w:val="24"/>
                <w:highlight w:val="none"/>
              </w:rPr>
              <w:t>8</w:t>
            </w:r>
            <w:r>
              <w:rPr>
                <w:rFonts w:ascii="宋体" w:hAnsi="宋体" w:cs="宋体"/>
                <w:sz w:val="24"/>
                <w:szCs w:val="24"/>
                <w:highlight w:val="none"/>
              </w:rPr>
              <w:t>-10分，较好得</w:t>
            </w:r>
            <w:r>
              <w:rPr>
                <w:rFonts w:hint="default" w:hAnsi="宋体" w:cs="宋体"/>
                <w:sz w:val="24"/>
                <w:szCs w:val="24"/>
                <w:highlight w:val="none"/>
              </w:rPr>
              <w:t>4</w:t>
            </w:r>
            <w:r>
              <w:rPr>
                <w:rFonts w:ascii="宋体" w:hAnsi="宋体" w:cs="宋体"/>
                <w:sz w:val="24"/>
                <w:szCs w:val="24"/>
                <w:highlight w:val="none"/>
              </w:rPr>
              <w:t>-</w:t>
            </w:r>
            <w:r>
              <w:rPr>
                <w:rFonts w:hint="default" w:hAnsi="宋体" w:cs="宋体"/>
                <w:sz w:val="24"/>
                <w:szCs w:val="24"/>
                <w:highlight w:val="none"/>
              </w:rPr>
              <w:t>7</w:t>
            </w:r>
            <w:r>
              <w:rPr>
                <w:rFonts w:ascii="宋体" w:hAnsi="宋体" w:cs="宋体"/>
                <w:sz w:val="24"/>
                <w:szCs w:val="24"/>
                <w:highlight w:val="none"/>
              </w:rPr>
              <w:t>分，一般得</w:t>
            </w:r>
            <w:r>
              <w:rPr>
                <w:rFonts w:hint="default" w:hAnsi="宋体" w:cs="宋体"/>
                <w:sz w:val="24"/>
                <w:szCs w:val="24"/>
                <w:highlight w:val="none"/>
              </w:rPr>
              <w:t>1</w:t>
            </w:r>
            <w:r>
              <w:rPr>
                <w:rFonts w:ascii="宋体" w:hAnsi="宋体" w:cs="宋体"/>
                <w:sz w:val="24"/>
                <w:szCs w:val="24"/>
                <w:highlight w:val="none"/>
              </w:rPr>
              <w:t>-</w:t>
            </w:r>
            <w:r>
              <w:rPr>
                <w:rFonts w:hint="default" w:hAnsi="宋体" w:cs="宋体"/>
                <w:sz w:val="24"/>
                <w:szCs w:val="24"/>
                <w:highlight w:val="none"/>
              </w:rPr>
              <w:t>3</w:t>
            </w:r>
            <w:r>
              <w:rPr>
                <w:rFonts w:ascii="宋体" w:hAnsi="宋体" w:cs="宋体"/>
                <w:sz w:val="24"/>
                <w:szCs w:val="24"/>
                <w:highlight w:val="none"/>
              </w:rPr>
              <w:t>分</w:t>
            </w:r>
            <w:r>
              <w:rPr>
                <w:rFonts w:hAnsi="宋体" w:cs="宋体"/>
                <w:sz w:val="24"/>
                <w:szCs w:val="24"/>
                <w:highlight w:val="none"/>
              </w:rPr>
              <w:t>，差或不提供不得分</w:t>
            </w:r>
            <w:r>
              <w:rPr>
                <w:rFonts w:ascii="宋体" w:hAnsi="宋体" w:cs="宋体"/>
                <w:sz w:val="24"/>
                <w:szCs w:val="24"/>
                <w:highlight w:val="none"/>
              </w:rPr>
              <w:t>；</w:t>
            </w:r>
          </w:p>
        </w:tc>
        <w:tc>
          <w:tcPr>
            <w:tcW w:w="848" w:type="dxa"/>
            <w:vAlign w:val="center"/>
          </w:tcPr>
          <w:p>
            <w:pPr>
              <w:widowControl/>
              <w:jc w:val="center"/>
              <w:textAlignment w:val="center"/>
              <w:rPr>
                <w:rFonts w:ascii="宋体" w:hAnsi="宋体" w:cs="宋体"/>
                <w:sz w:val="24"/>
                <w:highlight w:val="none"/>
              </w:rPr>
            </w:pPr>
            <w:r>
              <w:rPr>
                <w:rFonts w:hint="default" w:ascii="宋体" w:hAnsi="宋体" w:cs="宋体"/>
                <w:kern w:val="0"/>
                <w:sz w:val="24"/>
                <w:highlight w:val="none"/>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894" w:type="dxa"/>
            <w:vMerge w:val="continue"/>
            <w:vAlign w:val="center"/>
          </w:tcPr>
          <w:p>
            <w:pPr>
              <w:rPr>
                <w:rFonts w:ascii="宋体" w:hAnsi="宋体" w:cs="宋体"/>
                <w:sz w:val="24"/>
                <w:highlight w:val="none"/>
              </w:rPr>
            </w:pPr>
          </w:p>
        </w:tc>
        <w:tc>
          <w:tcPr>
            <w:tcW w:w="1695" w:type="dxa"/>
            <w:vAlign w:val="center"/>
          </w:tcPr>
          <w:p>
            <w:pPr>
              <w:spacing w:line="360" w:lineRule="exact"/>
              <w:jc w:val="center"/>
              <w:rPr>
                <w:rFonts w:ascii="宋体" w:hAnsi="宋体" w:cs="宋体"/>
                <w:sz w:val="24"/>
                <w:highlight w:val="none"/>
              </w:rPr>
            </w:pPr>
            <w:r>
              <w:rPr>
                <w:rFonts w:ascii="宋体" w:hAnsi="宋体" w:cs="宋体"/>
                <w:sz w:val="24"/>
                <w:highlight w:val="none"/>
              </w:rPr>
              <w:t>配合公交运行充电服务方案</w:t>
            </w:r>
          </w:p>
        </w:tc>
        <w:tc>
          <w:tcPr>
            <w:tcW w:w="6171" w:type="dxa"/>
            <w:vAlign w:val="center"/>
          </w:tcPr>
          <w:p>
            <w:pPr>
              <w:spacing w:line="360" w:lineRule="exact"/>
              <w:rPr>
                <w:rFonts w:ascii="宋体" w:hAnsi="宋体" w:cs="宋体"/>
                <w:sz w:val="24"/>
                <w:highlight w:val="none"/>
                <w:lang w:val="en-GB"/>
              </w:rPr>
            </w:pPr>
            <w:r>
              <w:rPr>
                <w:rFonts w:ascii="宋体" w:hAnsi="宋体" w:cs="宋体"/>
                <w:sz w:val="24"/>
                <w:highlight w:val="none"/>
                <w:lang w:val="en-GB"/>
              </w:rPr>
              <w:t>根据投标人</w:t>
            </w:r>
            <w:r>
              <w:rPr>
                <w:rFonts w:ascii="宋体" w:hAnsi="宋体" w:cs="宋体"/>
                <w:sz w:val="24"/>
                <w:highlight w:val="none"/>
              </w:rPr>
              <w:t>配合公交运行充电服务方案</w:t>
            </w:r>
            <w:r>
              <w:rPr>
                <w:rFonts w:ascii="宋体" w:hAnsi="宋体" w:cs="宋体"/>
                <w:sz w:val="24"/>
                <w:highlight w:val="none"/>
                <w:lang w:val="en-GB"/>
              </w:rPr>
              <w:t>进行评审</w:t>
            </w:r>
            <w:r>
              <w:rPr>
                <w:rFonts w:ascii="宋体" w:hAnsi="宋体" w:cs="宋体"/>
                <w:sz w:val="24"/>
                <w:szCs w:val="24"/>
                <w:highlight w:val="none"/>
              </w:rPr>
              <w:t>，</w:t>
            </w:r>
            <w:r>
              <w:rPr>
                <w:rFonts w:hAnsi="宋体" w:cs="宋体"/>
                <w:sz w:val="24"/>
                <w:szCs w:val="24"/>
                <w:highlight w:val="none"/>
              </w:rPr>
              <w:t>优</w:t>
            </w:r>
            <w:r>
              <w:rPr>
                <w:rFonts w:ascii="宋体" w:hAnsi="宋体" w:cs="宋体"/>
                <w:sz w:val="24"/>
                <w:szCs w:val="24"/>
                <w:highlight w:val="none"/>
              </w:rPr>
              <w:t>得</w:t>
            </w:r>
            <w:r>
              <w:rPr>
                <w:rFonts w:hint="default" w:hAnsi="宋体" w:cs="宋体"/>
                <w:sz w:val="24"/>
                <w:szCs w:val="24"/>
                <w:highlight w:val="none"/>
              </w:rPr>
              <w:t>8</w:t>
            </w:r>
            <w:r>
              <w:rPr>
                <w:rFonts w:ascii="宋体" w:hAnsi="宋体" w:cs="宋体"/>
                <w:sz w:val="24"/>
                <w:szCs w:val="24"/>
                <w:highlight w:val="none"/>
              </w:rPr>
              <w:t>-10分，较好得</w:t>
            </w:r>
            <w:r>
              <w:rPr>
                <w:rFonts w:hint="default" w:hAnsi="宋体" w:cs="宋体"/>
                <w:sz w:val="24"/>
                <w:szCs w:val="24"/>
                <w:highlight w:val="none"/>
              </w:rPr>
              <w:t>4</w:t>
            </w:r>
            <w:r>
              <w:rPr>
                <w:rFonts w:ascii="宋体" w:hAnsi="宋体" w:cs="宋体"/>
                <w:sz w:val="24"/>
                <w:szCs w:val="24"/>
                <w:highlight w:val="none"/>
              </w:rPr>
              <w:t>-</w:t>
            </w:r>
            <w:r>
              <w:rPr>
                <w:rFonts w:hint="default" w:hAnsi="宋体" w:cs="宋体"/>
                <w:sz w:val="24"/>
                <w:szCs w:val="24"/>
                <w:highlight w:val="none"/>
              </w:rPr>
              <w:t>7</w:t>
            </w:r>
            <w:r>
              <w:rPr>
                <w:rFonts w:ascii="宋体" w:hAnsi="宋体" w:cs="宋体"/>
                <w:sz w:val="24"/>
                <w:szCs w:val="24"/>
                <w:highlight w:val="none"/>
              </w:rPr>
              <w:t>分，一般得</w:t>
            </w:r>
            <w:r>
              <w:rPr>
                <w:rFonts w:hint="default" w:hAnsi="宋体" w:cs="宋体"/>
                <w:sz w:val="24"/>
                <w:szCs w:val="24"/>
                <w:highlight w:val="none"/>
              </w:rPr>
              <w:t>1</w:t>
            </w:r>
            <w:r>
              <w:rPr>
                <w:rFonts w:ascii="宋体" w:hAnsi="宋体" w:cs="宋体"/>
                <w:sz w:val="24"/>
                <w:szCs w:val="24"/>
                <w:highlight w:val="none"/>
              </w:rPr>
              <w:t>-</w:t>
            </w:r>
            <w:r>
              <w:rPr>
                <w:rFonts w:hint="default" w:hAnsi="宋体" w:cs="宋体"/>
                <w:sz w:val="24"/>
                <w:szCs w:val="24"/>
                <w:highlight w:val="none"/>
              </w:rPr>
              <w:t>3</w:t>
            </w:r>
            <w:r>
              <w:rPr>
                <w:rFonts w:ascii="宋体" w:hAnsi="宋体" w:cs="宋体"/>
                <w:sz w:val="24"/>
                <w:szCs w:val="24"/>
                <w:highlight w:val="none"/>
              </w:rPr>
              <w:t>分</w:t>
            </w:r>
            <w:r>
              <w:rPr>
                <w:rFonts w:hAnsi="宋体" w:cs="宋体"/>
                <w:sz w:val="24"/>
                <w:szCs w:val="24"/>
                <w:highlight w:val="none"/>
              </w:rPr>
              <w:t>，差或不提供不得分</w:t>
            </w:r>
            <w:r>
              <w:rPr>
                <w:rFonts w:ascii="宋体" w:hAnsi="宋体" w:cs="宋体"/>
                <w:sz w:val="24"/>
                <w:szCs w:val="24"/>
                <w:highlight w:val="none"/>
              </w:rPr>
              <w:t>；</w:t>
            </w:r>
          </w:p>
        </w:tc>
        <w:tc>
          <w:tcPr>
            <w:tcW w:w="848" w:type="dxa"/>
            <w:vAlign w:val="center"/>
          </w:tcPr>
          <w:p>
            <w:pPr>
              <w:widowControl/>
              <w:jc w:val="center"/>
              <w:textAlignment w:val="center"/>
              <w:rPr>
                <w:rFonts w:ascii="宋体" w:hAnsi="宋体" w:cs="宋体"/>
                <w:sz w:val="24"/>
                <w:highlight w:val="none"/>
              </w:rPr>
            </w:pPr>
            <w:r>
              <w:rPr>
                <w:rFonts w:hint="default" w:ascii="宋体" w:hAnsi="宋体" w:cs="宋体"/>
                <w:kern w:val="0"/>
                <w:sz w:val="24"/>
                <w:highlight w:val="none"/>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94" w:type="dxa"/>
            <w:vMerge w:val="continue"/>
            <w:vAlign w:val="center"/>
          </w:tcPr>
          <w:p>
            <w:pPr>
              <w:rPr>
                <w:rFonts w:ascii="宋体" w:hAnsi="宋体" w:cs="宋体"/>
                <w:sz w:val="24"/>
                <w:highlight w:val="none"/>
              </w:rPr>
            </w:pPr>
          </w:p>
        </w:tc>
        <w:tc>
          <w:tcPr>
            <w:tcW w:w="1695" w:type="dxa"/>
            <w:vAlign w:val="center"/>
          </w:tcPr>
          <w:p>
            <w:pPr>
              <w:spacing w:line="360" w:lineRule="exact"/>
              <w:jc w:val="center"/>
              <w:rPr>
                <w:rFonts w:ascii="宋体" w:hAnsi="宋体" w:cs="宋体"/>
                <w:sz w:val="24"/>
                <w:highlight w:val="none"/>
              </w:rPr>
            </w:pPr>
            <w:r>
              <w:rPr>
                <w:rFonts w:ascii="宋体" w:hAnsi="宋体" w:cs="宋体"/>
                <w:sz w:val="24"/>
                <w:highlight w:val="none"/>
              </w:rPr>
              <w:t>售后服务及应急保障措施</w:t>
            </w:r>
          </w:p>
        </w:tc>
        <w:tc>
          <w:tcPr>
            <w:tcW w:w="6171" w:type="dxa"/>
            <w:vAlign w:val="center"/>
          </w:tcPr>
          <w:p>
            <w:pPr>
              <w:spacing w:line="360" w:lineRule="exact"/>
              <w:rPr>
                <w:rFonts w:ascii="宋体" w:hAnsi="宋体" w:cs="宋体"/>
                <w:sz w:val="24"/>
                <w:highlight w:val="none"/>
              </w:rPr>
            </w:pPr>
            <w:r>
              <w:rPr>
                <w:rFonts w:ascii="宋体" w:hAnsi="宋体" w:cs="宋体"/>
                <w:sz w:val="24"/>
                <w:highlight w:val="none"/>
                <w:lang w:val="en-GB"/>
              </w:rPr>
              <w:t>根据方案的内容全面性、合理性；应急机制快速、有效、科学合理等进行评审，优得</w:t>
            </w:r>
            <w:r>
              <w:rPr>
                <w:rFonts w:hint="default" w:ascii="宋体" w:hAnsi="宋体" w:cs="宋体"/>
                <w:sz w:val="24"/>
                <w:highlight w:val="none"/>
                <w:lang w:val="en-GB"/>
              </w:rPr>
              <w:t>8</w:t>
            </w:r>
            <w:r>
              <w:rPr>
                <w:rFonts w:ascii="宋体" w:hAnsi="宋体" w:cs="宋体"/>
                <w:sz w:val="24"/>
                <w:highlight w:val="none"/>
                <w:lang w:val="en-GB"/>
              </w:rPr>
              <w:t>-10分，较好得</w:t>
            </w:r>
            <w:r>
              <w:rPr>
                <w:rFonts w:hint="default" w:ascii="宋体" w:hAnsi="宋体" w:cs="宋体"/>
                <w:sz w:val="24"/>
                <w:highlight w:val="none"/>
                <w:lang w:val="en-GB"/>
              </w:rPr>
              <w:t>4</w:t>
            </w:r>
            <w:r>
              <w:rPr>
                <w:rFonts w:ascii="宋体" w:hAnsi="宋体" w:cs="宋体"/>
                <w:sz w:val="24"/>
                <w:highlight w:val="none"/>
                <w:lang w:val="en-GB"/>
              </w:rPr>
              <w:t>-</w:t>
            </w:r>
            <w:r>
              <w:rPr>
                <w:rFonts w:hint="default" w:ascii="宋体" w:hAnsi="宋体" w:cs="宋体"/>
                <w:sz w:val="24"/>
                <w:highlight w:val="none"/>
                <w:lang w:val="en-GB"/>
              </w:rPr>
              <w:t>7</w:t>
            </w:r>
            <w:r>
              <w:rPr>
                <w:rFonts w:ascii="宋体" w:hAnsi="宋体" w:cs="宋体"/>
                <w:sz w:val="24"/>
                <w:highlight w:val="none"/>
                <w:lang w:val="en-GB"/>
              </w:rPr>
              <w:t>分，一般得</w:t>
            </w:r>
            <w:r>
              <w:rPr>
                <w:rFonts w:hint="default" w:ascii="宋体" w:hAnsi="宋体" w:cs="宋体"/>
                <w:sz w:val="24"/>
                <w:highlight w:val="none"/>
                <w:lang w:val="en-GB"/>
              </w:rPr>
              <w:t>1</w:t>
            </w:r>
            <w:r>
              <w:rPr>
                <w:rFonts w:ascii="宋体" w:hAnsi="宋体" w:cs="宋体"/>
                <w:sz w:val="24"/>
                <w:highlight w:val="none"/>
                <w:lang w:val="en-GB"/>
              </w:rPr>
              <w:t>-</w:t>
            </w:r>
            <w:r>
              <w:rPr>
                <w:rFonts w:hint="default" w:ascii="宋体" w:hAnsi="宋体" w:cs="宋体"/>
                <w:sz w:val="24"/>
                <w:highlight w:val="none"/>
                <w:lang w:val="en-GB"/>
              </w:rPr>
              <w:t>3</w:t>
            </w:r>
            <w:r>
              <w:rPr>
                <w:rFonts w:ascii="宋体" w:hAnsi="宋体" w:cs="宋体"/>
                <w:sz w:val="24"/>
                <w:highlight w:val="none"/>
                <w:lang w:val="en-GB"/>
              </w:rPr>
              <w:t>分，差或不提供不得分；</w:t>
            </w:r>
          </w:p>
        </w:tc>
        <w:tc>
          <w:tcPr>
            <w:tcW w:w="848" w:type="dxa"/>
            <w:vAlign w:val="center"/>
          </w:tcPr>
          <w:p>
            <w:pPr>
              <w:widowControl/>
              <w:jc w:val="center"/>
              <w:textAlignment w:val="center"/>
              <w:rPr>
                <w:rFonts w:ascii="宋体" w:hAnsi="宋体" w:cs="宋体"/>
                <w:sz w:val="24"/>
                <w:highlight w:val="none"/>
              </w:rPr>
            </w:pPr>
            <w:r>
              <w:rPr>
                <w:rFonts w:ascii="宋体" w:hAnsi="宋体" w:cs="宋体"/>
                <w:kern w:val="0"/>
                <w:sz w:val="24"/>
                <w:highlight w:val="none"/>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94" w:type="dxa"/>
            <w:vMerge w:val="continue"/>
            <w:vAlign w:val="center"/>
          </w:tcPr>
          <w:p>
            <w:pPr>
              <w:rPr>
                <w:rFonts w:ascii="宋体" w:hAnsi="宋体" w:cs="宋体"/>
                <w:sz w:val="24"/>
                <w:highlight w:val="none"/>
              </w:rPr>
            </w:pPr>
          </w:p>
        </w:tc>
        <w:tc>
          <w:tcPr>
            <w:tcW w:w="1695" w:type="dxa"/>
            <w:vAlign w:val="center"/>
          </w:tcPr>
          <w:p>
            <w:pPr>
              <w:spacing w:line="360" w:lineRule="exact"/>
              <w:jc w:val="center"/>
              <w:rPr>
                <w:rFonts w:ascii="宋体" w:hAnsi="宋体" w:cs="宋体"/>
                <w:sz w:val="24"/>
                <w:highlight w:val="none"/>
              </w:rPr>
            </w:pPr>
            <w:r>
              <w:rPr>
                <w:rFonts w:ascii="宋体" w:hAnsi="宋体" w:cs="宋体"/>
                <w:sz w:val="24"/>
                <w:highlight w:val="none"/>
              </w:rPr>
              <w:t>充电桩产品选型</w:t>
            </w:r>
          </w:p>
        </w:tc>
        <w:tc>
          <w:tcPr>
            <w:tcW w:w="6171" w:type="dxa"/>
            <w:vAlign w:val="center"/>
          </w:tcPr>
          <w:p>
            <w:pPr>
              <w:spacing w:line="360" w:lineRule="exact"/>
              <w:rPr>
                <w:rFonts w:ascii="宋体" w:hAnsi="宋体" w:cs="宋体"/>
                <w:sz w:val="24"/>
                <w:highlight w:val="none"/>
              </w:rPr>
            </w:pPr>
            <w:r>
              <w:rPr>
                <w:rFonts w:ascii="宋体" w:hAnsi="宋体" w:cs="宋体"/>
                <w:sz w:val="24"/>
                <w:highlight w:val="none"/>
              </w:rPr>
              <w:t>拟投入充电桩的参数需满足以下要求，每满足一项得1分，最高得5分，不满足不得分：</w:t>
            </w:r>
          </w:p>
          <w:p>
            <w:pPr>
              <w:spacing w:line="360" w:lineRule="exact"/>
              <w:rPr>
                <w:rFonts w:ascii="宋体" w:hAnsi="宋体" w:cs="宋体"/>
                <w:sz w:val="24"/>
                <w:highlight w:val="none"/>
              </w:rPr>
            </w:pPr>
            <w:r>
              <w:rPr>
                <w:rFonts w:ascii="宋体" w:hAnsi="宋体" w:cs="宋体"/>
                <w:sz w:val="24"/>
                <w:highlight w:val="none"/>
              </w:rPr>
              <w:t>（1）输出电压范围不小于200V-1000V；</w:t>
            </w:r>
          </w:p>
          <w:p>
            <w:pPr>
              <w:spacing w:line="360" w:lineRule="exact"/>
              <w:rPr>
                <w:rFonts w:ascii="宋体" w:hAnsi="宋体" w:cs="宋体"/>
                <w:sz w:val="24"/>
                <w:highlight w:val="none"/>
              </w:rPr>
            </w:pPr>
            <w:r>
              <w:rPr>
                <w:rFonts w:ascii="宋体" w:hAnsi="宋体" w:cs="宋体"/>
                <w:sz w:val="24"/>
                <w:highlight w:val="none"/>
              </w:rPr>
              <w:t>（2）恒功率输出范围不小于300V-1000V；</w:t>
            </w:r>
          </w:p>
          <w:p>
            <w:pPr>
              <w:spacing w:line="360" w:lineRule="exact"/>
              <w:rPr>
                <w:rFonts w:ascii="宋体" w:hAnsi="宋体" w:cs="宋体"/>
                <w:sz w:val="24"/>
                <w:highlight w:val="none"/>
              </w:rPr>
            </w:pPr>
            <w:r>
              <w:rPr>
                <w:rFonts w:ascii="宋体" w:hAnsi="宋体" w:cs="宋体"/>
                <w:sz w:val="24"/>
                <w:highlight w:val="none"/>
              </w:rPr>
              <w:t>（3）平均每枪的待机功耗≤25W；</w:t>
            </w:r>
          </w:p>
          <w:p>
            <w:pPr>
              <w:spacing w:line="360" w:lineRule="exact"/>
              <w:rPr>
                <w:rFonts w:ascii="宋体" w:hAnsi="宋体" w:cs="宋体"/>
                <w:sz w:val="24"/>
                <w:highlight w:val="none"/>
              </w:rPr>
            </w:pPr>
            <w:r>
              <w:rPr>
                <w:rFonts w:ascii="宋体" w:hAnsi="宋体" w:cs="宋体"/>
                <w:sz w:val="24"/>
                <w:highlight w:val="none"/>
              </w:rPr>
              <w:t>（4）功率因数半载以下≥0.99；半载及以上≥0.99；</w:t>
            </w:r>
          </w:p>
          <w:p>
            <w:pPr>
              <w:spacing w:line="360" w:lineRule="exact"/>
              <w:rPr>
                <w:rFonts w:ascii="宋体" w:hAnsi="宋体" w:cs="宋体"/>
                <w:sz w:val="24"/>
                <w:highlight w:val="none"/>
              </w:rPr>
            </w:pPr>
            <w:r>
              <w:rPr>
                <w:rFonts w:ascii="宋体" w:hAnsi="宋体" w:cs="宋体"/>
                <w:sz w:val="24"/>
                <w:highlight w:val="none"/>
              </w:rPr>
              <w:t>（5）稳流精度在-20℃时≤±0.2%；在50℃时≤±0.2%</w:t>
            </w:r>
          </w:p>
          <w:p>
            <w:pPr>
              <w:spacing w:line="360" w:lineRule="exact"/>
              <w:rPr>
                <w:rFonts w:ascii="宋体" w:hAnsi="宋体" w:cs="宋体"/>
                <w:sz w:val="24"/>
                <w:highlight w:val="none"/>
              </w:rPr>
            </w:pPr>
            <w:r>
              <w:rPr>
                <w:rFonts w:ascii="宋体" w:hAnsi="宋体" w:cs="宋体"/>
                <w:sz w:val="24"/>
                <w:highlight w:val="none"/>
              </w:rPr>
              <w:t>注：需提供360kW及以上分体式直流充电桩产品的型式检测报告扫描件以证明满足以上要求，检测报告需具备CMA和CNAS认证标识，否则不得分。</w:t>
            </w:r>
          </w:p>
        </w:tc>
        <w:tc>
          <w:tcPr>
            <w:tcW w:w="848" w:type="dxa"/>
            <w:vAlign w:val="center"/>
          </w:tcPr>
          <w:p>
            <w:pPr>
              <w:widowControl/>
              <w:jc w:val="center"/>
              <w:textAlignment w:val="center"/>
              <w:rPr>
                <w:rFonts w:ascii="宋体" w:hAnsi="宋体" w:cs="宋体"/>
                <w:sz w:val="24"/>
                <w:highlight w:val="none"/>
              </w:rPr>
            </w:pPr>
            <w:r>
              <w:rPr>
                <w:rFonts w:ascii="宋体" w:hAnsi="宋体" w:cs="宋体"/>
                <w:kern w:val="0"/>
                <w:sz w:val="24"/>
                <w:highlight w:val="none"/>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94" w:type="dxa"/>
            <w:vMerge w:val="continue"/>
            <w:vAlign w:val="center"/>
          </w:tcPr>
          <w:p>
            <w:pPr>
              <w:rPr>
                <w:rFonts w:ascii="宋体" w:hAnsi="宋体" w:cs="宋体"/>
                <w:color w:val="auto"/>
                <w:sz w:val="24"/>
                <w:highlight w:val="none"/>
              </w:rPr>
            </w:pPr>
          </w:p>
        </w:tc>
        <w:tc>
          <w:tcPr>
            <w:tcW w:w="1695" w:type="dxa"/>
            <w:vAlign w:val="center"/>
          </w:tcPr>
          <w:p>
            <w:pPr>
              <w:spacing w:line="360" w:lineRule="exact"/>
              <w:jc w:val="center"/>
              <w:rPr>
                <w:rFonts w:ascii="宋体" w:hAnsi="宋体" w:cs="宋体"/>
                <w:color w:val="auto"/>
                <w:sz w:val="24"/>
                <w:highlight w:val="none"/>
              </w:rPr>
            </w:pPr>
            <w:r>
              <w:rPr>
                <w:rFonts w:ascii="宋体" w:hAnsi="宋体" w:cs="宋体"/>
                <w:color w:val="auto"/>
                <w:sz w:val="24"/>
                <w:highlight w:val="none"/>
              </w:rPr>
              <w:t>充电运营平台选型</w:t>
            </w:r>
          </w:p>
        </w:tc>
        <w:tc>
          <w:tcPr>
            <w:tcW w:w="6171" w:type="dxa"/>
            <w:vAlign w:val="center"/>
          </w:tcPr>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本项目配套运营管理平台应满足以下多用户持续保障要求，每满足一项得1分，最高得5分：</w:t>
            </w:r>
          </w:p>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（1）平台具备100000个充电桩的接入能力。平台支持大于200万充电终端的同时充电。</w:t>
            </w:r>
          </w:p>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（2）平台能支持100万充电桩数据，300万新能源车数据和500万用户数据。</w:t>
            </w:r>
          </w:p>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（3）远程功能：平台可以远程采集并传送运行各种电气量和负荷潮流、远程采集并传送各种保护和开关量信息、远程控制开关控制设备、远程调节充电机输出功率、远程动态实时监控信息。</w:t>
            </w:r>
          </w:p>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（4）可靠性：平台具备7*24小时连续无障碍运行的能力</w:t>
            </w:r>
          </w:p>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5）平台大数据应用：所投平台具备平台大数据应用-平台审计故障码故障提示检测功能（至少有25项），其中应包含：当出现超过3分钟无有效电流时、超过10分钟有电流电压但无电量时、非免费订单有电量无电费时、离线订单电量超过300度电时、非多枪同充订单上报电量超过1000度时，可返回有相应的故障提示。</w:t>
            </w:r>
          </w:p>
          <w:p>
            <w:pPr>
              <w:spacing w:line="360" w:lineRule="exact"/>
              <w:rPr>
                <w:rFonts w:ascii="宋体" w:hAnsi="宋体" w:cs="宋体"/>
                <w:color w:val="auto"/>
                <w:sz w:val="24"/>
                <w:highlight w:val="none"/>
                <w:lang w:val="en-GB"/>
              </w:rPr>
            </w:pPr>
            <w:r>
              <w:rPr>
                <w:rFonts w:ascii="宋体" w:hAnsi="宋体" w:cs="宋体"/>
                <w:color w:val="auto"/>
                <w:sz w:val="24"/>
                <w:highlight w:val="none"/>
                <w:lang w:val="en-GB"/>
              </w:rPr>
              <w:t>注：需提供配套运营平台的检测报告扫描件，检测报告需具备CMA和CNAS认证标识，否则不得分。</w:t>
            </w:r>
          </w:p>
        </w:tc>
        <w:tc>
          <w:tcPr>
            <w:tcW w:w="848" w:type="dxa"/>
            <w:vAlign w:val="center"/>
          </w:tcPr>
          <w:p>
            <w:pPr>
              <w:widowControl/>
              <w:jc w:val="center"/>
              <w:textAlignment w:val="center"/>
              <w:rPr>
                <w:rFonts w:ascii="宋体" w:hAnsi="宋体" w:cs="宋体"/>
                <w:color w:val="auto"/>
                <w:kern w:val="0"/>
                <w:sz w:val="24"/>
                <w:highlight w:val="none"/>
                <w:lang w:bidi="ar"/>
              </w:rPr>
            </w:pPr>
            <w:r>
              <w:rPr>
                <w:rFonts w:ascii="宋体" w:hAnsi="宋体" w:cs="宋体"/>
                <w:color w:val="auto"/>
                <w:kern w:val="0"/>
                <w:sz w:val="24"/>
                <w:highlight w:val="none"/>
                <w:lang w:bidi="ar"/>
              </w:rPr>
              <w:t>5分</w:t>
            </w:r>
          </w:p>
        </w:tc>
      </w:tr>
    </w:tbl>
    <w:p>
      <w:pPr>
        <w:spacing w:line="360" w:lineRule="exact"/>
        <w:rPr>
          <w:rFonts w:ascii="宋体" w:hAnsi="宋体" w:cs="宋体"/>
          <w:color w:val="auto"/>
          <w:sz w:val="24"/>
          <w:highlight w:val="none"/>
        </w:rPr>
      </w:pPr>
    </w:p>
    <w:p>
      <w:pPr>
        <w:pStyle w:val="5"/>
        <w:rPr>
          <w:rFonts w:ascii="宋体" w:hAnsi="宋体"/>
          <w:color w:val="auto"/>
          <w:sz w:val="28"/>
          <w:szCs w:val="28"/>
          <w:highlight w:val="none"/>
        </w:rPr>
      </w:pPr>
      <w:r>
        <w:rPr>
          <w:rFonts w:ascii="宋体" w:hAnsi="宋体" w:cs="宋体"/>
          <w:color w:val="auto"/>
          <w:sz w:val="28"/>
          <w:szCs w:val="28"/>
          <w:highlight w:val="none"/>
        </w:rPr>
        <w:br w:type="page"/>
      </w:r>
      <w:r>
        <w:rPr>
          <w:rFonts w:ascii="宋体" w:hAnsi="宋体"/>
          <w:color w:val="auto"/>
          <w:sz w:val="28"/>
          <w:szCs w:val="28"/>
          <w:highlight w:val="none"/>
        </w:rPr>
        <w:t>附件4 商务部分评分标准</w:t>
      </w:r>
    </w:p>
    <w:p>
      <w:pPr>
        <w:rPr>
          <w:rFonts w:ascii="宋体" w:hAnsi="宋体" w:cs="宋体"/>
          <w:color w:val="auto"/>
          <w:highlight w:val="none"/>
        </w:rPr>
      </w:pPr>
    </w:p>
    <w:tbl>
      <w:tblPr>
        <w:tblStyle w:val="35"/>
        <w:tblW w:w="96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6"/>
        <w:gridCol w:w="1475"/>
        <w:gridCol w:w="6209"/>
        <w:gridCol w:w="8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1076" w:type="dxa"/>
            <w:vAlign w:val="center"/>
          </w:tcPr>
          <w:p>
            <w:pPr>
              <w:spacing w:line="360" w:lineRule="atLeast"/>
              <w:jc w:val="center"/>
              <w:rPr>
                <w:rFonts w:ascii="宋体" w:hAnsi="宋体" w:cs="宋体"/>
                <w:b/>
                <w:bCs/>
                <w:color w:val="auto"/>
                <w:sz w:val="24"/>
                <w:highlight w:val="none"/>
              </w:rPr>
            </w:pPr>
            <w:r>
              <w:rPr>
                <w:rFonts w:ascii="宋体" w:hAnsi="宋体" w:cs="宋体"/>
                <w:b/>
                <w:bCs/>
                <w:color w:val="auto"/>
                <w:sz w:val="24"/>
                <w:highlight w:val="none"/>
              </w:rPr>
              <w:t>评审</w:t>
            </w:r>
          </w:p>
          <w:p>
            <w:pPr>
              <w:spacing w:line="360" w:lineRule="atLeast"/>
              <w:jc w:val="center"/>
              <w:rPr>
                <w:rFonts w:ascii="宋体" w:hAnsi="宋体" w:cs="宋体"/>
                <w:b/>
                <w:bCs/>
                <w:color w:val="auto"/>
                <w:sz w:val="24"/>
                <w:highlight w:val="none"/>
              </w:rPr>
            </w:pPr>
            <w:r>
              <w:rPr>
                <w:rFonts w:ascii="宋体" w:hAnsi="宋体" w:cs="宋体"/>
                <w:b/>
                <w:bCs/>
                <w:color w:val="auto"/>
                <w:sz w:val="24"/>
                <w:highlight w:val="none"/>
              </w:rPr>
              <w:t>内容</w:t>
            </w:r>
          </w:p>
        </w:tc>
        <w:tc>
          <w:tcPr>
            <w:tcW w:w="1475" w:type="dxa"/>
            <w:tcBorders>
              <w:bottom w:val="single" w:color="auto" w:sz="4" w:space="0"/>
            </w:tcBorders>
            <w:vAlign w:val="center"/>
          </w:tcPr>
          <w:p>
            <w:pPr>
              <w:spacing w:line="360" w:lineRule="atLeast"/>
              <w:jc w:val="center"/>
              <w:rPr>
                <w:rFonts w:ascii="宋体" w:hAnsi="宋体" w:cs="宋体"/>
                <w:b/>
                <w:bCs/>
                <w:color w:val="auto"/>
                <w:sz w:val="24"/>
                <w:highlight w:val="none"/>
              </w:rPr>
            </w:pPr>
            <w:r>
              <w:rPr>
                <w:rFonts w:ascii="宋体" w:hAnsi="宋体" w:cs="宋体"/>
                <w:b/>
                <w:bCs/>
                <w:color w:val="auto"/>
                <w:sz w:val="24"/>
                <w:highlight w:val="none"/>
              </w:rPr>
              <w:t>内容</w:t>
            </w:r>
          </w:p>
        </w:tc>
        <w:tc>
          <w:tcPr>
            <w:tcW w:w="6209" w:type="dxa"/>
            <w:tcBorders>
              <w:bottom w:val="single" w:color="auto" w:sz="4" w:space="0"/>
            </w:tcBorders>
            <w:vAlign w:val="center"/>
          </w:tcPr>
          <w:p>
            <w:pPr>
              <w:spacing w:line="360" w:lineRule="atLeast"/>
              <w:jc w:val="center"/>
              <w:rPr>
                <w:rFonts w:ascii="宋体" w:hAnsi="宋体" w:cs="宋体"/>
                <w:b/>
                <w:bCs/>
                <w:color w:val="auto"/>
                <w:sz w:val="24"/>
                <w:highlight w:val="none"/>
              </w:rPr>
            </w:pPr>
            <w:r>
              <w:rPr>
                <w:rFonts w:ascii="宋体" w:hAnsi="宋体" w:cs="宋体"/>
                <w:b/>
                <w:bCs/>
                <w:color w:val="auto"/>
                <w:sz w:val="24"/>
                <w:highlight w:val="none"/>
              </w:rPr>
              <w:t>评 审 因 素</w:t>
            </w:r>
          </w:p>
        </w:tc>
        <w:tc>
          <w:tcPr>
            <w:tcW w:w="848" w:type="dxa"/>
            <w:tcBorders>
              <w:bottom w:val="single" w:color="auto" w:sz="4" w:space="0"/>
            </w:tcBorders>
            <w:vAlign w:val="center"/>
          </w:tcPr>
          <w:p>
            <w:pPr>
              <w:spacing w:line="360" w:lineRule="atLeast"/>
              <w:jc w:val="center"/>
              <w:rPr>
                <w:rFonts w:ascii="宋体" w:hAnsi="宋体" w:cs="宋体"/>
                <w:b/>
                <w:bCs/>
                <w:color w:val="auto"/>
                <w:sz w:val="24"/>
                <w:highlight w:val="none"/>
              </w:rPr>
            </w:pPr>
            <w:r>
              <w:rPr>
                <w:rFonts w:ascii="宋体" w:hAnsi="宋体" w:cs="宋体"/>
                <w:b/>
                <w:bCs/>
                <w:color w:val="auto"/>
                <w:sz w:val="24"/>
                <w:highlight w:val="none"/>
              </w:rPr>
              <w:t>单项满分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8" w:hRule="atLeast"/>
          <w:jc w:val="center"/>
        </w:trPr>
        <w:tc>
          <w:tcPr>
            <w:tcW w:w="1076" w:type="dxa"/>
            <w:vMerge w:val="restart"/>
            <w:tcBorders>
              <w:right w:val="single" w:color="auto" w:sz="4" w:space="0"/>
            </w:tcBorders>
            <w:vAlign w:val="center"/>
          </w:tcPr>
          <w:p>
            <w:pPr>
              <w:spacing w:line="360" w:lineRule="atLeast"/>
              <w:rPr>
                <w:rFonts w:ascii="宋体" w:hAnsi="宋体" w:cs="宋体"/>
                <w:color w:val="auto"/>
                <w:sz w:val="24"/>
                <w:highlight w:val="none"/>
              </w:rPr>
            </w:pPr>
            <w:r>
              <w:rPr>
                <w:rFonts w:ascii="宋体" w:hAnsi="宋体" w:cs="宋体"/>
                <w:color w:val="auto"/>
                <w:sz w:val="24"/>
                <w:highlight w:val="none"/>
              </w:rPr>
              <w:t>商</w:t>
            </w:r>
            <w:r>
              <w:rPr>
                <w:rFonts w:hint="eastAsia" w:ascii="宋体" w:hAnsi="宋体" w:cs="宋体"/>
                <w:color w:val="auto"/>
                <w:sz w:val="24"/>
                <w:highlight w:val="none"/>
                <w:lang w:val="en-US" w:eastAsia="zh-CN"/>
              </w:rPr>
              <w:t xml:space="preserve"> </w:t>
            </w:r>
            <w:r>
              <w:rPr>
                <w:rFonts w:ascii="宋体" w:hAnsi="宋体" w:cs="宋体"/>
                <w:color w:val="auto"/>
                <w:sz w:val="24"/>
                <w:highlight w:val="none"/>
              </w:rPr>
              <w:t>务</w:t>
            </w:r>
          </w:p>
          <w:p>
            <w:pPr>
              <w:spacing w:line="360" w:lineRule="atLeast"/>
              <w:rPr>
                <w:rFonts w:ascii="宋体" w:hAnsi="宋体" w:cs="宋体"/>
                <w:color w:val="auto"/>
                <w:sz w:val="24"/>
                <w:highlight w:val="none"/>
              </w:rPr>
            </w:pPr>
            <w:r>
              <w:rPr>
                <w:rFonts w:ascii="宋体" w:hAnsi="宋体" w:cs="宋体"/>
                <w:color w:val="auto"/>
                <w:sz w:val="24"/>
                <w:highlight w:val="none"/>
              </w:rPr>
              <w:t>部</w:t>
            </w:r>
            <w:r>
              <w:rPr>
                <w:rFonts w:hint="eastAsia" w:ascii="宋体" w:hAnsi="宋体" w:cs="宋体"/>
                <w:color w:val="auto"/>
                <w:sz w:val="24"/>
                <w:highlight w:val="none"/>
                <w:lang w:val="en-US" w:eastAsia="zh-CN"/>
              </w:rPr>
              <w:t xml:space="preserve"> </w:t>
            </w:r>
            <w:r>
              <w:rPr>
                <w:rFonts w:ascii="宋体" w:hAnsi="宋体" w:cs="宋体"/>
                <w:color w:val="auto"/>
                <w:sz w:val="24"/>
                <w:highlight w:val="none"/>
              </w:rPr>
              <w:t>分</w:t>
            </w:r>
          </w:p>
          <w:p>
            <w:pPr>
              <w:spacing w:line="360" w:lineRule="atLeast"/>
              <w:rPr>
                <w:rFonts w:ascii="宋体" w:hAnsi="宋体" w:cs="宋体"/>
                <w:color w:val="auto"/>
                <w:sz w:val="24"/>
                <w:highlight w:val="none"/>
              </w:rPr>
            </w:pPr>
            <w:r>
              <w:rPr>
                <w:rFonts w:hint="default" w:ascii="宋体" w:hAnsi="宋体" w:cs="宋体"/>
                <w:color w:val="auto"/>
                <w:sz w:val="24"/>
                <w:highlight w:val="none"/>
              </w:rPr>
              <w:t>30</w:t>
            </w:r>
            <w:r>
              <w:rPr>
                <w:rFonts w:ascii="宋体" w:hAnsi="宋体" w:cs="宋体"/>
                <w:color w:val="auto"/>
                <w:sz w:val="24"/>
                <w:highlight w:val="none"/>
              </w:rPr>
              <w:t>分</w:t>
            </w:r>
          </w:p>
        </w:tc>
        <w:tc>
          <w:tcPr>
            <w:tcW w:w="1475" w:type="dxa"/>
            <w:tcBorders>
              <w:top w:val="single" w:color="auto" w:sz="4" w:space="0"/>
              <w:left w:val="single" w:color="auto" w:sz="4" w:space="0"/>
              <w:bottom w:val="single" w:color="auto" w:sz="4" w:space="0"/>
              <w:right w:val="single" w:color="auto" w:sz="4" w:space="0"/>
            </w:tcBorders>
            <w:vAlign w:val="center"/>
          </w:tcPr>
          <w:p>
            <w:pPr>
              <w:tabs>
                <w:tab w:val="left" w:pos="1736"/>
              </w:tabs>
              <w:spacing w:line="360" w:lineRule="atLeast"/>
              <w:jc w:val="center"/>
              <w:rPr>
                <w:rFonts w:ascii="宋体" w:hAnsi="宋体" w:cs="宋体"/>
                <w:color w:val="auto"/>
                <w:sz w:val="24"/>
                <w:highlight w:val="none"/>
              </w:rPr>
            </w:pPr>
            <w:r>
              <w:rPr>
                <w:rFonts w:ascii="宋体" w:hAnsi="宋体" w:cs="宋体"/>
                <w:color w:val="auto"/>
                <w:sz w:val="24"/>
                <w:highlight w:val="none"/>
              </w:rPr>
              <w:t>财务实力</w:t>
            </w:r>
          </w:p>
        </w:tc>
        <w:tc>
          <w:tcPr>
            <w:tcW w:w="6209" w:type="dxa"/>
            <w:tcBorders>
              <w:top w:val="single" w:color="auto" w:sz="4" w:space="0"/>
              <w:left w:val="single" w:color="auto" w:sz="4" w:space="0"/>
              <w:right w:val="single" w:color="auto" w:sz="4" w:space="0"/>
            </w:tcBorders>
            <w:vAlign w:val="center"/>
          </w:tcPr>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近三年最高资产负债率≤40%时，得3分；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40%＜近三年最高资产负债率≤50%时，得2分；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50%＜近三年最高资产负债率≤60%时，得1分；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近三年最高资产负债率＞60%时，得0分。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注：需提供投标人2019年至2021年经第三方审计机构审计的完整的财务审计报告，否则不得分。</w:t>
            </w:r>
          </w:p>
        </w:tc>
        <w:tc>
          <w:tcPr>
            <w:tcW w:w="848" w:type="dxa"/>
            <w:tcBorders>
              <w:top w:val="single" w:color="auto" w:sz="4" w:space="0"/>
              <w:left w:val="single" w:color="auto" w:sz="4" w:space="0"/>
              <w:right w:val="single" w:color="auto" w:sz="4" w:space="0"/>
            </w:tcBorders>
            <w:vAlign w:val="center"/>
          </w:tcPr>
          <w:p>
            <w:pPr>
              <w:pStyle w:val="47"/>
              <w:spacing w:line="360" w:lineRule="atLeast"/>
              <w:jc w:val="center"/>
              <w:rPr>
                <w:rFonts w:hint="eastAsia" w:ascii="宋体" w:hAnsi="宋体" w:cs="宋体"/>
                <w:color w:val="auto"/>
                <w:sz w:val="24"/>
                <w:highlight w:val="none"/>
              </w:rPr>
            </w:pPr>
            <w:r>
              <w:rPr>
                <w:rFonts w:hint="eastAsia" w:ascii="宋体" w:hAnsi="宋体" w:cs="宋体"/>
                <w:color w:val="auto"/>
                <w:sz w:val="24"/>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5" w:hRule="atLeast"/>
          <w:jc w:val="center"/>
        </w:trPr>
        <w:tc>
          <w:tcPr>
            <w:tcW w:w="1076" w:type="dxa"/>
            <w:vMerge w:val="continue"/>
            <w:tcBorders>
              <w:right w:val="single" w:color="auto" w:sz="4" w:space="0"/>
            </w:tcBorders>
            <w:vAlign w:val="center"/>
          </w:tcPr>
          <w:p>
            <w:pPr>
              <w:spacing w:line="360" w:lineRule="atLeast"/>
              <w:rPr>
                <w:rFonts w:ascii="宋体" w:hAnsi="宋体" w:cs="宋体"/>
                <w:color w:val="auto"/>
                <w:sz w:val="24"/>
                <w:highlight w:val="none"/>
              </w:rPr>
            </w:pPr>
          </w:p>
        </w:tc>
        <w:tc>
          <w:tcPr>
            <w:tcW w:w="1475" w:type="dxa"/>
            <w:tcBorders>
              <w:left w:val="single" w:color="auto" w:sz="4" w:space="0"/>
            </w:tcBorders>
            <w:vAlign w:val="center"/>
          </w:tcPr>
          <w:p>
            <w:pPr>
              <w:tabs>
                <w:tab w:val="left" w:pos="1736"/>
              </w:tabs>
              <w:spacing w:line="360" w:lineRule="atLeast"/>
              <w:jc w:val="center"/>
              <w:rPr>
                <w:rFonts w:ascii="宋体" w:hAnsi="宋体" w:cs="宋体"/>
                <w:color w:val="auto"/>
                <w:sz w:val="24"/>
                <w:highlight w:val="none"/>
              </w:rPr>
            </w:pPr>
            <w:r>
              <w:rPr>
                <w:rFonts w:ascii="宋体" w:hAnsi="宋体" w:cs="宋体"/>
                <w:bCs/>
                <w:color w:val="auto"/>
                <w:sz w:val="24"/>
                <w:highlight w:val="none"/>
              </w:rPr>
              <w:t>服务团队</w:t>
            </w:r>
          </w:p>
        </w:tc>
        <w:tc>
          <w:tcPr>
            <w:tcW w:w="6209" w:type="dxa"/>
            <w:vAlign w:val="center"/>
          </w:tcPr>
          <w:p>
            <w:pPr>
              <w:spacing w:line="360" w:lineRule="atLeast"/>
              <w:rPr>
                <w:rFonts w:ascii="宋体" w:hAnsi="宋体" w:cs="宋体"/>
                <w:color w:val="auto"/>
                <w:sz w:val="24"/>
                <w:highlight w:val="none"/>
                <w:lang w:val="en-GB"/>
              </w:rPr>
            </w:pPr>
            <w:r>
              <w:rPr>
                <w:rFonts w:ascii="宋体" w:hAnsi="宋体" w:cs="宋体"/>
                <w:color w:val="auto"/>
                <w:sz w:val="24"/>
                <w:highlight w:val="none"/>
                <w:lang w:val="en-GB"/>
              </w:rPr>
              <w:t>服务团队人员工作经验、所获学历、所获专业资格等情况进行评审，优得</w:t>
            </w:r>
            <w:r>
              <w:rPr>
                <w:rFonts w:hint="default" w:ascii="宋体" w:hAnsi="宋体" w:cs="宋体"/>
                <w:color w:val="auto"/>
                <w:sz w:val="24"/>
                <w:highlight w:val="none"/>
                <w:lang w:val="en-GB"/>
              </w:rPr>
              <w:t>6</w:t>
            </w:r>
            <w:r>
              <w:rPr>
                <w:rFonts w:ascii="宋体" w:hAnsi="宋体" w:cs="宋体"/>
                <w:color w:val="auto"/>
                <w:sz w:val="24"/>
                <w:highlight w:val="none"/>
                <w:lang w:val="en-GB"/>
              </w:rPr>
              <w:t>-</w:t>
            </w:r>
            <w:r>
              <w:rPr>
                <w:rFonts w:hint="default" w:ascii="宋体" w:hAnsi="宋体" w:cs="宋体"/>
                <w:color w:val="auto"/>
                <w:sz w:val="24"/>
                <w:highlight w:val="none"/>
                <w:lang w:val="en-GB"/>
              </w:rPr>
              <w:t>8</w:t>
            </w:r>
            <w:r>
              <w:rPr>
                <w:rFonts w:ascii="宋体" w:hAnsi="宋体" w:cs="宋体"/>
                <w:color w:val="auto"/>
                <w:sz w:val="24"/>
                <w:highlight w:val="none"/>
                <w:lang w:val="en-GB"/>
              </w:rPr>
              <w:t>分，较好得</w:t>
            </w:r>
            <w:r>
              <w:rPr>
                <w:rFonts w:hint="default" w:ascii="宋体" w:hAnsi="宋体" w:cs="宋体"/>
                <w:color w:val="auto"/>
                <w:sz w:val="24"/>
                <w:highlight w:val="none"/>
                <w:lang w:val="en-GB"/>
              </w:rPr>
              <w:t>3</w:t>
            </w:r>
            <w:r>
              <w:rPr>
                <w:rFonts w:ascii="宋体" w:hAnsi="宋体" w:cs="宋体"/>
                <w:color w:val="auto"/>
                <w:sz w:val="24"/>
                <w:highlight w:val="none"/>
                <w:lang w:val="en-GB"/>
              </w:rPr>
              <w:t>-</w:t>
            </w:r>
            <w:r>
              <w:rPr>
                <w:rFonts w:hint="default" w:ascii="宋体" w:hAnsi="宋体" w:cs="宋体"/>
                <w:color w:val="auto"/>
                <w:sz w:val="24"/>
                <w:highlight w:val="none"/>
                <w:lang w:val="en-GB"/>
              </w:rPr>
              <w:t>5</w:t>
            </w:r>
            <w:r>
              <w:rPr>
                <w:rFonts w:ascii="宋体" w:hAnsi="宋体" w:cs="宋体"/>
                <w:color w:val="auto"/>
                <w:sz w:val="24"/>
                <w:highlight w:val="none"/>
                <w:lang w:val="en-GB"/>
              </w:rPr>
              <w:t>分，一般得</w:t>
            </w:r>
            <w:r>
              <w:rPr>
                <w:rFonts w:hint="default" w:ascii="宋体" w:hAnsi="宋体" w:cs="宋体"/>
                <w:color w:val="auto"/>
                <w:sz w:val="24"/>
                <w:highlight w:val="none"/>
                <w:lang w:val="en-GB"/>
              </w:rPr>
              <w:t>1</w:t>
            </w:r>
            <w:r>
              <w:rPr>
                <w:rFonts w:ascii="宋体" w:hAnsi="宋体" w:cs="宋体"/>
                <w:color w:val="auto"/>
                <w:sz w:val="24"/>
                <w:highlight w:val="none"/>
                <w:lang w:val="en-GB"/>
              </w:rPr>
              <w:t>-</w:t>
            </w:r>
            <w:r>
              <w:rPr>
                <w:rFonts w:hint="default" w:ascii="宋体" w:hAnsi="宋体" w:cs="宋体"/>
                <w:color w:val="auto"/>
                <w:sz w:val="24"/>
                <w:highlight w:val="none"/>
                <w:lang w:val="en-GB"/>
              </w:rPr>
              <w:t>2</w:t>
            </w:r>
            <w:r>
              <w:rPr>
                <w:rFonts w:ascii="宋体" w:hAnsi="宋体" w:cs="宋体"/>
                <w:color w:val="auto"/>
                <w:sz w:val="24"/>
                <w:highlight w:val="none"/>
                <w:lang w:val="en-GB"/>
              </w:rPr>
              <w:t>分，差或不提供不得分；</w:t>
            </w:r>
          </w:p>
        </w:tc>
        <w:tc>
          <w:tcPr>
            <w:tcW w:w="848" w:type="dxa"/>
            <w:tcBorders>
              <w:top w:val="single" w:color="auto" w:sz="4" w:space="0"/>
              <w:bottom w:val="single" w:color="auto" w:sz="4" w:space="0"/>
            </w:tcBorders>
            <w:vAlign w:val="center"/>
          </w:tcPr>
          <w:p>
            <w:pPr>
              <w:widowControl/>
              <w:tabs>
                <w:tab w:val="left" w:pos="1736"/>
              </w:tabs>
              <w:snapToGrid w:val="0"/>
              <w:spacing w:line="360" w:lineRule="atLeast"/>
              <w:jc w:val="center"/>
              <w:rPr>
                <w:rFonts w:ascii="宋体" w:hAnsi="宋体" w:cs="宋体"/>
                <w:color w:val="auto"/>
                <w:sz w:val="24"/>
                <w:highlight w:val="none"/>
              </w:rPr>
            </w:pPr>
            <w:r>
              <w:rPr>
                <w:rFonts w:ascii="宋体" w:hAnsi="宋体" w:cs="宋体"/>
                <w:color w:val="auto"/>
                <w:sz w:val="24"/>
                <w:highlight w:val="none"/>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1076" w:type="dxa"/>
            <w:vMerge w:val="continue"/>
            <w:tcBorders>
              <w:right w:val="single" w:color="auto" w:sz="4" w:space="0"/>
            </w:tcBorders>
            <w:vAlign w:val="center"/>
          </w:tcPr>
          <w:p>
            <w:pPr>
              <w:spacing w:line="360" w:lineRule="atLeast"/>
              <w:rPr>
                <w:rFonts w:ascii="宋体" w:hAnsi="宋体" w:cs="宋体"/>
                <w:color w:val="auto"/>
                <w:sz w:val="24"/>
                <w:highlight w:val="none"/>
              </w:rPr>
            </w:pPr>
          </w:p>
        </w:tc>
        <w:tc>
          <w:tcPr>
            <w:tcW w:w="1475" w:type="dxa"/>
            <w:vMerge w:val="restart"/>
            <w:tcBorders>
              <w:left w:val="single" w:color="auto" w:sz="4" w:space="0"/>
            </w:tcBorders>
            <w:vAlign w:val="center"/>
          </w:tcPr>
          <w:p>
            <w:pPr>
              <w:tabs>
                <w:tab w:val="left" w:pos="1736"/>
              </w:tabs>
              <w:spacing w:line="360" w:lineRule="atLeast"/>
              <w:jc w:val="center"/>
              <w:rPr>
                <w:rFonts w:ascii="宋体" w:hAnsi="宋体" w:cs="宋体"/>
                <w:color w:val="auto"/>
                <w:sz w:val="24"/>
                <w:highlight w:val="none"/>
              </w:rPr>
            </w:pPr>
            <w:r>
              <w:rPr>
                <w:rFonts w:ascii="宋体" w:hAnsi="宋体" w:cs="宋体"/>
                <w:bCs/>
                <w:color w:val="auto"/>
                <w:sz w:val="24"/>
                <w:highlight w:val="none"/>
              </w:rPr>
              <w:t>认证证书</w:t>
            </w:r>
          </w:p>
        </w:tc>
        <w:tc>
          <w:tcPr>
            <w:tcW w:w="6209" w:type="dxa"/>
            <w:vAlign w:val="center"/>
          </w:tcPr>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1、投标人具有有效的质量管理体系认证证书，得</w:t>
            </w:r>
            <w:r>
              <w:rPr>
                <w:rFonts w:hint="eastAsia" w:ascii="宋体" w:hAnsi="宋体" w:cs="宋体"/>
                <w:bCs/>
                <w:color w:val="auto"/>
                <w:sz w:val="24"/>
                <w:highlight w:val="none"/>
                <w:lang w:val="en-US" w:eastAsia="zh-CN"/>
              </w:rPr>
              <w:t>1</w:t>
            </w:r>
            <w:r>
              <w:rPr>
                <w:rFonts w:ascii="宋体" w:hAnsi="宋体" w:cs="宋体"/>
                <w:bCs/>
                <w:color w:val="auto"/>
                <w:sz w:val="24"/>
                <w:highlight w:val="none"/>
              </w:rPr>
              <w:t>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2、投标人具有有效的环境管理体系认证证书，得</w:t>
            </w:r>
            <w:r>
              <w:rPr>
                <w:rFonts w:hint="eastAsia" w:ascii="宋体" w:hAnsi="宋体" w:cs="宋体"/>
                <w:bCs/>
                <w:color w:val="auto"/>
                <w:sz w:val="24"/>
                <w:highlight w:val="none"/>
                <w:lang w:val="en-US" w:eastAsia="zh-CN"/>
              </w:rPr>
              <w:t>1</w:t>
            </w:r>
            <w:r>
              <w:rPr>
                <w:rFonts w:ascii="宋体" w:hAnsi="宋体" w:cs="宋体"/>
                <w:bCs/>
                <w:color w:val="auto"/>
                <w:sz w:val="24"/>
                <w:highlight w:val="none"/>
              </w:rPr>
              <w:t>分；</w:t>
            </w:r>
          </w:p>
          <w:p>
            <w:pPr>
              <w:tabs>
                <w:tab w:val="left" w:pos="1736"/>
              </w:tabs>
              <w:wordWrap w:val="0"/>
              <w:spacing w:line="360" w:lineRule="atLeast"/>
              <w:jc w:val="left"/>
              <w:rPr>
                <w:rFonts w:hint="default" w:ascii="宋体" w:hAnsi="宋体" w:cs="宋体"/>
                <w:bCs/>
                <w:color w:val="auto"/>
                <w:sz w:val="24"/>
                <w:highlight w:val="none"/>
              </w:rPr>
            </w:pPr>
            <w:r>
              <w:rPr>
                <w:rFonts w:ascii="宋体" w:hAnsi="宋体" w:cs="宋体"/>
                <w:bCs/>
                <w:color w:val="auto"/>
                <w:sz w:val="24"/>
                <w:highlight w:val="none"/>
              </w:rPr>
              <w:t>3、投标人具有有效的职业健康安全管理体系认证证书，得</w:t>
            </w:r>
            <w:r>
              <w:rPr>
                <w:rFonts w:hint="eastAsia" w:ascii="宋体" w:hAnsi="宋体" w:cs="宋体"/>
                <w:bCs/>
                <w:color w:val="auto"/>
                <w:sz w:val="24"/>
                <w:highlight w:val="none"/>
                <w:lang w:val="en-US" w:eastAsia="zh-CN"/>
              </w:rPr>
              <w:t>1</w:t>
            </w:r>
            <w:r>
              <w:rPr>
                <w:rFonts w:ascii="宋体" w:hAnsi="宋体" w:cs="宋体"/>
                <w:bCs/>
                <w:color w:val="auto"/>
                <w:sz w:val="24"/>
                <w:highlight w:val="none"/>
              </w:rPr>
              <w:t>分。</w:t>
            </w:r>
          </w:p>
          <w:p>
            <w:pPr>
              <w:tabs>
                <w:tab w:val="left" w:pos="1736"/>
              </w:tabs>
              <w:wordWrap w:val="0"/>
              <w:spacing w:line="360" w:lineRule="atLeast"/>
              <w:jc w:val="left"/>
              <w:rPr>
                <w:rFonts w:hint="default" w:ascii="宋体" w:hAnsi="宋体" w:cs="宋体"/>
                <w:bCs/>
                <w:color w:val="auto"/>
                <w:sz w:val="24"/>
                <w:highlight w:val="none"/>
              </w:rPr>
            </w:pPr>
            <w:r>
              <w:rPr>
                <w:rFonts w:hint="default" w:ascii="宋体" w:hAnsi="宋体" w:cs="宋体"/>
                <w:bCs/>
                <w:color w:val="auto"/>
                <w:sz w:val="24"/>
                <w:highlight w:val="none"/>
              </w:rPr>
              <w:t>4</w:t>
            </w:r>
            <w:r>
              <w:rPr>
                <w:rFonts w:ascii="宋体" w:hAnsi="宋体" w:cs="宋体"/>
                <w:bCs/>
                <w:color w:val="auto"/>
                <w:sz w:val="24"/>
                <w:highlight w:val="none"/>
              </w:rPr>
              <w:t>、投标人具有有效的能源管理体系认证证书，得</w:t>
            </w:r>
            <w:r>
              <w:rPr>
                <w:rFonts w:hint="eastAsia" w:ascii="宋体" w:hAnsi="宋体" w:cs="宋体"/>
                <w:bCs/>
                <w:color w:val="auto"/>
                <w:sz w:val="24"/>
                <w:highlight w:val="none"/>
                <w:lang w:val="en-US" w:eastAsia="zh-CN"/>
              </w:rPr>
              <w:t>1</w:t>
            </w:r>
            <w:r>
              <w:rPr>
                <w:rFonts w:ascii="宋体" w:hAnsi="宋体" w:cs="宋体"/>
                <w:bCs/>
                <w:color w:val="auto"/>
                <w:sz w:val="24"/>
                <w:highlight w:val="none"/>
              </w:rPr>
              <w:t>分。</w:t>
            </w:r>
          </w:p>
          <w:p>
            <w:pPr>
              <w:tabs>
                <w:tab w:val="left" w:pos="1736"/>
              </w:tabs>
              <w:wordWrap w:val="0"/>
              <w:spacing w:line="360" w:lineRule="atLeast"/>
              <w:jc w:val="left"/>
              <w:rPr>
                <w:rFonts w:hint="default" w:ascii="宋体" w:hAnsi="宋体" w:cs="宋体"/>
                <w:bCs/>
                <w:color w:val="auto"/>
                <w:sz w:val="24"/>
                <w:highlight w:val="none"/>
              </w:rPr>
            </w:pPr>
            <w:r>
              <w:rPr>
                <w:rFonts w:hint="default" w:ascii="宋体" w:hAnsi="宋体" w:cs="宋体"/>
                <w:bCs/>
                <w:color w:val="auto"/>
                <w:sz w:val="24"/>
                <w:highlight w:val="none"/>
              </w:rPr>
              <w:t>5</w:t>
            </w:r>
            <w:r>
              <w:rPr>
                <w:rFonts w:ascii="宋体" w:hAnsi="宋体" w:cs="宋体"/>
                <w:bCs/>
                <w:color w:val="auto"/>
                <w:sz w:val="24"/>
                <w:highlight w:val="none"/>
              </w:rPr>
              <w:t>、投标人具有有效的测量管理体系认证证书，得</w:t>
            </w:r>
            <w:r>
              <w:rPr>
                <w:rFonts w:hint="eastAsia" w:ascii="宋体" w:hAnsi="宋体" w:cs="宋体"/>
                <w:bCs/>
                <w:color w:val="auto"/>
                <w:sz w:val="24"/>
                <w:highlight w:val="none"/>
                <w:lang w:val="en-US" w:eastAsia="zh-CN"/>
              </w:rPr>
              <w:t>1</w:t>
            </w:r>
            <w:r>
              <w:rPr>
                <w:rFonts w:ascii="宋体" w:hAnsi="宋体" w:cs="宋体"/>
                <w:bCs/>
                <w:color w:val="auto"/>
                <w:sz w:val="24"/>
                <w:highlight w:val="none"/>
              </w:rPr>
              <w:t>分。</w:t>
            </w:r>
          </w:p>
          <w:p>
            <w:pPr>
              <w:tabs>
                <w:tab w:val="left" w:pos="1736"/>
              </w:tabs>
              <w:wordWrap w:val="0"/>
              <w:spacing w:line="360" w:lineRule="atLeast"/>
              <w:jc w:val="left"/>
              <w:rPr>
                <w:rFonts w:ascii="宋体" w:hAnsi="宋体" w:cs="宋体"/>
                <w:bCs/>
                <w:color w:val="auto"/>
                <w:sz w:val="24"/>
                <w:highlight w:val="none"/>
              </w:rPr>
            </w:pPr>
            <w:r>
              <w:rPr>
                <w:rFonts w:hint="default" w:ascii="宋体" w:hAnsi="宋体" w:cs="宋体"/>
                <w:bCs/>
                <w:color w:val="auto"/>
                <w:sz w:val="24"/>
                <w:highlight w:val="none"/>
              </w:rPr>
              <w:t>6</w:t>
            </w:r>
            <w:r>
              <w:rPr>
                <w:rFonts w:ascii="宋体" w:hAnsi="宋体" w:cs="宋体"/>
                <w:bCs/>
                <w:color w:val="auto"/>
                <w:sz w:val="24"/>
                <w:highlight w:val="none"/>
              </w:rPr>
              <w:t>、投标人具有有效的电气与电子元件和产品有害物质过程控制管理体系认证证书，得</w:t>
            </w:r>
            <w:r>
              <w:rPr>
                <w:rFonts w:hint="eastAsia" w:ascii="宋体" w:hAnsi="宋体" w:cs="宋体"/>
                <w:bCs/>
                <w:color w:val="auto"/>
                <w:sz w:val="24"/>
                <w:highlight w:val="none"/>
                <w:lang w:val="en-US" w:eastAsia="zh-CN"/>
              </w:rPr>
              <w:t>1</w:t>
            </w:r>
            <w:r>
              <w:rPr>
                <w:rFonts w:ascii="宋体" w:hAnsi="宋体" w:cs="宋体"/>
                <w:bCs/>
                <w:color w:val="auto"/>
                <w:sz w:val="24"/>
                <w:highlight w:val="none"/>
              </w:rPr>
              <w:t>分。</w:t>
            </w:r>
          </w:p>
          <w:p>
            <w:pPr>
              <w:tabs>
                <w:tab w:val="left" w:pos="1736"/>
              </w:tabs>
              <w:wordWrap w:val="0"/>
              <w:spacing w:line="360" w:lineRule="atLeast"/>
              <w:jc w:val="left"/>
              <w:rPr>
                <w:rFonts w:ascii="宋体" w:hAnsi="宋体" w:cs="宋体"/>
                <w:color w:val="auto"/>
                <w:sz w:val="24"/>
                <w:highlight w:val="none"/>
              </w:rPr>
            </w:pPr>
            <w:r>
              <w:rPr>
                <w:rFonts w:ascii="宋体" w:hAnsi="宋体" w:cs="宋体"/>
                <w:color w:val="auto"/>
                <w:sz w:val="24"/>
                <w:highlight w:val="none"/>
                <w:lang w:val="en-GB"/>
              </w:rPr>
              <w:t>注：本项合计</w:t>
            </w:r>
            <w:r>
              <w:rPr>
                <w:rFonts w:ascii="宋体" w:hAnsi="宋体" w:cs="宋体"/>
                <w:color w:val="auto"/>
                <w:sz w:val="24"/>
                <w:highlight w:val="none"/>
              </w:rPr>
              <w:t>最高得</w:t>
            </w:r>
            <w:r>
              <w:rPr>
                <w:rFonts w:hint="eastAsia" w:ascii="宋体" w:hAnsi="宋体" w:cs="宋体"/>
                <w:color w:val="auto"/>
                <w:sz w:val="24"/>
                <w:highlight w:val="none"/>
                <w:lang w:val="en-US" w:eastAsia="zh-CN"/>
              </w:rPr>
              <w:t>6</w:t>
            </w:r>
            <w:r>
              <w:rPr>
                <w:rFonts w:ascii="宋体" w:hAnsi="宋体" w:cs="宋体"/>
                <w:color w:val="auto"/>
                <w:sz w:val="24"/>
                <w:highlight w:val="none"/>
              </w:rPr>
              <w:t>分。</w:t>
            </w:r>
            <w:r>
              <w:rPr>
                <w:rFonts w:ascii="宋体" w:hAnsi="宋体" w:cs="宋体"/>
                <w:color w:val="auto"/>
                <w:sz w:val="24"/>
                <w:highlight w:val="none"/>
                <w:lang w:val="en-GB"/>
              </w:rPr>
              <w:t>提供国家认证认可监督管理委员会信息中心的认证认可业务信息统一查询平台(http://cx.cnca.cn/)中查询其证书信息的网页打印件，不提供不得分。</w:t>
            </w:r>
          </w:p>
        </w:tc>
        <w:tc>
          <w:tcPr>
            <w:tcW w:w="848" w:type="dxa"/>
            <w:tcBorders>
              <w:top w:val="single" w:color="auto" w:sz="4" w:space="0"/>
              <w:bottom w:val="single" w:color="auto" w:sz="4" w:space="0"/>
            </w:tcBorders>
            <w:vAlign w:val="center"/>
          </w:tcPr>
          <w:p>
            <w:pPr>
              <w:tabs>
                <w:tab w:val="left" w:pos="1736"/>
              </w:tabs>
              <w:spacing w:line="360" w:lineRule="atLeast"/>
              <w:jc w:val="center"/>
              <w:rPr>
                <w:rFonts w:hint="eastAsia" w:ascii="宋体" w:hAnsi="宋体" w:eastAsia="宋体" w:cs="宋体"/>
                <w:color w:val="auto"/>
                <w:sz w:val="24"/>
                <w:highlight w:val="none"/>
                <w:lang w:eastAsia="zh-CN"/>
              </w:rPr>
            </w:pPr>
            <w:r>
              <w:rPr>
                <w:rFonts w:hint="eastAsia" w:ascii="宋体" w:hAnsi="宋体" w:cs="宋体"/>
                <w:bCs/>
                <w:color w:val="auto"/>
                <w:sz w:val="24"/>
                <w:highlight w:val="none"/>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1076" w:type="dxa"/>
            <w:vMerge w:val="continue"/>
            <w:tcBorders>
              <w:right w:val="single" w:color="auto" w:sz="4" w:space="0"/>
            </w:tcBorders>
            <w:vAlign w:val="center"/>
          </w:tcPr>
          <w:p>
            <w:pPr>
              <w:spacing w:line="360" w:lineRule="atLeast"/>
              <w:rPr>
                <w:rFonts w:ascii="宋体" w:hAnsi="宋体" w:cs="宋体"/>
                <w:color w:val="auto"/>
                <w:sz w:val="24"/>
                <w:highlight w:val="none"/>
              </w:rPr>
            </w:pPr>
          </w:p>
        </w:tc>
        <w:tc>
          <w:tcPr>
            <w:tcW w:w="1475" w:type="dxa"/>
            <w:vMerge w:val="continue"/>
            <w:tcBorders>
              <w:left w:val="single" w:color="auto" w:sz="4" w:space="0"/>
            </w:tcBorders>
            <w:vAlign w:val="center"/>
          </w:tcPr>
          <w:p>
            <w:pPr>
              <w:tabs>
                <w:tab w:val="left" w:pos="1736"/>
              </w:tabs>
              <w:spacing w:line="360" w:lineRule="atLeast"/>
              <w:jc w:val="center"/>
              <w:rPr>
                <w:rFonts w:ascii="宋体" w:hAnsi="宋体" w:cs="宋体"/>
                <w:bCs/>
                <w:color w:val="auto"/>
                <w:sz w:val="24"/>
                <w:highlight w:val="none"/>
              </w:rPr>
            </w:pPr>
          </w:p>
        </w:tc>
        <w:tc>
          <w:tcPr>
            <w:tcW w:w="6209" w:type="dxa"/>
            <w:vAlign w:val="center"/>
          </w:tcPr>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投标人具有全国所有省份五星级电动汽车充换电设施服务评价证书的得2分。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注：需提供第三方机构出具的认证证书复印件作为证明材料，否则不得分。</w:t>
            </w:r>
          </w:p>
        </w:tc>
        <w:tc>
          <w:tcPr>
            <w:tcW w:w="848" w:type="dxa"/>
            <w:tcBorders>
              <w:top w:val="single" w:color="auto" w:sz="4" w:space="0"/>
              <w:bottom w:val="single" w:color="auto" w:sz="4" w:space="0"/>
            </w:tcBorders>
            <w:vAlign w:val="center"/>
          </w:tcPr>
          <w:p>
            <w:pPr>
              <w:tabs>
                <w:tab w:val="left" w:pos="1736"/>
              </w:tabs>
              <w:spacing w:line="360" w:lineRule="atLeast"/>
              <w:jc w:val="center"/>
              <w:rPr>
                <w:rFonts w:hint="default" w:ascii="宋体" w:hAnsi="宋体" w:cs="宋体"/>
                <w:bCs/>
                <w:color w:val="auto"/>
                <w:sz w:val="24"/>
                <w:highlight w:val="none"/>
              </w:rPr>
            </w:pPr>
            <w:r>
              <w:rPr>
                <w:rFonts w:ascii="宋体" w:hAnsi="宋体" w:cs="宋体"/>
                <w:bCs/>
                <w:color w:val="auto"/>
                <w:sz w:val="24"/>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1076" w:type="dxa"/>
            <w:vMerge w:val="continue"/>
            <w:tcBorders>
              <w:right w:val="single" w:color="auto" w:sz="4" w:space="0"/>
            </w:tcBorders>
            <w:vAlign w:val="center"/>
          </w:tcPr>
          <w:p>
            <w:pPr>
              <w:spacing w:line="360" w:lineRule="atLeast"/>
              <w:rPr>
                <w:rFonts w:ascii="宋体" w:hAnsi="宋体" w:cs="宋体"/>
                <w:color w:val="auto"/>
                <w:sz w:val="24"/>
                <w:highlight w:val="none"/>
              </w:rPr>
            </w:pPr>
          </w:p>
        </w:tc>
        <w:tc>
          <w:tcPr>
            <w:tcW w:w="1475" w:type="dxa"/>
            <w:vMerge w:val="continue"/>
            <w:tcBorders>
              <w:left w:val="single" w:color="auto" w:sz="4" w:space="0"/>
            </w:tcBorders>
            <w:vAlign w:val="center"/>
          </w:tcPr>
          <w:p>
            <w:pPr>
              <w:tabs>
                <w:tab w:val="left" w:pos="1736"/>
              </w:tabs>
              <w:spacing w:line="360" w:lineRule="atLeast"/>
              <w:jc w:val="center"/>
              <w:rPr>
                <w:rFonts w:ascii="宋体" w:hAnsi="宋体" w:cs="宋体"/>
                <w:bCs/>
                <w:color w:val="auto"/>
                <w:sz w:val="24"/>
                <w:highlight w:val="none"/>
              </w:rPr>
            </w:pPr>
          </w:p>
        </w:tc>
        <w:tc>
          <w:tcPr>
            <w:tcW w:w="6209" w:type="dxa"/>
            <w:vAlign w:val="center"/>
          </w:tcPr>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投标人或其全资控股的一级子公司具有五星级电动汽车充换电设施运营管理服务认证的得2分。</w:t>
            </w:r>
          </w:p>
          <w:p>
            <w:pPr>
              <w:tabs>
                <w:tab w:val="left" w:pos="1736"/>
              </w:tabs>
              <w:spacing w:line="360" w:lineRule="atLeast"/>
              <w:jc w:val="left"/>
              <w:rPr>
                <w:rFonts w:ascii="宋体" w:hAnsi="宋体" w:cs="宋体"/>
                <w:bCs/>
                <w:color w:val="auto"/>
                <w:sz w:val="24"/>
                <w:highlight w:val="none"/>
              </w:rPr>
            </w:pPr>
            <w:r>
              <w:rPr>
                <w:rFonts w:ascii="宋体" w:hAnsi="宋体" w:cs="宋体"/>
                <w:bCs/>
                <w:color w:val="auto"/>
                <w:sz w:val="24"/>
                <w:highlight w:val="none"/>
              </w:rPr>
              <w:t>注：需提供第三方机构出具的认证证书复印件作为证明材料，否则不得分。</w:t>
            </w:r>
          </w:p>
        </w:tc>
        <w:tc>
          <w:tcPr>
            <w:tcW w:w="848" w:type="dxa"/>
            <w:tcBorders>
              <w:top w:val="single" w:color="auto" w:sz="4" w:space="0"/>
              <w:bottom w:val="single" w:color="auto" w:sz="4" w:space="0"/>
            </w:tcBorders>
            <w:vAlign w:val="center"/>
          </w:tcPr>
          <w:p>
            <w:pPr>
              <w:tabs>
                <w:tab w:val="left" w:pos="1736"/>
              </w:tabs>
              <w:spacing w:line="360" w:lineRule="atLeast"/>
              <w:jc w:val="center"/>
              <w:rPr>
                <w:rFonts w:hint="default" w:ascii="宋体" w:hAnsi="宋体" w:cs="宋体"/>
                <w:bCs/>
                <w:color w:val="auto"/>
                <w:sz w:val="24"/>
                <w:highlight w:val="none"/>
              </w:rPr>
            </w:pPr>
            <w:r>
              <w:rPr>
                <w:rFonts w:ascii="宋体" w:hAnsi="宋体" w:cs="宋体"/>
                <w:bCs/>
                <w:color w:val="auto"/>
                <w:sz w:val="24"/>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jc w:val="center"/>
        </w:trPr>
        <w:tc>
          <w:tcPr>
            <w:tcW w:w="1076" w:type="dxa"/>
            <w:vMerge w:val="continue"/>
            <w:tcBorders>
              <w:right w:val="single" w:color="auto" w:sz="4" w:space="0"/>
            </w:tcBorders>
            <w:vAlign w:val="center"/>
          </w:tcPr>
          <w:p>
            <w:pPr>
              <w:spacing w:line="360" w:lineRule="atLeast"/>
              <w:rPr>
                <w:rFonts w:ascii="宋体" w:hAnsi="宋体" w:cs="宋体"/>
                <w:color w:val="auto"/>
                <w:sz w:val="24"/>
                <w:highlight w:val="none"/>
              </w:rPr>
            </w:pPr>
          </w:p>
        </w:tc>
        <w:tc>
          <w:tcPr>
            <w:tcW w:w="1475" w:type="dxa"/>
            <w:tcBorders>
              <w:left w:val="single" w:color="auto" w:sz="4" w:space="0"/>
            </w:tcBorders>
            <w:vAlign w:val="center"/>
          </w:tcPr>
          <w:p>
            <w:pPr>
              <w:tabs>
                <w:tab w:val="left" w:pos="1736"/>
              </w:tabs>
              <w:spacing w:line="360" w:lineRule="atLeast"/>
              <w:jc w:val="center"/>
              <w:rPr>
                <w:rFonts w:ascii="宋体" w:hAnsi="宋体" w:cs="宋体"/>
                <w:color w:val="auto"/>
                <w:sz w:val="24"/>
                <w:highlight w:val="none"/>
              </w:rPr>
            </w:pPr>
            <w:r>
              <w:rPr>
                <w:rFonts w:ascii="宋体" w:hAnsi="宋体" w:cs="宋体"/>
                <w:color w:val="auto"/>
                <w:sz w:val="24"/>
                <w:highlight w:val="none"/>
              </w:rPr>
              <w:t>投标人信用</w:t>
            </w:r>
          </w:p>
        </w:tc>
        <w:tc>
          <w:tcPr>
            <w:tcW w:w="6209" w:type="dxa"/>
            <w:vAlign w:val="center"/>
          </w:tcPr>
          <w:p>
            <w:pPr>
              <w:tabs>
                <w:tab w:val="left" w:pos="1736"/>
              </w:tabs>
              <w:wordWrap w:val="0"/>
              <w:spacing w:line="360" w:lineRule="atLeast"/>
              <w:jc w:val="left"/>
              <w:rPr>
                <w:rFonts w:ascii="宋体" w:hAnsi="宋体" w:cs="宋体"/>
                <w:color w:val="auto"/>
                <w:sz w:val="24"/>
                <w:highlight w:val="none"/>
                <w:lang w:val="en-GB"/>
              </w:rPr>
            </w:pPr>
            <w:r>
              <w:rPr>
                <w:rFonts w:ascii="宋体" w:hAnsi="宋体" w:cs="宋体"/>
                <w:color w:val="auto"/>
                <w:sz w:val="24"/>
                <w:highlight w:val="none"/>
                <w:lang w:val="en-GB"/>
              </w:rPr>
              <w:t>投标人获得注册所在地信用主管部门登记备案的信用服务机构（须经过中国人民银行备案认可） 出具有效期内AAA级资信等级证书的得</w:t>
            </w:r>
            <w:r>
              <w:rPr>
                <w:rFonts w:hint="eastAsia" w:ascii="宋体" w:hAnsi="宋体" w:cs="宋体"/>
                <w:color w:val="auto"/>
                <w:sz w:val="24"/>
                <w:highlight w:val="none"/>
                <w:lang w:val="en-US" w:eastAsia="zh-CN"/>
              </w:rPr>
              <w:t>3</w:t>
            </w:r>
            <w:r>
              <w:rPr>
                <w:rFonts w:ascii="宋体" w:hAnsi="宋体" w:cs="宋体"/>
                <w:color w:val="auto"/>
                <w:sz w:val="24"/>
                <w:highlight w:val="none"/>
                <w:lang w:val="en-GB"/>
              </w:rPr>
              <w:t>分，AA级信用等级证书的得1分，其他不得分。</w:t>
            </w:r>
          </w:p>
          <w:p>
            <w:pPr>
              <w:tabs>
                <w:tab w:val="left" w:pos="1736"/>
              </w:tabs>
              <w:wordWrap w:val="0"/>
              <w:spacing w:line="360" w:lineRule="atLeast"/>
              <w:jc w:val="left"/>
              <w:rPr>
                <w:rFonts w:ascii="宋体" w:hAnsi="宋体" w:cs="宋体"/>
                <w:color w:val="auto"/>
                <w:sz w:val="24"/>
                <w:highlight w:val="none"/>
                <w:lang w:val="en-GB"/>
              </w:rPr>
            </w:pPr>
            <w:r>
              <w:rPr>
                <w:rFonts w:ascii="宋体" w:hAnsi="宋体" w:cs="宋体"/>
                <w:color w:val="auto"/>
                <w:sz w:val="24"/>
                <w:highlight w:val="none"/>
                <w:lang w:val="en-GB"/>
              </w:rPr>
              <w:t>注：需提供信用等级证书，否则不得分</w:t>
            </w:r>
          </w:p>
        </w:tc>
        <w:tc>
          <w:tcPr>
            <w:tcW w:w="848" w:type="dxa"/>
            <w:tcBorders>
              <w:top w:val="single" w:color="auto" w:sz="4" w:space="0"/>
              <w:bottom w:val="single" w:color="auto" w:sz="4" w:space="0"/>
            </w:tcBorders>
            <w:vAlign w:val="center"/>
          </w:tcPr>
          <w:p>
            <w:pPr>
              <w:tabs>
                <w:tab w:val="left" w:pos="1736"/>
              </w:tabs>
              <w:spacing w:line="360" w:lineRule="atLeast"/>
              <w:jc w:val="center"/>
              <w:rPr>
                <w:rFonts w:ascii="宋体" w:hAnsi="宋体" w:cs="宋体"/>
                <w:color w:val="auto"/>
                <w:sz w:val="24"/>
                <w:highlight w:val="none"/>
              </w:rPr>
            </w:pPr>
            <w:r>
              <w:rPr>
                <w:rFonts w:ascii="宋体" w:hAnsi="宋体" w:cs="宋体"/>
                <w:color w:val="auto"/>
                <w:sz w:val="24"/>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jc w:val="center"/>
        </w:trPr>
        <w:tc>
          <w:tcPr>
            <w:tcW w:w="1076" w:type="dxa"/>
            <w:vMerge w:val="continue"/>
            <w:tcBorders>
              <w:right w:val="single" w:color="auto" w:sz="4" w:space="0"/>
            </w:tcBorders>
            <w:vAlign w:val="center"/>
          </w:tcPr>
          <w:p>
            <w:pPr>
              <w:spacing w:line="360" w:lineRule="atLeast"/>
              <w:rPr>
                <w:rFonts w:ascii="宋体" w:hAnsi="宋体" w:cs="宋体"/>
                <w:color w:val="auto"/>
                <w:sz w:val="24"/>
                <w:highlight w:val="none"/>
              </w:rPr>
            </w:pPr>
          </w:p>
        </w:tc>
        <w:tc>
          <w:tcPr>
            <w:tcW w:w="1475" w:type="dxa"/>
            <w:tcBorders>
              <w:left w:val="single" w:color="auto" w:sz="4" w:space="0"/>
            </w:tcBorders>
            <w:vAlign w:val="center"/>
          </w:tcPr>
          <w:p>
            <w:pPr>
              <w:tabs>
                <w:tab w:val="left" w:pos="1736"/>
              </w:tabs>
              <w:spacing w:line="360" w:lineRule="atLeast"/>
              <w:jc w:val="center"/>
              <w:rPr>
                <w:rFonts w:ascii="宋体" w:hAnsi="宋体" w:cs="宋体"/>
                <w:color w:val="auto"/>
                <w:sz w:val="24"/>
                <w:highlight w:val="none"/>
              </w:rPr>
            </w:pPr>
            <w:r>
              <w:rPr>
                <w:rFonts w:hint="eastAsia" w:ascii="宋体" w:hAnsi="宋体" w:cs="宋体"/>
                <w:color w:val="auto"/>
                <w:sz w:val="24"/>
                <w:highlight w:val="none"/>
              </w:rPr>
              <w:t>同类业绩</w:t>
            </w:r>
          </w:p>
        </w:tc>
        <w:tc>
          <w:tcPr>
            <w:tcW w:w="6209" w:type="dxa"/>
            <w:vAlign w:val="center"/>
          </w:tcPr>
          <w:p>
            <w:pPr>
              <w:tabs>
                <w:tab w:val="left" w:pos="1736"/>
              </w:tabs>
              <w:wordWrap w:val="0"/>
              <w:spacing w:line="360" w:lineRule="atLeast"/>
              <w:jc w:val="left"/>
              <w:rPr>
                <w:rFonts w:ascii="宋体" w:hAnsi="宋体" w:cs="宋体"/>
                <w:color w:val="auto"/>
                <w:sz w:val="24"/>
                <w:highlight w:val="none"/>
                <w:lang w:val="en-GB"/>
              </w:rPr>
            </w:pPr>
            <w:r>
              <w:rPr>
                <w:rFonts w:ascii="宋体" w:hAnsi="宋体" w:cs="宋体"/>
                <w:color w:val="auto"/>
                <w:sz w:val="24"/>
                <w:highlight w:val="none"/>
                <w:lang w:val="en-GB"/>
              </w:rPr>
              <w:t>投标人自201</w:t>
            </w:r>
            <w:r>
              <w:rPr>
                <w:rFonts w:hint="eastAsia" w:ascii="宋体" w:hAnsi="宋体" w:cs="宋体"/>
                <w:color w:val="auto"/>
                <w:sz w:val="24"/>
                <w:highlight w:val="none"/>
                <w:lang w:val="en-US" w:eastAsia="zh-CN"/>
              </w:rPr>
              <w:t>9</w:t>
            </w:r>
            <w:r>
              <w:rPr>
                <w:rFonts w:ascii="宋体" w:hAnsi="宋体" w:cs="宋体"/>
                <w:color w:val="auto"/>
                <w:sz w:val="24"/>
                <w:highlight w:val="none"/>
                <w:lang w:val="en-GB"/>
              </w:rPr>
              <w:t>年1月1日至今</w:t>
            </w:r>
            <w:r>
              <w:rPr>
                <w:rFonts w:hint="eastAsia" w:ascii="宋体" w:hAnsi="宋体" w:cs="宋体"/>
                <w:color w:val="auto"/>
                <w:sz w:val="24"/>
                <w:highlight w:val="none"/>
                <w:lang w:val="en-GB"/>
              </w:rPr>
              <w:t>，承建过</w:t>
            </w:r>
            <w:r>
              <w:rPr>
                <w:rFonts w:hint="eastAsia" w:ascii="宋体" w:hAnsi="宋体" w:cs="宋体"/>
                <w:color w:val="auto"/>
                <w:sz w:val="24"/>
                <w:highlight w:val="none"/>
                <w:lang w:val="en-GB" w:eastAsia="zh-CN"/>
              </w:rPr>
              <w:t>公交充电站</w:t>
            </w:r>
            <w:r>
              <w:rPr>
                <w:rFonts w:hint="eastAsia" w:ascii="宋体" w:hAnsi="宋体" w:cs="宋体"/>
                <w:color w:val="auto"/>
                <w:sz w:val="24"/>
                <w:highlight w:val="none"/>
                <w:lang w:val="en-GB"/>
              </w:rPr>
              <w:t>项目，每提供一份合同的，得</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val="en-GB"/>
              </w:rPr>
              <w:t>分，最高</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en-GB"/>
              </w:rPr>
              <w:t>分。</w:t>
            </w:r>
          </w:p>
        </w:tc>
        <w:tc>
          <w:tcPr>
            <w:tcW w:w="848" w:type="dxa"/>
            <w:tcBorders>
              <w:top w:val="single" w:color="auto" w:sz="4" w:space="0"/>
              <w:bottom w:val="single" w:color="auto" w:sz="4" w:space="0"/>
            </w:tcBorders>
            <w:vAlign w:val="center"/>
          </w:tcPr>
          <w:p>
            <w:pPr>
              <w:tabs>
                <w:tab w:val="left" w:pos="1736"/>
              </w:tabs>
              <w:spacing w:line="360" w:lineRule="atLeas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p>
        </w:tc>
      </w:tr>
    </w:tbl>
    <w:p>
      <w:pPr>
        <w:rPr>
          <w:rFonts w:ascii="宋体" w:hAnsi="宋体" w:cs="宋体"/>
          <w:b/>
          <w:bCs/>
          <w:sz w:val="24"/>
          <w:highlight w:val="none"/>
        </w:rPr>
      </w:pPr>
      <w:r>
        <w:rPr>
          <w:rFonts w:ascii="宋体" w:hAnsi="宋体" w:cs="宋体"/>
          <w:b/>
          <w:bCs/>
          <w:sz w:val="24"/>
          <w:highlight w:val="none"/>
        </w:rPr>
        <w:t>注：以上要求提供的复印件及打印件必须加盖投标人公章，不提供注明材料或注明材料不满足评审因素要求，或证明材料不清晰以致不能清晰辨认出其具体内容的，均不能计入核算范围。</w:t>
      </w:r>
    </w:p>
    <w:p>
      <w:pPr>
        <w:ind w:firstLine="482" w:firstLineChars="200"/>
        <w:jc w:val="left"/>
        <w:rPr>
          <w:rFonts w:ascii="宋体" w:hAnsi="宋体" w:cs="宋体"/>
          <w:sz w:val="24"/>
          <w:highlight w:val="none"/>
          <w:u w:val="single"/>
        </w:rPr>
      </w:pPr>
      <w:r>
        <w:rPr>
          <w:rFonts w:ascii="宋体" w:hAnsi="宋体" w:cs="宋体"/>
          <w:b/>
          <w:bCs/>
          <w:sz w:val="24"/>
          <w:highlight w:val="none"/>
        </w:rPr>
        <w:t>以上评分因素中所要求在递交投标文件时提交复印件资料的原件，供评委进行核对的内容，不提供或不满足条件的，不计入核算范围。</w:t>
      </w:r>
      <w:r>
        <w:rPr>
          <w:rFonts w:ascii="宋体" w:hAnsi="宋体" w:cs="宋体"/>
          <w:sz w:val="24"/>
          <w:highlight w:val="none"/>
        </w:rPr>
        <w:br w:type="textWrapping"/>
      </w:r>
      <w:r>
        <w:rPr>
          <w:rFonts w:ascii="宋体" w:hAnsi="宋体" w:cs="宋体"/>
          <w:sz w:val="24"/>
          <w:highlight w:val="none"/>
          <w:u w:val="single"/>
        </w:rPr>
        <w:br w:type="page"/>
      </w:r>
    </w:p>
    <w:p>
      <w:pPr>
        <w:pStyle w:val="5"/>
        <w:rPr>
          <w:rFonts w:ascii="宋体" w:hAnsi="宋体"/>
          <w:sz w:val="28"/>
          <w:szCs w:val="28"/>
          <w:highlight w:val="none"/>
        </w:rPr>
      </w:pPr>
      <w:r>
        <w:rPr>
          <w:rFonts w:ascii="宋体" w:hAnsi="宋体"/>
          <w:sz w:val="28"/>
          <w:szCs w:val="28"/>
          <w:highlight w:val="none"/>
        </w:rPr>
        <w:t>附件5价格部分评分标准</w:t>
      </w:r>
    </w:p>
    <w:p>
      <w:pPr>
        <w:jc w:val="left"/>
        <w:rPr>
          <w:rFonts w:ascii="瀹嬩綋" w:hAnsi="瀹嬩綋" w:eastAsia="瀹嬩綋"/>
          <w:sz w:val="24"/>
          <w:highlight w:val="none"/>
        </w:rPr>
      </w:pPr>
      <w:r>
        <w:rPr>
          <w:rFonts w:ascii="瀹嬩綋" w:hAnsi="瀹嬩綋" w:eastAsia="瀹嬩綋"/>
          <w:sz w:val="24"/>
          <w:highlight w:val="none"/>
        </w:rPr>
        <w:t>（1）报价要求</w:t>
      </w:r>
    </w:p>
    <w:tbl>
      <w:tblPr>
        <w:tblStyle w:val="35"/>
        <w:tblW w:w="96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6"/>
        <w:gridCol w:w="1475"/>
        <w:gridCol w:w="6209"/>
        <w:gridCol w:w="8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1076" w:type="dxa"/>
            <w:vAlign w:val="center"/>
          </w:tcPr>
          <w:p>
            <w:pPr>
              <w:spacing w:line="360" w:lineRule="atLeast"/>
              <w:jc w:val="center"/>
              <w:rPr>
                <w:rFonts w:ascii="宋体" w:hAnsi="宋体" w:cs="宋体"/>
                <w:b/>
                <w:bCs/>
                <w:sz w:val="24"/>
                <w:highlight w:val="none"/>
              </w:rPr>
            </w:pPr>
            <w:r>
              <w:rPr>
                <w:rFonts w:ascii="宋体" w:hAnsi="宋体" w:cs="宋体"/>
                <w:b/>
                <w:bCs/>
                <w:sz w:val="24"/>
                <w:highlight w:val="none"/>
              </w:rPr>
              <w:t>评审</w:t>
            </w:r>
          </w:p>
          <w:p>
            <w:pPr>
              <w:spacing w:line="360" w:lineRule="atLeast"/>
              <w:jc w:val="center"/>
              <w:rPr>
                <w:rFonts w:ascii="宋体" w:hAnsi="宋体" w:cs="宋体"/>
                <w:b/>
                <w:bCs/>
                <w:sz w:val="24"/>
                <w:highlight w:val="none"/>
              </w:rPr>
            </w:pPr>
            <w:r>
              <w:rPr>
                <w:rFonts w:ascii="宋体" w:hAnsi="宋体" w:cs="宋体"/>
                <w:b/>
                <w:bCs/>
                <w:sz w:val="24"/>
                <w:highlight w:val="none"/>
              </w:rPr>
              <w:t>内容</w:t>
            </w:r>
          </w:p>
        </w:tc>
        <w:tc>
          <w:tcPr>
            <w:tcW w:w="1475" w:type="dxa"/>
            <w:tcBorders>
              <w:bottom w:val="single" w:color="auto" w:sz="4" w:space="0"/>
            </w:tcBorders>
            <w:vAlign w:val="center"/>
          </w:tcPr>
          <w:p>
            <w:pPr>
              <w:spacing w:line="360" w:lineRule="atLeast"/>
              <w:jc w:val="center"/>
              <w:rPr>
                <w:rFonts w:ascii="宋体" w:hAnsi="宋体" w:cs="宋体"/>
                <w:b/>
                <w:bCs/>
                <w:sz w:val="24"/>
                <w:highlight w:val="none"/>
              </w:rPr>
            </w:pPr>
            <w:r>
              <w:rPr>
                <w:rFonts w:ascii="宋体" w:hAnsi="宋体" w:cs="宋体"/>
                <w:b/>
                <w:bCs/>
                <w:sz w:val="24"/>
                <w:highlight w:val="none"/>
              </w:rPr>
              <w:t>内容</w:t>
            </w:r>
          </w:p>
        </w:tc>
        <w:tc>
          <w:tcPr>
            <w:tcW w:w="6209" w:type="dxa"/>
            <w:tcBorders>
              <w:bottom w:val="single" w:color="auto" w:sz="4" w:space="0"/>
            </w:tcBorders>
            <w:vAlign w:val="center"/>
          </w:tcPr>
          <w:p>
            <w:pPr>
              <w:spacing w:line="360" w:lineRule="atLeast"/>
              <w:jc w:val="center"/>
              <w:rPr>
                <w:rFonts w:ascii="宋体" w:hAnsi="宋体" w:cs="宋体"/>
                <w:b/>
                <w:bCs/>
                <w:sz w:val="24"/>
                <w:highlight w:val="none"/>
              </w:rPr>
            </w:pPr>
            <w:r>
              <w:rPr>
                <w:rFonts w:ascii="宋体" w:hAnsi="宋体" w:cs="宋体"/>
                <w:b/>
                <w:bCs/>
                <w:sz w:val="24"/>
                <w:highlight w:val="none"/>
              </w:rPr>
              <w:t>评 审 因 素</w:t>
            </w:r>
          </w:p>
        </w:tc>
        <w:tc>
          <w:tcPr>
            <w:tcW w:w="848" w:type="dxa"/>
            <w:tcBorders>
              <w:bottom w:val="single" w:color="auto" w:sz="4" w:space="0"/>
            </w:tcBorders>
            <w:vAlign w:val="center"/>
          </w:tcPr>
          <w:p>
            <w:pPr>
              <w:spacing w:line="360" w:lineRule="atLeast"/>
              <w:jc w:val="center"/>
              <w:rPr>
                <w:rFonts w:ascii="宋体" w:hAnsi="宋体" w:cs="宋体"/>
                <w:b/>
                <w:bCs/>
                <w:sz w:val="24"/>
                <w:highlight w:val="none"/>
              </w:rPr>
            </w:pPr>
            <w:r>
              <w:rPr>
                <w:rFonts w:ascii="宋体" w:hAnsi="宋体" w:cs="宋体"/>
                <w:b/>
                <w:bCs/>
                <w:sz w:val="24"/>
                <w:highlight w:val="none"/>
              </w:rPr>
              <w:t>单项满分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8" w:hRule="atLeast"/>
          <w:jc w:val="center"/>
        </w:trPr>
        <w:tc>
          <w:tcPr>
            <w:tcW w:w="1076" w:type="dxa"/>
            <w:tcBorders>
              <w:right w:val="single" w:color="auto" w:sz="4" w:space="0"/>
            </w:tcBorders>
            <w:vAlign w:val="center"/>
          </w:tcPr>
          <w:p>
            <w:pPr>
              <w:spacing w:line="360" w:lineRule="atLeast"/>
              <w:rPr>
                <w:rFonts w:ascii="宋体" w:hAnsi="宋体" w:cs="宋体"/>
                <w:sz w:val="24"/>
                <w:highlight w:val="none"/>
              </w:rPr>
            </w:pPr>
            <w:r>
              <w:rPr>
                <w:rFonts w:ascii="宋体" w:hAnsi="宋体" w:cs="宋体"/>
                <w:sz w:val="24"/>
                <w:highlight w:val="none"/>
              </w:rPr>
              <w:t>价</w:t>
            </w:r>
            <w:r>
              <w:rPr>
                <w:rFonts w:hint="eastAsia" w:ascii="宋体" w:hAnsi="宋体" w:cs="宋体"/>
                <w:sz w:val="24"/>
                <w:highlight w:val="none"/>
                <w:lang w:val="en-US" w:eastAsia="zh-CN"/>
              </w:rPr>
              <w:t xml:space="preserve"> </w:t>
            </w:r>
            <w:r>
              <w:rPr>
                <w:rFonts w:ascii="宋体" w:hAnsi="宋体" w:cs="宋体"/>
                <w:sz w:val="24"/>
                <w:highlight w:val="none"/>
              </w:rPr>
              <w:t>格</w:t>
            </w:r>
          </w:p>
          <w:p>
            <w:pPr>
              <w:spacing w:line="360" w:lineRule="atLeast"/>
              <w:rPr>
                <w:rFonts w:ascii="宋体" w:hAnsi="宋体" w:cs="宋体"/>
                <w:sz w:val="24"/>
                <w:highlight w:val="none"/>
              </w:rPr>
            </w:pPr>
            <w:r>
              <w:rPr>
                <w:rFonts w:ascii="宋体" w:hAnsi="宋体" w:cs="宋体"/>
                <w:sz w:val="24"/>
                <w:highlight w:val="none"/>
              </w:rPr>
              <w:t>部</w:t>
            </w:r>
            <w:r>
              <w:rPr>
                <w:rFonts w:hint="eastAsia" w:ascii="宋体" w:hAnsi="宋体" w:cs="宋体"/>
                <w:sz w:val="24"/>
                <w:highlight w:val="none"/>
                <w:lang w:val="en-US" w:eastAsia="zh-CN"/>
              </w:rPr>
              <w:t xml:space="preserve"> </w:t>
            </w:r>
            <w:r>
              <w:rPr>
                <w:rFonts w:ascii="宋体" w:hAnsi="宋体" w:cs="宋体"/>
                <w:sz w:val="24"/>
                <w:highlight w:val="none"/>
              </w:rPr>
              <w:t>分</w:t>
            </w:r>
          </w:p>
          <w:p>
            <w:pPr>
              <w:spacing w:line="360" w:lineRule="atLeast"/>
              <w:rPr>
                <w:rFonts w:ascii="宋体" w:hAnsi="宋体" w:cs="宋体"/>
                <w:sz w:val="24"/>
                <w:highlight w:val="none"/>
              </w:rPr>
            </w:pPr>
            <w:r>
              <w:rPr>
                <w:rFonts w:ascii="宋体" w:hAnsi="宋体" w:cs="宋体"/>
                <w:sz w:val="24"/>
                <w:highlight w:val="none"/>
              </w:rPr>
              <w:t>20分</w:t>
            </w:r>
          </w:p>
        </w:tc>
        <w:tc>
          <w:tcPr>
            <w:tcW w:w="1475" w:type="dxa"/>
            <w:tcBorders>
              <w:top w:val="single" w:color="auto" w:sz="4" w:space="0"/>
              <w:left w:val="single" w:color="auto" w:sz="4" w:space="0"/>
              <w:bottom w:val="single" w:color="auto" w:sz="4" w:space="0"/>
              <w:right w:val="single" w:color="auto" w:sz="4" w:space="0"/>
            </w:tcBorders>
            <w:vAlign w:val="center"/>
          </w:tcPr>
          <w:p>
            <w:pPr>
              <w:tabs>
                <w:tab w:val="left" w:pos="1736"/>
              </w:tabs>
              <w:spacing w:line="360" w:lineRule="atLeast"/>
              <w:jc w:val="center"/>
              <w:rPr>
                <w:rFonts w:ascii="宋体" w:hAnsi="宋体" w:cs="宋体"/>
                <w:sz w:val="24"/>
                <w:highlight w:val="none"/>
              </w:rPr>
            </w:pPr>
            <w:r>
              <w:rPr>
                <w:rFonts w:ascii="宋体" w:hAnsi="宋体" w:cs="宋体"/>
                <w:sz w:val="24"/>
                <w:szCs w:val="24"/>
                <w:highlight w:val="none"/>
              </w:rPr>
              <w:t>充电站产生的收益分成比例报价</w:t>
            </w:r>
          </w:p>
        </w:tc>
        <w:tc>
          <w:tcPr>
            <w:tcW w:w="6209" w:type="dxa"/>
            <w:tcBorders>
              <w:top w:val="single" w:color="auto" w:sz="4" w:space="0"/>
              <w:left w:val="single" w:color="auto" w:sz="4" w:space="0"/>
              <w:bottom w:val="single" w:color="auto" w:sz="4" w:space="0"/>
              <w:right w:val="single" w:color="auto" w:sz="4" w:space="0"/>
            </w:tcBorders>
            <w:vAlign w:val="center"/>
          </w:tcPr>
          <w:p>
            <w:pPr>
              <w:tabs>
                <w:tab w:val="left" w:pos="1736"/>
              </w:tabs>
              <w:spacing w:line="360" w:lineRule="atLeast"/>
              <w:jc w:val="center"/>
              <w:rPr>
                <w:rFonts w:ascii="宋体" w:hAnsi="宋体" w:cs="宋体"/>
                <w:sz w:val="24"/>
                <w:highlight w:val="none"/>
              </w:rPr>
            </w:pPr>
            <w:r>
              <w:rPr>
                <w:rFonts w:ascii="宋体" w:hAnsi="宋体" w:cs="宋体"/>
                <w:sz w:val="24"/>
                <w:highlight w:val="none"/>
              </w:rPr>
              <w:t>投标收益分成比例报价下限值为</w:t>
            </w:r>
            <w:r>
              <w:rPr>
                <w:rFonts w:hint="eastAsia" w:ascii="宋体" w:hAnsi="宋体" w:cs="宋体"/>
                <w:sz w:val="24"/>
                <w:highlight w:val="none"/>
                <w:lang w:val="en-US" w:eastAsia="zh-CN"/>
              </w:rPr>
              <w:t>20</w:t>
            </w:r>
            <w:r>
              <w:rPr>
                <w:rFonts w:hint="default" w:ascii="宋体" w:hAnsi="宋体" w:cs="宋体"/>
                <w:sz w:val="24"/>
                <w:highlight w:val="none"/>
              </w:rPr>
              <w:t>%</w:t>
            </w:r>
            <w:r>
              <w:rPr>
                <w:rFonts w:ascii="宋体" w:hAnsi="宋体" w:cs="宋体"/>
                <w:sz w:val="24"/>
                <w:highlight w:val="none"/>
              </w:rPr>
              <w:t>，在此基础上，投标人报价每高出1</w:t>
            </w:r>
            <w:r>
              <w:rPr>
                <w:rFonts w:hint="default" w:ascii="宋体" w:hAnsi="宋体" w:cs="宋体"/>
                <w:sz w:val="24"/>
                <w:highlight w:val="none"/>
              </w:rPr>
              <w:t>%</w:t>
            </w:r>
            <w:r>
              <w:rPr>
                <w:rFonts w:ascii="宋体" w:hAnsi="宋体" w:cs="宋体"/>
                <w:sz w:val="24"/>
                <w:highlight w:val="none"/>
              </w:rPr>
              <w:t>得</w:t>
            </w:r>
            <w:r>
              <w:rPr>
                <w:rFonts w:hint="eastAsia" w:ascii="宋体" w:hAnsi="宋体" w:cs="宋体"/>
                <w:sz w:val="24"/>
                <w:highlight w:val="none"/>
                <w:lang w:val="en-US" w:eastAsia="zh-CN"/>
              </w:rPr>
              <w:t>2</w:t>
            </w:r>
            <w:r>
              <w:rPr>
                <w:rFonts w:ascii="宋体" w:hAnsi="宋体" w:cs="宋体"/>
                <w:sz w:val="24"/>
                <w:highlight w:val="none"/>
              </w:rPr>
              <w:t>分，最高得2</w:t>
            </w:r>
            <w:r>
              <w:rPr>
                <w:rFonts w:hint="default" w:ascii="宋体" w:hAnsi="宋体" w:cs="宋体"/>
                <w:sz w:val="24"/>
                <w:highlight w:val="none"/>
              </w:rPr>
              <w:t>0</w:t>
            </w:r>
            <w:r>
              <w:rPr>
                <w:rFonts w:ascii="宋体" w:hAnsi="宋体" w:cs="宋体"/>
                <w:sz w:val="24"/>
                <w:highlight w:val="none"/>
              </w:rPr>
              <w:t>分。</w:t>
            </w:r>
          </w:p>
          <w:p>
            <w:pPr>
              <w:tabs>
                <w:tab w:val="left" w:pos="1736"/>
              </w:tabs>
              <w:spacing w:line="360" w:lineRule="atLeast"/>
              <w:jc w:val="center"/>
              <w:rPr>
                <w:rFonts w:hint="default" w:ascii="宋体" w:hAnsi="宋体" w:eastAsia="宋体" w:cs="宋体"/>
                <w:sz w:val="24"/>
                <w:highlight w:val="none"/>
                <w:lang w:val="en-US" w:eastAsia="zh-CN"/>
              </w:rPr>
            </w:pPr>
            <w:r>
              <w:rPr>
                <w:rFonts w:hint="eastAsia" w:ascii="宋体" w:hAnsi="宋体" w:cs="宋体"/>
                <w:sz w:val="24"/>
                <w:highlight w:val="none"/>
                <w:lang w:eastAsia="zh-CN"/>
              </w:rPr>
              <w:t>（例如：报价</w:t>
            </w:r>
            <w:r>
              <w:rPr>
                <w:rFonts w:hint="eastAsia" w:ascii="宋体" w:hAnsi="宋体" w:cs="宋体"/>
                <w:sz w:val="24"/>
                <w:highlight w:val="none"/>
                <w:lang w:val="en-US" w:eastAsia="zh-CN"/>
              </w:rPr>
              <w:t>21%得2分，报价22%得4分，以此类推、百分比整数报价）</w:t>
            </w:r>
          </w:p>
        </w:tc>
        <w:tc>
          <w:tcPr>
            <w:tcW w:w="848" w:type="dxa"/>
            <w:tcBorders>
              <w:top w:val="single" w:color="auto" w:sz="4" w:space="0"/>
              <w:left w:val="single" w:color="auto" w:sz="4" w:space="0"/>
              <w:bottom w:val="single" w:color="auto" w:sz="4" w:space="0"/>
              <w:right w:val="single" w:color="auto" w:sz="4" w:space="0"/>
            </w:tcBorders>
            <w:vAlign w:val="center"/>
          </w:tcPr>
          <w:p>
            <w:pPr>
              <w:widowControl/>
              <w:tabs>
                <w:tab w:val="left" w:pos="1736"/>
              </w:tabs>
              <w:snapToGrid w:val="0"/>
              <w:spacing w:line="360" w:lineRule="atLeast"/>
              <w:jc w:val="center"/>
              <w:rPr>
                <w:rFonts w:hint="default" w:ascii="宋体" w:hAnsi="宋体" w:cs="宋体"/>
                <w:sz w:val="24"/>
                <w:highlight w:val="none"/>
              </w:rPr>
            </w:pPr>
            <w:r>
              <w:rPr>
                <w:rFonts w:hint="default" w:ascii="宋体" w:hAnsi="宋体" w:cs="宋体"/>
                <w:sz w:val="24"/>
                <w:highlight w:val="none"/>
              </w:rPr>
              <w:t>2</w:t>
            </w:r>
            <w:r>
              <w:rPr>
                <w:rFonts w:ascii="宋体" w:hAnsi="宋体" w:cs="宋体"/>
                <w:sz w:val="24"/>
                <w:highlight w:val="none"/>
              </w:rPr>
              <w:t>0</w:t>
            </w:r>
          </w:p>
        </w:tc>
      </w:tr>
    </w:tbl>
    <w:p>
      <w:pPr>
        <w:jc w:val="left"/>
        <w:rPr>
          <w:rFonts w:ascii="瀹嬩綋" w:hAnsi="瀹嬩綋" w:eastAsia="瀹嬩綋"/>
          <w:sz w:val="24"/>
          <w:highlight w:val="none"/>
        </w:rPr>
      </w:pPr>
    </w:p>
    <w:p>
      <w:pPr>
        <w:pStyle w:val="3"/>
        <w:spacing w:line="400" w:lineRule="exact"/>
        <w:jc w:val="left"/>
        <w:rPr>
          <w:rFonts w:ascii="宋体" w:hAnsi="宋体" w:cs="宋体"/>
          <w:b w:val="0"/>
          <w:bCs w:val="0"/>
          <w:kern w:val="2"/>
          <w:sz w:val="24"/>
          <w:szCs w:val="24"/>
          <w:highlight w:val="none"/>
        </w:rPr>
      </w:pPr>
      <w:r>
        <w:rPr>
          <w:rFonts w:ascii="宋体" w:hAnsi="宋体" w:cs="宋体"/>
          <w:b w:val="0"/>
          <w:bCs w:val="0"/>
          <w:kern w:val="2"/>
          <w:sz w:val="24"/>
          <w:szCs w:val="24"/>
          <w:highlight w:val="none"/>
        </w:rPr>
        <w:t>（2）投标人在填写租金及充电站产生的收益分成比例报价时，应根据企业自身的成本核算情况，充分考虑市场价格的波动风险。一经投标，即认为该投标人已充分考虑有关风险，愿意承担因这些风险所造成的一切经济损失，并放弃因此造成的损失求偿权。中标后，实际投标分成比例在经营期内不得调整。</w:t>
      </w:r>
    </w:p>
    <w:p>
      <w:pPr>
        <w:pStyle w:val="2"/>
        <w:spacing w:line="400" w:lineRule="exact"/>
        <w:rPr>
          <w:rFonts w:ascii="Times New Roman" w:hAnsi="Times New Roman" w:eastAsia="Times New Roman"/>
          <w:sz w:val="24"/>
          <w:highlight w:val="none"/>
        </w:rPr>
      </w:pPr>
    </w:p>
    <w:p>
      <w:pPr>
        <w:autoSpaceDE w:val="0"/>
        <w:autoSpaceDN w:val="0"/>
        <w:spacing w:line="360" w:lineRule="auto"/>
        <w:outlineLvl w:val="0"/>
        <w:rPr>
          <w:rFonts w:ascii="宋体" w:hAnsi="宋体" w:cs="宋体"/>
          <w:b/>
          <w:bCs/>
          <w:kern w:val="44"/>
          <w:sz w:val="36"/>
          <w:szCs w:val="44"/>
          <w:highlight w:val="none"/>
        </w:rPr>
      </w:pPr>
      <w:r>
        <w:rPr>
          <w:rFonts w:ascii="宋体" w:hAnsi="宋体" w:cs="宋体"/>
          <w:b/>
          <w:bCs/>
          <w:kern w:val="0"/>
          <w:sz w:val="44"/>
          <w:szCs w:val="44"/>
          <w:highlight w:val="none"/>
        </w:rPr>
        <w:br w:type="page"/>
      </w:r>
      <w:bookmarkStart w:id="147" w:name="_Toc18575"/>
      <w:r>
        <w:rPr>
          <w:rFonts w:ascii="宋体" w:hAnsi="宋体" w:cs="宋体"/>
          <w:b/>
          <w:bCs/>
          <w:kern w:val="0"/>
          <w:sz w:val="44"/>
          <w:szCs w:val="44"/>
          <w:highlight w:val="none"/>
        </w:rPr>
        <w:t>附件二  外包装封面参考格式</w:t>
      </w:r>
      <w:bookmarkEnd w:id="138"/>
      <w:bookmarkEnd w:id="139"/>
      <w:bookmarkEnd w:id="140"/>
      <w:bookmarkEnd w:id="141"/>
      <w:bookmarkEnd w:id="147"/>
    </w:p>
    <w:tbl>
      <w:tblPr>
        <w:tblStyle w:val="35"/>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5" w:hRule="atLeast"/>
        </w:trPr>
        <w:tc>
          <w:tcPr>
            <w:tcW w:w="9215" w:type="dxa"/>
            <w:vAlign w:val="top"/>
          </w:tcPr>
          <w:p>
            <w:pPr>
              <w:pStyle w:val="18"/>
              <w:tabs>
                <w:tab w:val="left" w:pos="1260"/>
              </w:tabs>
              <w:spacing w:line="360" w:lineRule="auto"/>
              <w:jc w:val="center"/>
              <w:rPr>
                <w:rFonts w:hAnsi="宋体" w:cs="宋体"/>
                <w:b/>
                <w:spacing w:val="100"/>
                <w:w w:val="110"/>
                <w:kern w:val="0"/>
                <w:sz w:val="44"/>
                <w:szCs w:val="44"/>
                <w:highlight w:val="none"/>
              </w:rPr>
            </w:pPr>
          </w:p>
          <w:p>
            <w:pPr>
              <w:pStyle w:val="18"/>
              <w:tabs>
                <w:tab w:val="left" w:pos="1260"/>
              </w:tabs>
              <w:spacing w:line="360" w:lineRule="auto"/>
              <w:jc w:val="center"/>
              <w:rPr>
                <w:rFonts w:hAnsi="宋体" w:cs="宋体"/>
                <w:b/>
                <w:spacing w:val="100"/>
                <w:w w:val="110"/>
                <w:kern w:val="0"/>
                <w:sz w:val="44"/>
                <w:szCs w:val="44"/>
                <w:highlight w:val="none"/>
              </w:rPr>
            </w:pPr>
          </w:p>
          <w:p>
            <w:pPr>
              <w:pStyle w:val="18"/>
              <w:tabs>
                <w:tab w:val="left" w:pos="1260"/>
              </w:tabs>
              <w:spacing w:line="360" w:lineRule="auto"/>
              <w:jc w:val="center"/>
              <w:rPr>
                <w:rFonts w:hAnsi="宋体" w:cs="宋体"/>
                <w:b/>
                <w:spacing w:val="100"/>
                <w:w w:val="110"/>
                <w:kern w:val="0"/>
                <w:sz w:val="44"/>
                <w:szCs w:val="44"/>
                <w:highlight w:val="none"/>
              </w:rPr>
            </w:pPr>
            <w:bookmarkStart w:id="148" w:name="OLE_LINK51"/>
            <w:r>
              <w:rPr>
                <w:rFonts w:hAnsi="宋体" w:cs="宋体"/>
                <w:b/>
                <w:spacing w:val="100"/>
                <w:w w:val="110"/>
                <w:kern w:val="0"/>
                <w:sz w:val="44"/>
                <w:szCs w:val="44"/>
                <w:highlight w:val="none"/>
              </w:rPr>
              <w:t>投标文件-资格审查部分</w:t>
            </w:r>
          </w:p>
          <w:p>
            <w:pPr>
              <w:pStyle w:val="18"/>
              <w:tabs>
                <w:tab w:val="left" w:pos="1260"/>
              </w:tabs>
              <w:spacing w:line="360" w:lineRule="auto"/>
              <w:jc w:val="center"/>
              <w:rPr>
                <w:rFonts w:hAnsi="宋体" w:cs="宋体"/>
                <w:b/>
                <w:spacing w:val="100"/>
                <w:w w:val="110"/>
                <w:sz w:val="44"/>
                <w:szCs w:val="44"/>
                <w:highlight w:val="none"/>
              </w:rPr>
            </w:pPr>
            <w:r>
              <w:rPr>
                <w:rFonts w:hAnsi="宋体" w:cs="宋体"/>
                <w:b/>
                <w:spacing w:val="100"/>
                <w:w w:val="110"/>
                <w:kern w:val="0"/>
                <w:sz w:val="44"/>
                <w:szCs w:val="44"/>
                <w:highlight w:val="none"/>
              </w:rPr>
              <w:t>/投标文件</w:t>
            </w:r>
          </w:p>
          <w:p>
            <w:pPr>
              <w:pStyle w:val="18"/>
              <w:tabs>
                <w:tab w:val="left" w:pos="1260"/>
              </w:tabs>
              <w:spacing w:line="360" w:lineRule="auto"/>
              <w:jc w:val="center"/>
              <w:rPr>
                <w:rFonts w:hAnsi="宋体" w:cs="宋体"/>
                <w:b/>
                <w:spacing w:val="100"/>
                <w:w w:val="110"/>
                <w:kern w:val="0"/>
                <w:sz w:val="44"/>
                <w:szCs w:val="44"/>
                <w:highlight w:val="none"/>
              </w:rPr>
            </w:pPr>
            <w:r>
              <w:rPr>
                <w:rFonts w:hAnsi="宋体" w:cs="宋体"/>
                <w:b/>
                <w:spacing w:val="100"/>
                <w:w w:val="110"/>
                <w:kern w:val="0"/>
                <w:sz w:val="44"/>
                <w:szCs w:val="44"/>
                <w:highlight w:val="none"/>
              </w:rPr>
              <w:t>/开标一览表</w:t>
            </w:r>
          </w:p>
          <w:p>
            <w:pPr>
              <w:pStyle w:val="18"/>
              <w:tabs>
                <w:tab w:val="left" w:pos="1260"/>
              </w:tabs>
              <w:spacing w:line="360" w:lineRule="auto"/>
              <w:jc w:val="center"/>
              <w:rPr>
                <w:rFonts w:hAnsi="宋体" w:cs="宋体"/>
                <w:b/>
                <w:spacing w:val="100"/>
                <w:w w:val="110"/>
                <w:kern w:val="0"/>
                <w:sz w:val="44"/>
                <w:szCs w:val="44"/>
                <w:highlight w:val="none"/>
              </w:rPr>
            </w:pPr>
            <w:r>
              <w:rPr>
                <w:rFonts w:hAnsi="宋体" w:cs="宋体"/>
                <w:b/>
                <w:spacing w:val="100"/>
                <w:w w:val="110"/>
                <w:kern w:val="0"/>
                <w:sz w:val="44"/>
                <w:szCs w:val="44"/>
                <w:highlight w:val="none"/>
              </w:rPr>
              <w:t>/投标文件电子版</w:t>
            </w:r>
            <w:bookmarkEnd w:id="148"/>
          </w:p>
          <w:p>
            <w:pPr>
              <w:pStyle w:val="18"/>
              <w:spacing w:line="360" w:lineRule="auto"/>
              <w:rPr>
                <w:rFonts w:hAnsi="宋体" w:cs="宋体"/>
                <w:b/>
                <w:sz w:val="28"/>
                <w:szCs w:val="28"/>
                <w:highlight w:val="none"/>
              </w:rPr>
            </w:pPr>
          </w:p>
          <w:p>
            <w:pPr>
              <w:pStyle w:val="18"/>
              <w:spacing w:line="360" w:lineRule="auto"/>
              <w:rPr>
                <w:rFonts w:hAnsi="宋体" w:cs="宋体"/>
                <w:b/>
                <w:sz w:val="28"/>
                <w:szCs w:val="28"/>
                <w:highlight w:val="none"/>
              </w:rPr>
            </w:pPr>
          </w:p>
          <w:p>
            <w:pPr>
              <w:pStyle w:val="18"/>
              <w:spacing w:line="360" w:lineRule="auto"/>
              <w:ind w:left="1260" w:leftChars="600"/>
              <w:jc w:val="left"/>
              <w:rPr>
                <w:rFonts w:hAnsi="宋体" w:cs="宋体"/>
                <w:b/>
                <w:sz w:val="28"/>
                <w:szCs w:val="28"/>
                <w:highlight w:val="none"/>
              </w:rPr>
            </w:pPr>
            <w:r>
              <w:rPr>
                <w:rFonts w:hAnsi="宋体" w:cs="宋体"/>
                <w:b/>
                <w:sz w:val="28"/>
                <w:szCs w:val="28"/>
                <w:highlight w:val="none"/>
              </w:rPr>
              <w:t>采购项目编号：</w:t>
            </w:r>
            <w:r>
              <w:rPr>
                <w:rFonts w:hAnsi="宋体" w:cs="宋体"/>
                <w:b/>
                <w:sz w:val="28"/>
                <w:szCs w:val="28"/>
                <w:highlight w:val="none"/>
                <w:u w:val="single"/>
              </w:rPr>
              <w:t xml:space="preserve">             </w:t>
            </w:r>
          </w:p>
          <w:p>
            <w:pPr>
              <w:pStyle w:val="18"/>
              <w:spacing w:line="360" w:lineRule="auto"/>
              <w:ind w:left="3228" w:leftChars="600" w:hanging="1968" w:hangingChars="700"/>
              <w:jc w:val="left"/>
              <w:rPr>
                <w:rFonts w:hAnsi="宋体" w:cs="宋体"/>
                <w:b/>
                <w:sz w:val="28"/>
                <w:szCs w:val="28"/>
                <w:highlight w:val="none"/>
                <w:u w:val="single"/>
              </w:rPr>
            </w:pPr>
            <w:r>
              <w:rPr>
                <w:rFonts w:hAnsi="宋体" w:cs="宋体"/>
                <w:b/>
                <w:sz w:val="28"/>
                <w:szCs w:val="28"/>
                <w:highlight w:val="none"/>
              </w:rPr>
              <w:t>采购项目名称：</w:t>
            </w:r>
            <w:r>
              <w:rPr>
                <w:rFonts w:hint="eastAsia" w:hAnsi="宋体" w:cs="宋体"/>
                <w:b/>
                <w:sz w:val="28"/>
                <w:szCs w:val="28"/>
                <w:highlight w:val="none"/>
                <w:u w:val="single"/>
                <w:lang w:eastAsia="zh-CN"/>
              </w:rPr>
              <w:t>景裕豪园和宇佳水岸新都花园两处公交站场充电站</w:t>
            </w:r>
            <w:r>
              <w:rPr>
                <w:rFonts w:hAnsi="宋体" w:cs="宋体"/>
                <w:b/>
                <w:sz w:val="28"/>
                <w:szCs w:val="28"/>
                <w:highlight w:val="none"/>
                <w:u w:val="single"/>
              </w:rPr>
              <w:t>建设运营服务资格项目</w:t>
            </w:r>
          </w:p>
          <w:p>
            <w:pPr>
              <w:pStyle w:val="18"/>
              <w:spacing w:line="360" w:lineRule="auto"/>
              <w:ind w:left="1260" w:leftChars="600"/>
              <w:jc w:val="left"/>
              <w:rPr>
                <w:rFonts w:hAnsi="宋体" w:cs="宋体"/>
                <w:b/>
                <w:sz w:val="28"/>
                <w:szCs w:val="28"/>
                <w:highlight w:val="none"/>
                <w:u w:val="single"/>
              </w:rPr>
            </w:pPr>
            <w:r>
              <w:rPr>
                <w:rFonts w:hAnsi="宋体" w:cs="宋体"/>
                <w:b/>
                <w:sz w:val="28"/>
                <w:szCs w:val="28"/>
                <w:highlight w:val="none"/>
              </w:rPr>
              <w:t>投标人名称：</w:t>
            </w:r>
            <w:r>
              <w:rPr>
                <w:rFonts w:hAnsi="宋体" w:cs="宋体"/>
                <w:b/>
                <w:sz w:val="28"/>
                <w:szCs w:val="28"/>
                <w:highlight w:val="none"/>
                <w:u w:val="single"/>
              </w:rPr>
              <w:t xml:space="preserve">              </w:t>
            </w:r>
          </w:p>
          <w:p>
            <w:pPr>
              <w:spacing w:line="360" w:lineRule="auto"/>
              <w:ind w:left="1260" w:leftChars="600"/>
              <w:jc w:val="left"/>
              <w:rPr>
                <w:rFonts w:ascii="宋体" w:hAnsi="宋体" w:cs="宋体"/>
                <w:b/>
                <w:sz w:val="28"/>
                <w:szCs w:val="28"/>
                <w:highlight w:val="none"/>
              </w:rPr>
            </w:pPr>
            <w:r>
              <w:rPr>
                <w:rFonts w:ascii="宋体" w:hAnsi="宋体" w:cs="宋体"/>
                <w:b/>
                <w:sz w:val="28"/>
                <w:szCs w:val="28"/>
                <w:highlight w:val="none"/>
              </w:rPr>
              <w:t>投标人地址：</w:t>
            </w:r>
            <w:r>
              <w:rPr>
                <w:rFonts w:ascii="宋体" w:hAnsi="宋体" w:cs="宋体"/>
                <w:b/>
                <w:sz w:val="28"/>
                <w:szCs w:val="28"/>
                <w:highlight w:val="none"/>
                <w:u w:val="single"/>
              </w:rPr>
              <w:t xml:space="preserve">              </w:t>
            </w:r>
            <w:r>
              <w:rPr>
                <w:rFonts w:ascii="宋体" w:hAnsi="宋体" w:cs="宋体"/>
                <w:b/>
                <w:sz w:val="28"/>
                <w:szCs w:val="28"/>
                <w:highlight w:val="none"/>
              </w:rPr>
              <w:t xml:space="preserve">      </w:t>
            </w:r>
          </w:p>
          <w:p>
            <w:pPr>
              <w:spacing w:line="360" w:lineRule="auto"/>
              <w:ind w:left="1260" w:leftChars="600"/>
              <w:jc w:val="left"/>
              <w:rPr>
                <w:rFonts w:ascii="宋体" w:hAnsi="宋体" w:cs="宋体"/>
                <w:b/>
                <w:sz w:val="28"/>
                <w:szCs w:val="28"/>
                <w:highlight w:val="none"/>
              </w:rPr>
            </w:pPr>
            <w:r>
              <w:rPr>
                <w:rFonts w:ascii="宋体" w:hAnsi="宋体" w:cs="宋体"/>
                <w:b/>
                <w:sz w:val="28"/>
                <w:szCs w:val="28"/>
                <w:highlight w:val="none"/>
              </w:rPr>
              <w:t>联系电话：</w:t>
            </w:r>
            <w:r>
              <w:rPr>
                <w:rFonts w:ascii="宋体" w:hAnsi="宋体" w:cs="宋体"/>
                <w:b/>
                <w:sz w:val="28"/>
                <w:szCs w:val="28"/>
                <w:highlight w:val="none"/>
                <w:u w:val="single"/>
              </w:rPr>
              <w:t xml:space="preserve">                </w:t>
            </w:r>
          </w:p>
          <w:p>
            <w:pPr>
              <w:spacing w:line="360" w:lineRule="auto"/>
              <w:ind w:left="1260" w:leftChars="600"/>
              <w:jc w:val="left"/>
              <w:rPr>
                <w:rFonts w:ascii="宋体" w:hAnsi="宋体" w:cs="宋体"/>
                <w:highlight w:val="none"/>
              </w:rPr>
            </w:pPr>
            <w:r>
              <w:rPr>
                <w:rFonts w:ascii="宋体" w:hAnsi="宋体" w:cs="宋体"/>
                <w:b/>
                <w:sz w:val="28"/>
                <w:szCs w:val="28"/>
                <w:highlight w:val="none"/>
              </w:rPr>
              <w:t>在2022年  月  日  时  分之前不得启封</w:t>
            </w:r>
          </w:p>
        </w:tc>
      </w:tr>
    </w:tbl>
    <w:p>
      <w:pPr>
        <w:spacing w:line="360" w:lineRule="auto"/>
        <w:ind w:firstLine="630" w:firstLineChars="300"/>
        <w:jc w:val="left"/>
        <w:rPr>
          <w:rFonts w:ascii="宋体" w:hAnsi="宋体" w:cs="宋体"/>
          <w:highlight w:val="none"/>
        </w:rPr>
      </w:pPr>
      <w:r>
        <w:rPr>
          <w:rFonts w:ascii="宋体" w:hAnsi="宋体" w:cs="宋体"/>
          <w:highlight w:val="none"/>
        </w:rPr>
        <w:t>注：以上</w:t>
      </w:r>
      <w:bookmarkStart w:id="149" w:name="OLE_LINK52"/>
      <w:r>
        <w:rPr>
          <w:rFonts w:ascii="宋体" w:hAnsi="宋体" w:cs="宋体"/>
          <w:highlight w:val="none"/>
        </w:rPr>
        <w:t>“投标文件-资格审查部分/投标文件/开标一览表/投标文件电子版”</w:t>
      </w:r>
      <w:bookmarkEnd w:id="149"/>
      <w:r>
        <w:rPr>
          <w:rFonts w:ascii="宋体" w:hAnsi="宋体" w:cs="宋体"/>
          <w:highlight w:val="none"/>
        </w:rPr>
        <w:t>标记的位置，根据“投标文件-资格审查部分”、“投标文件”、“开标一览表”、“投标文件电子版”实际内容分别标记于不同信封或文件袋中。</w:t>
      </w:r>
    </w:p>
    <w:p>
      <w:pPr>
        <w:pStyle w:val="2"/>
        <w:rPr>
          <w:rFonts w:ascii="宋体" w:hAnsi="宋体" w:cs="宋体"/>
          <w:highlight w:val="none"/>
        </w:rPr>
      </w:pPr>
    </w:p>
    <w:p>
      <w:pPr>
        <w:spacing w:line="360" w:lineRule="auto"/>
        <w:jc w:val="left"/>
        <w:rPr>
          <w:rFonts w:hint="eastAsia" w:asciiTheme="minorEastAsia" w:hAnsiTheme="minorEastAsia" w:eastAsiaTheme="minorEastAsia"/>
          <w:b/>
          <w:sz w:val="52"/>
          <w:szCs w:val="52"/>
          <w:highlight w:val="none"/>
          <w:lang w:eastAsia="zh-CN"/>
        </w:rPr>
      </w:pPr>
      <w:r>
        <w:rPr>
          <w:rFonts w:hint="eastAsia" w:asciiTheme="minorEastAsia" w:hAnsiTheme="minorEastAsia" w:eastAsiaTheme="minorEastAsia"/>
          <w:b/>
          <w:sz w:val="52"/>
          <w:szCs w:val="52"/>
          <w:highlight w:val="none"/>
          <w:lang w:eastAsia="zh-CN"/>
        </w:rPr>
        <w:t>附件：</w:t>
      </w:r>
    </w:p>
    <w:p>
      <w:pPr>
        <w:spacing w:line="360" w:lineRule="auto"/>
        <w:jc w:val="center"/>
        <w:rPr>
          <w:rFonts w:asciiTheme="minorEastAsia" w:hAnsiTheme="minorEastAsia" w:eastAsiaTheme="minorEastAsia"/>
          <w:b/>
          <w:sz w:val="52"/>
          <w:szCs w:val="52"/>
          <w:highlight w:val="none"/>
        </w:rPr>
      </w:pPr>
      <w:r>
        <w:rPr>
          <w:rFonts w:hint="eastAsia" w:asciiTheme="minorEastAsia" w:hAnsiTheme="minorEastAsia" w:eastAsiaTheme="minorEastAsia"/>
          <w:b/>
          <w:sz w:val="52"/>
          <w:szCs w:val="52"/>
          <w:highlight w:val="none"/>
        </w:rPr>
        <w:t>企业采购保证金退付委托书</w:t>
      </w:r>
    </w:p>
    <w:p>
      <w:pPr>
        <w:spacing w:line="360" w:lineRule="auto"/>
        <w:jc w:val="center"/>
        <w:rPr>
          <w:rFonts w:asciiTheme="minorEastAsia" w:hAnsiTheme="minorEastAsia" w:eastAsiaTheme="minorEastAsia"/>
          <w:b/>
          <w:sz w:val="36"/>
          <w:szCs w:val="36"/>
          <w:highlight w:val="none"/>
        </w:rPr>
      </w:pPr>
    </w:p>
    <w:p>
      <w:pPr>
        <w:spacing w:line="360" w:lineRule="auto"/>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佛山市南海公有资产流转服务有限公司：</w:t>
      </w:r>
    </w:p>
    <w:p>
      <w:pPr>
        <w:spacing w:line="360" w:lineRule="auto"/>
        <w:ind w:firstLine="560" w:firstLineChars="200"/>
        <w:rPr>
          <w:rFonts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兹委托贵司将采购人：</w:t>
      </w:r>
      <w:r>
        <w:rPr>
          <w:rFonts w:hAnsi="宋体" w:cs="宋体"/>
          <w:snapToGrid w:val="0"/>
          <w:sz w:val="32"/>
          <w:highlight w:val="none"/>
          <w:u w:val="single"/>
        </w:rPr>
        <w:t>佛山市南海区公交站场管理有限公司</w:t>
      </w:r>
      <w:r>
        <w:rPr>
          <w:rFonts w:hint="eastAsia" w:asciiTheme="minorEastAsia" w:hAnsiTheme="minorEastAsia" w:eastAsiaTheme="minorEastAsia"/>
          <w:color w:val="000000" w:themeColor="text1"/>
          <w:sz w:val="28"/>
          <w:szCs w:val="28"/>
          <w:highlight w:val="none"/>
          <w14:textFill>
            <w14:solidFill>
              <w14:schemeClr w14:val="tx1"/>
            </w14:solidFill>
          </w14:textFill>
        </w:rPr>
        <w:t>的企业采购项目“</w:t>
      </w:r>
      <w:r>
        <w:rPr>
          <w:rFonts w:hint="eastAsia" w:hAnsi="宋体" w:cs="宋体"/>
          <w:b/>
          <w:sz w:val="28"/>
          <w:szCs w:val="28"/>
          <w:highlight w:val="none"/>
          <w:u w:val="single"/>
          <w:lang w:eastAsia="zh-CN"/>
        </w:rPr>
        <w:t>景裕豪园和宇佳水岸新都花园两处公交站场充电站</w:t>
      </w:r>
      <w:r>
        <w:rPr>
          <w:rFonts w:hAnsi="宋体" w:cs="宋体"/>
          <w:b/>
          <w:sz w:val="28"/>
          <w:szCs w:val="28"/>
          <w:highlight w:val="none"/>
          <w:u w:val="single"/>
        </w:rPr>
        <w:t>建设运营服务资格项目</w:t>
      </w:r>
      <w:r>
        <w:rPr>
          <w:rFonts w:hint="eastAsia" w:asciiTheme="minorEastAsia" w:hAnsiTheme="minorEastAsia" w:eastAsiaTheme="minorEastAsia"/>
          <w:color w:val="000000" w:themeColor="text1"/>
          <w:sz w:val="28"/>
          <w:szCs w:val="28"/>
          <w:highlight w:val="none"/>
          <w14:textFill>
            <w14:solidFill>
              <w14:schemeClr w14:val="tx1"/>
            </w14:solidFill>
          </w14:textFill>
        </w:rPr>
        <w:t>”（项目编号：</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w:t>
      </w:r>
    </w:p>
    <w:p>
      <w:pPr>
        <w:spacing w:line="360" w:lineRule="auto"/>
        <w:rPr>
          <w:rFonts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项目</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保证金</w:t>
      </w:r>
      <w:r>
        <w:rPr>
          <w:rFonts w:hint="eastAsia" w:asciiTheme="minorEastAsia" w:hAnsiTheme="minorEastAsia" w:eastAsiaTheme="minorEastAsia"/>
          <w:color w:val="000000" w:themeColor="text1"/>
          <w:sz w:val="28"/>
          <w:szCs w:val="28"/>
          <w:highlight w:val="none"/>
          <w14:textFill>
            <w14:solidFill>
              <w14:schemeClr w14:val="tx1"/>
            </w14:solidFill>
          </w14:textFill>
        </w:rPr>
        <w:t>：人民币大写:</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（小写：￥</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）退回以下帐户：</w:t>
      </w:r>
    </w:p>
    <w:p>
      <w:pPr>
        <w:spacing w:line="360" w:lineRule="auto"/>
        <w:rPr>
          <w:rFonts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 xml:space="preserve">户名： </w:t>
      </w:r>
      <w:r>
        <w:rPr>
          <w:rFonts w:hint="eastAsia" w:asciiTheme="minorEastAsia" w:hAnsiTheme="minorEastAsia" w:eastAsiaTheme="minorEastAsia"/>
          <w:sz w:val="28"/>
          <w:szCs w:val="28"/>
          <w:highlight w:val="none"/>
          <w:u w:val="single"/>
        </w:rPr>
        <w:t xml:space="preserve">                     （与缴款人或者单位一致）</w:t>
      </w:r>
    </w:p>
    <w:p>
      <w:pPr>
        <w:spacing w:line="360" w:lineRule="auto"/>
        <w:rPr>
          <w:rFonts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 xml:space="preserve">账号： </w:t>
      </w:r>
      <w:r>
        <w:rPr>
          <w:rFonts w:hint="eastAsia" w:asciiTheme="minorEastAsia" w:hAnsiTheme="minorEastAsia" w:eastAsiaTheme="minorEastAsia"/>
          <w:sz w:val="28"/>
          <w:szCs w:val="28"/>
          <w:highlight w:val="none"/>
          <w:u w:val="single"/>
        </w:rPr>
        <w:t xml:space="preserve">                                             </w:t>
      </w:r>
    </w:p>
    <w:p>
      <w:pPr>
        <w:spacing w:line="360" w:lineRule="auto"/>
        <w:rPr>
          <w:rFonts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开户银行：</w:t>
      </w:r>
      <w:r>
        <w:rPr>
          <w:rFonts w:hint="eastAsia" w:asciiTheme="minorEastAsia" w:hAnsiTheme="minorEastAsia" w:eastAsiaTheme="minorEastAsia"/>
          <w:sz w:val="28"/>
          <w:szCs w:val="28"/>
          <w:highlight w:val="none"/>
          <w:u w:val="single"/>
        </w:rPr>
        <w:t xml:space="preserve">                                          </w:t>
      </w:r>
    </w:p>
    <w:p>
      <w:pPr>
        <w:spacing w:line="360" w:lineRule="auto"/>
        <w:rPr>
          <w:rFonts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联系方式：</w:t>
      </w:r>
      <w:r>
        <w:rPr>
          <w:rFonts w:hint="eastAsia" w:asciiTheme="minorEastAsia" w:hAnsiTheme="minorEastAsia" w:eastAsiaTheme="minorEastAsia"/>
          <w:sz w:val="28"/>
          <w:szCs w:val="28"/>
          <w:highlight w:val="none"/>
          <w:u w:val="single"/>
        </w:rPr>
        <w:t xml:space="preserve">                                          </w:t>
      </w:r>
    </w:p>
    <w:p>
      <w:pPr>
        <w:spacing w:line="360" w:lineRule="auto"/>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此委托退款账号及户名经本人（单位）核对无误，如有差异导致款项错退，本（单位）人承担其经济责任。</w:t>
      </w:r>
    </w:p>
    <w:p>
      <w:pPr>
        <w:spacing w:line="360" w:lineRule="auto"/>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特此委托</w:t>
      </w:r>
    </w:p>
    <w:p>
      <w:pPr>
        <w:spacing w:line="360" w:lineRule="auto"/>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                                        </w:t>
      </w:r>
    </w:p>
    <w:p>
      <w:pPr>
        <w:spacing w:line="360" w:lineRule="auto"/>
        <w:ind w:right="560" w:firstLine="3500" w:firstLineChars="125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单位（单位盖章）：</w:t>
      </w:r>
    </w:p>
    <w:p>
      <w:pPr>
        <w:spacing w:line="360" w:lineRule="auto"/>
        <w:ind w:right="560" w:firstLine="3640" w:firstLineChars="13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   </w:t>
      </w:r>
    </w:p>
    <w:p>
      <w:pPr>
        <w:spacing w:line="360" w:lineRule="auto"/>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                                年     月     日</w:t>
      </w:r>
    </w:p>
    <w:p>
      <w:pPr>
        <w:spacing w:line="360" w:lineRule="auto"/>
        <w:rPr>
          <w:rFonts w:asciiTheme="minorEastAsia" w:hAnsiTheme="minorEastAsia" w:eastAsiaTheme="minorEastAsia"/>
          <w:sz w:val="28"/>
          <w:szCs w:val="28"/>
          <w:highlight w:val="none"/>
        </w:rPr>
      </w:pPr>
    </w:p>
    <w:p>
      <w:pPr>
        <w:spacing w:line="360" w:lineRule="auto"/>
        <w:rPr>
          <w:rFonts w:asciiTheme="minorEastAsia" w:hAnsiTheme="minorEastAsia" w:eastAsiaTheme="minorEastAsia"/>
          <w:sz w:val="28"/>
          <w:szCs w:val="28"/>
          <w:highlight w:val="none"/>
        </w:rPr>
      </w:pPr>
    </w:p>
    <w:p>
      <w:pPr>
        <w:spacing w:line="360" w:lineRule="auto"/>
        <w:rPr>
          <w:rFonts w:ascii="宋体" w:hAnsi="宋体" w:cs="宋体"/>
          <w:highlight w:val="none"/>
        </w:rPr>
      </w:pPr>
      <w:r>
        <w:rPr>
          <w:rFonts w:hint="eastAsia" w:asciiTheme="minorEastAsia" w:hAnsiTheme="minorEastAsia" w:eastAsiaTheme="minorEastAsia"/>
          <w:sz w:val="28"/>
          <w:szCs w:val="28"/>
          <w:highlight w:val="none"/>
        </w:rPr>
        <w:t>本委托书要求字迹清晰，涂改无效。</w:t>
      </w:r>
    </w:p>
    <w:sectPr>
      <w:footerReference r:id="rId20" w:type="first"/>
      <w:footerReference r:id="rId19" w:type="default"/>
      <w:pgSz w:w="11906" w:h="16838"/>
      <w:pgMar w:top="1440" w:right="1469" w:bottom="1440" w:left="1440" w:header="851" w:footer="992" w:gutter="0"/>
      <w:cols w:space="720" w:num="1"/>
      <w:titlePg/>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区兴林" w:date="2022-11-16T14:42:02Z" w:initials="">
    <w:p w14:paraId="7E424923">
      <w:pPr>
        <w:widowControl/>
        <w:spacing w:line="360" w:lineRule="auto"/>
        <w:jc w:val="left"/>
        <w:rPr>
          <w:rFonts w:hint="eastAsia" w:eastAsia="宋体"/>
          <w:lang w:eastAsia="zh-CN"/>
        </w:rPr>
      </w:pPr>
      <w:r>
        <w:rPr>
          <w:rFonts w:hint="eastAsia"/>
          <w:lang w:eastAsia="zh-CN"/>
        </w:rPr>
        <w:t>本项目无需报名，招标文件在网站公告自行下载，公告版本为“</w:t>
      </w:r>
      <w:r>
        <w:rPr>
          <w:rFonts w:hint="eastAsia" w:ascii="宋体" w:hAnsi="宋体"/>
          <w:b/>
          <w:color w:val="000000" w:themeColor="text1"/>
          <w:kern w:val="0"/>
          <w:sz w:val="24"/>
          <w:highlight w:val="none"/>
          <w:lang w:eastAsia="zh-CN"/>
          <w14:textFill>
            <w14:solidFill>
              <w14:schemeClr w14:val="tx1"/>
            </w14:solidFill>
          </w14:textFill>
        </w:rPr>
        <w:t>采购</w:t>
      </w:r>
      <w:r>
        <w:rPr>
          <w:rFonts w:hint="eastAsia" w:ascii="宋体" w:hAnsi="宋体"/>
          <w:b/>
          <w:color w:val="000000" w:themeColor="text1"/>
          <w:kern w:val="0"/>
          <w:sz w:val="24"/>
          <w:highlight w:val="none"/>
          <w14:textFill>
            <w14:solidFill>
              <w14:schemeClr w14:val="tx1"/>
            </w14:solidFill>
          </w14:textFill>
        </w:rPr>
        <w:t>文件的获取</w:t>
      </w:r>
      <w:r>
        <w:rPr>
          <w:rFonts w:hint="eastAsia" w:ascii="宋体" w:hAnsi="宋体"/>
          <w:b/>
          <w:color w:val="000000" w:themeColor="text1"/>
          <w:kern w:val="0"/>
          <w:sz w:val="24"/>
          <w:highlight w:val="none"/>
          <w:lang w:eastAsia="zh-CN"/>
          <w14:textFill>
            <w14:solidFill>
              <w14:schemeClr w14:val="tx1"/>
            </w14:solidFill>
          </w14:textFill>
        </w:rPr>
        <w:t>：</w:t>
      </w:r>
      <w:r>
        <w:rPr>
          <w:rFonts w:hint="eastAsia" w:ascii="宋体" w:hAnsi="宋体" w:cs="宋体"/>
          <w:b/>
          <w:color w:val="000000" w:themeColor="text1"/>
          <w:kern w:val="0"/>
          <w:sz w:val="24"/>
          <w:szCs w:val="21"/>
          <w:highlight w:val="none"/>
          <w:lang w:eastAsia="zh-CN"/>
          <w14:textFill>
            <w14:solidFill>
              <w14:schemeClr w14:val="tx1"/>
            </w14:solidFill>
          </w14:textFill>
        </w:rPr>
        <w:t>采购</w:t>
      </w:r>
      <w:r>
        <w:rPr>
          <w:rFonts w:hint="eastAsia" w:ascii="宋体" w:hAnsi="宋体" w:cs="宋体"/>
          <w:b/>
          <w:color w:val="000000" w:themeColor="text1"/>
          <w:kern w:val="0"/>
          <w:sz w:val="24"/>
          <w:szCs w:val="21"/>
          <w:highlight w:val="none"/>
          <w14:textFill>
            <w14:solidFill>
              <w14:schemeClr w14:val="tx1"/>
            </w14:solidFill>
          </w14:textFill>
        </w:rPr>
        <w:t>文件详见附件</w:t>
      </w:r>
      <w:r>
        <w:rPr>
          <w:rFonts w:hint="eastAsia" w:ascii="宋体" w:hAnsi="宋体" w:cs="宋体"/>
          <w:b/>
          <w:color w:val="000000" w:themeColor="text1"/>
          <w:kern w:val="0"/>
          <w:sz w:val="24"/>
          <w:szCs w:val="21"/>
          <w:highlight w:val="none"/>
          <w:lang w:eastAsia="zh-CN"/>
          <w14:textFill>
            <w14:solidFill>
              <w14:schemeClr w14:val="tx1"/>
            </w14:solidFill>
          </w14:textFill>
        </w:rPr>
        <w:t>采购</w:t>
      </w:r>
      <w:r>
        <w:rPr>
          <w:rFonts w:hint="eastAsia" w:ascii="宋体" w:hAnsi="宋体" w:cs="宋体"/>
          <w:b/>
          <w:color w:val="000000" w:themeColor="text1"/>
          <w:kern w:val="0"/>
          <w:sz w:val="24"/>
          <w:szCs w:val="21"/>
          <w:highlight w:val="none"/>
          <w14:textFill>
            <w14:solidFill>
              <w14:schemeClr w14:val="tx1"/>
            </w14:solidFill>
          </w14:textFill>
        </w:rPr>
        <w:t>文件下载</w:t>
      </w:r>
      <w:r>
        <w:rPr>
          <w:rFonts w:hint="eastAsia"/>
          <w:lang w:eastAsia="zh-CN"/>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E424923"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宋体"/>
    <w:panose1 w:val="03000509000000000000"/>
    <w:charset w:val="86"/>
    <w:family w:val="script"/>
    <w:pitch w:val="default"/>
    <w:sig w:usb0="00000000" w:usb1="00000000" w:usb2="00000010" w:usb3="00000000" w:csb0="00040000" w:csb1="00000000"/>
  </w:font>
  <w:font w:name="瀹嬩綋">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both"/>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22"/>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2"/>
                          </w:pPr>
                          <w:r>
                            <w:fldChar w:fldCharType="begin"/>
                          </w:r>
                          <w:r>
                            <w:instrText xml:space="preserve"> PAGE  \* MERGEFORMAT </w:instrText>
                          </w:r>
                          <w:r>
                            <w:fldChar w:fldCharType="separate"/>
                          </w:r>
                          <w:r>
                            <w:rPr>
                              <w:rFonts w:hint="default"/>
                            </w:rPr>
                            <w:t>37</w:t>
                          </w:r>
                          <w: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qmH/UAQAApgMAAA4AAABkcnMvZTJvRG9jLnhtbK1TzY7TMBC+&#10;I/EOlu80aVc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0ojt0ygwM///p5/v33&#10;/OcHWZZXV0mh3kONiXceU+PwwQ24N/M94GUiPshg0hcpEYyjvqeLvmKIhKdH1aqqSgxxjM0O4hcP&#10;z32A+FE4Q5LR0IADzLqy42eIY+qckqpZd6u0zkPUlvSIel29u84vLiFE1xaLJBZjt8mKw26YqO1c&#10;e0JmPW5BQy0uPSX6k0WR08LMRpiN3WwcfFD7Lm9UagX8+0PEdnKXqcIIOxXG8WWe06ql/fjfz1kP&#10;v9fm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eKph/1AEAAKYDAAAOAAAAAAAAAAEAIAAA&#10;ACIBAABkcnMvZTJvRG9jLnhtbFBLBQYAAAAABgAGAFkBAABoBQAAAAA=&#10;">
              <v:fill on="f" focussize="0,0"/>
              <v:stroke on="f" weight="1.25pt"/>
              <v:imagedata o:title=""/>
              <o:lock v:ext="edit" aspectratio="f"/>
              <v:textbox inset="0mm,0mm,0mm,0mm" style="mso-fit-shape-to-text:t;">
                <w:txbxContent>
                  <w:p>
                    <w:pPr>
                      <w:pStyle w:val="22"/>
                    </w:pPr>
                    <w:r>
                      <w:fldChar w:fldCharType="begin"/>
                    </w:r>
                    <w:r>
                      <w:instrText xml:space="preserve"> PAGE  \* MERGEFORMAT </w:instrText>
                    </w:r>
                    <w:r>
                      <w:fldChar w:fldCharType="separate"/>
                    </w:r>
                    <w:r>
                      <w:rPr>
                        <w:rFonts w:hint="default"/>
                      </w:rP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2"/>
                            <w:jc w:val="center"/>
                          </w:pPr>
                          <w:r>
                            <w:fldChar w:fldCharType="begin"/>
                          </w:r>
                          <w:r>
                            <w:rPr>
                              <w:rStyle w:val="38"/>
                            </w:rPr>
                            <w:instrText xml:space="preserve"> PAGE </w:instrText>
                          </w:r>
                          <w:r>
                            <w:fldChar w:fldCharType="separate"/>
                          </w:r>
                          <w:r>
                            <w:rPr>
                              <w:rStyle w:val="38"/>
                              <w:rFonts w:hint="default"/>
                            </w:rPr>
                            <w:t>38</w:t>
                          </w:r>
                          <w: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DN7CQg1AEAAKYDAAAOAAAAAAAAAAEAIAAA&#10;ACIBAABkcnMvZTJvRG9jLnhtbFBLBQYAAAAABgAGAFkBAABoBQAAAAA=&#10;">
              <v:fill on="f" focussize="0,0"/>
              <v:stroke on="f" weight="1.25pt"/>
              <v:imagedata o:title=""/>
              <o:lock v:ext="edit" aspectratio="f"/>
              <v:textbox inset="0mm,0mm,0mm,0mm" style="mso-fit-shape-to-text:t;">
                <w:txbxContent>
                  <w:p>
                    <w:pPr>
                      <w:pStyle w:val="22"/>
                      <w:jc w:val="center"/>
                    </w:pPr>
                    <w:r>
                      <w:fldChar w:fldCharType="begin"/>
                    </w:r>
                    <w:r>
                      <w:rPr>
                        <w:rStyle w:val="38"/>
                      </w:rPr>
                      <w:instrText xml:space="preserve"> PAGE </w:instrText>
                    </w:r>
                    <w:r>
                      <w:fldChar w:fldCharType="separate"/>
                    </w:r>
                    <w:r>
                      <w:rPr>
                        <w:rStyle w:val="38"/>
                        <w:rFonts w:hint="default"/>
                      </w:rPr>
                      <w:t>38</w:t>
                    </w:r>
                    <w:r>
                      <w:fldChar w:fldCharType="end"/>
                    </w:r>
                  </w:p>
                </w:txbxContent>
              </v:textbox>
            </v:shape>
          </w:pict>
        </mc:Fallback>
      </mc:AlternateContent>
    </w:r>
  </w:p>
  <w:p>
    <w:pPr>
      <w:pStyle w:val="22"/>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2"/>
                            <w:rPr>
                              <w:rStyle w:val="38"/>
                              <w:rFonts w:hAnsi="宋体"/>
                            </w:rPr>
                          </w:pPr>
                          <w:r>
                            <w:rPr>
                              <w:rFonts w:ascii="宋体" w:hAnsi="宋体"/>
                            </w:rPr>
                            <w:fldChar w:fldCharType="begin"/>
                          </w:r>
                          <w:r>
                            <w:rPr>
                              <w:rStyle w:val="38"/>
                              <w:rFonts w:hAnsi="宋体"/>
                            </w:rPr>
                            <w:instrText xml:space="preserve">PAGE  </w:instrText>
                          </w:r>
                          <w:r>
                            <w:rPr>
                              <w:rFonts w:ascii="宋体" w:hAnsi="宋体"/>
                            </w:rPr>
                            <w:fldChar w:fldCharType="separate"/>
                          </w:r>
                          <w:r>
                            <w:rPr>
                              <w:rStyle w:val="38"/>
                              <w:rFonts w:hint="default" w:hAnsi="宋体"/>
                            </w:rPr>
                            <w:t>61</w:t>
                          </w:r>
                          <w:r>
                            <w:rPr>
                              <w:rFonts w:ascii="宋体" w:hAnsi="宋体"/>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MkvXH7TAQAApgMAAA4AAAAAAAAAAQAgAAAA&#10;IgEAAGRycy9lMm9Eb2MueG1sUEsFBgAAAAAGAAYAWQEAAGcFAAAAAA==&#10;">
              <v:fill on="f" focussize="0,0"/>
              <v:stroke on="f" weight="1.25pt"/>
              <v:imagedata o:title=""/>
              <o:lock v:ext="edit" aspectratio="f"/>
              <v:textbox inset="0mm,0mm,0mm,0mm" style="mso-fit-shape-to-text:t;">
                <w:txbxContent>
                  <w:p>
                    <w:pPr>
                      <w:pStyle w:val="22"/>
                      <w:rPr>
                        <w:rStyle w:val="38"/>
                        <w:rFonts w:hAnsi="宋体"/>
                      </w:rPr>
                    </w:pPr>
                    <w:r>
                      <w:rPr>
                        <w:rFonts w:ascii="宋体" w:hAnsi="宋体"/>
                      </w:rPr>
                      <w:fldChar w:fldCharType="begin"/>
                    </w:r>
                    <w:r>
                      <w:rPr>
                        <w:rStyle w:val="38"/>
                        <w:rFonts w:hAnsi="宋体"/>
                      </w:rPr>
                      <w:instrText xml:space="preserve">PAGE  </w:instrText>
                    </w:r>
                    <w:r>
                      <w:rPr>
                        <w:rFonts w:ascii="宋体" w:hAnsi="宋体"/>
                      </w:rPr>
                      <w:fldChar w:fldCharType="separate"/>
                    </w:r>
                    <w:r>
                      <w:rPr>
                        <w:rStyle w:val="38"/>
                        <w:rFonts w:hint="default" w:hAnsi="宋体"/>
                      </w:rPr>
                      <w:t>61</w:t>
                    </w:r>
                    <w:r>
                      <w:rPr>
                        <w:rFonts w:ascii="宋体" w:hAnsi="宋体"/>
                      </w:rPr>
                      <w:fldChar w:fldCharType="end"/>
                    </w:r>
                  </w:p>
                </w:txbxContent>
              </v:textbox>
            </v:shape>
          </w:pict>
        </mc:Fallback>
      </mc:AlternateContent>
    </w:r>
    <w:r>
      <w:rPr>
        <w:rFonts w:ascii="宋体" w:hAnsi="宋体"/>
        <w:sz w:val="20"/>
      </w:rPr>
      <mc:AlternateContent>
        <mc:Choice Requires="wps">
          <w:drawing>
            <wp:anchor distT="0" distB="0" distL="114300" distR="114300" simplePos="0" relativeHeight="251660288" behindDoc="0" locked="0" layoutInCell="1" allowOverlap="1">
              <wp:simplePos x="0" y="0"/>
              <wp:positionH relativeFrom="column">
                <wp:posOffset>-144145</wp:posOffset>
              </wp:positionH>
              <wp:positionV relativeFrom="paragraph">
                <wp:posOffset>-127635</wp:posOffset>
              </wp:positionV>
              <wp:extent cx="63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35pt;margin-top:-10.05pt;height:0.05pt;width:0.05pt;z-index:251660288;mso-width-relative:page;mso-height-relative:page;" filled="f" stroked="t" coordsize="21600,21600" o:gfxdata="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ybv&#10;7NYAAAALAQAADwAAAAAAAAABACAAAAAiAAAAZHJzL2Rvd25yZXYueG1sUEsBAhQAFAAAAAgAh07i&#10;QHODG0HrAQAA5AMAAA4AAAAAAAAAAQAgAAAAJQEAAGRycy9lMm9Eb2MueG1sUEsFBgAAAAAGAAYA&#10;WQEAAIIFAAAAAA==&#10;">
              <v:fill on="f" focussize="0,0"/>
              <v:stroke color="#000000" joinstyle="round"/>
              <v:imagedata o:title=""/>
              <o:lock v:ext="edit" aspectratio="f"/>
            </v:lin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8"/>
      </w:rPr>
    </w:pPr>
    <w:r>
      <w:fldChar w:fldCharType="begin"/>
    </w:r>
    <w:r>
      <w:rPr>
        <w:rStyle w:val="38"/>
      </w:rPr>
      <w:instrText xml:space="preserve">PAGE  </w:instrText>
    </w:r>
    <w:r>
      <w:fldChar w:fldCharType="separate"/>
    </w:r>
    <w:r>
      <w:rPr>
        <w:rStyle w:val="38"/>
      </w:rPr>
      <w:t>72</w:t>
    </w:r>
    <w:r>
      <w:fldChar w:fldCharType="end"/>
    </w:r>
  </w:p>
  <w:p>
    <w:pPr>
      <w:pStyle w:val="22"/>
      <w:jc w:val="distribute"/>
    </w:pPr>
    <w:r>
      <w:rPr>
        <w:rFonts w:ascii="宋体" w:hAnsi="宋体"/>
      </w:rPr>
      <w:t xml:space="preserve">5 - </w:t>
    </w:r>
    <w:r>
      <w:rPr>
        <w:rStyle w:val="38"/>
      </w:rPr>
      <w:t xml:space="preserve">                                                                     </w:t>
    </w:r>
    <w:r>
      <w:rPr>
        <w:rFonts w:ascii="宋体" w:hAnsi="宋体"/>
      </w:rPr>
      <w:t>(采购项目编号)</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2"/>
                            <w:rPr>
                              <w:rStyle w:val="38"/>
                              <w:rFonts w:hAnsi="宋体"/>
                            </w:rPr>
                          </w:pPr>
                          <w:r>
                            <w:rPr>
                              <w:rFonts w:ascii="宋体" w:hAnsi="宋体"/>
                            </w:rPr>
                            <w:fldChar w:fldCharType="begin"/>
                          </w:r>
                          <w:r>
                            <w:rPr>
                              <w:rStyle w:val="38"/>
                              <w:rFonts w:hAnsi="宋体"/>
                            </w:rPr>
                            <w:instrText xml:space="preserve">PAGE  </w:instrText>
                          </w:r>
                          <w:r>
                            <w:rPr>
                              <w:rFonts w:ascii="宋体" w:hAnsi="宋体"/>
                            </w:rPr>
                            <w:fldChar w:fldCharType="separate"/>
                          </w:r>
                          <w:r>
                            <w:rPr>
                              <w:rStyle w:val="38"/>
                              <w:rFonts w:hint="default" w:hAnsi="宋体"/>
                            </w:rPr>
                            <w:t>64</w:t>
                          </w:r>
                          <w:r>
                            <w:rPr>
                              <w:rFonts w:ascii="宋体" w:hAnsi="宋体"/>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kSr5v1AEAAKYDAAAOAAAAAAAAAAEAIAAA&#10;ACIBAABkcnMvZTJvRG9jLnhtbFBLBQYAAAAABgAGAFkBAABoBQAAAAA=&#10;">
              <v:fill on="f" focussize="0,0"/>
              <v:stroke on="f" weight="1.25pt"/>
              <v:imagedata o:title=""/>
              <o:lock v:ext="edit" aspectratio="f"/>
              <v:textbox inset="0mm,0mm,0mm,0mm" style="mso-fit-shape-to-text:t;">
                <w:txbxContent>
                  <w:p>
                    <w:pPr>
                      <w:pStyle w:val="22"/>
                      <w:rPr>
                        <w:rStyle w:val="38"/>
                        <w:rFonts w:hAnsi="宋体"/>
                      </w:rPr>
                    </w:pPr>
                    <w:r>
                      <w:rPr>
                        <w:rFonts w:ascii="宋体" w:hAnsi="宋体"/>
                      </w:rPr>
                      <w:fldChar w:fldCharType="begin"/>
                    </w:r>
                    <w:r>
                      <w:rPr>
                        <w:rStyle w:val="38"/>
                        <w:rFonts w:hAnsi="宋体"/>
                      </w:rPr>
                      <w:instrText xml:space="preserve">PAGE  </w:instrText>
                    </w:r>
                    <w:r>
                      <w:rPr>
                        <w:rFonts w:ascii="宋体" w:hAnsi="宋体"/>
                      </w:rPr>
                      <w:fldChar w:fldCharType="separate"/>
                    </w:r>
                    <w:r>
                      <w:rPr>
                        <w:rStyle w:val="38"/>
                        <w:rFonts w:hint="default" w:hAnsi="宋体"/>
                      </w:rPr>
                      <w:t>64</w:t>
                    </w:r>
                    <w:r>
                      <w:rPr>
                        <w:rFonts w:ascii="宋体" w:hAnsi="宋体"/>
                      </w:rPr>
                      <w:fldChar w:fldCharType="end"/>
                    </w:r>
                  </w:p>
                </w:txbxContent>
              </v:textbox>
            </v:shape>
          </w:pict>
        </mc:Fallback>
      </mc:AlternateContent>
    </w:r>
    <w:r>
      <w:rPr>
        <w:rFonts w:ascii="宋体" w:hAnsi="宋体"/>
        <w:sz w:val="20"/>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-127635</wp:posOffset>
              </wp:positionV>
              <wp:extent cx="635" cy="635"/>
              <wp:effectExtent l="0" t="0" r="0" b="0"/>
              <wp:wrapNone/>
              <wp:docPr id="1" name="Line 1"/>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1" o:spid="_x0000_s1026" o:spt="20" style="position:absolute;left:0pt;margin-left:-11.35pt;margin-top:-10.05pt;height:0.05pt;width:0.05pt;z-index:251659264;mso-width-relative:page;mso-height-relative:page;" filled="f" stroked="t" coordsize="21600,21600" o:gfxdata="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DJu/s1gAAAAsBAAAPAAAAAAAAAAEAIAAA&#10;ACIAAABkcnMvZG93bnJldi54bWxQSwECFAAUAAAACACHTuJAxy9JOdUBAADXAwAADgAAAAAAAAAB&#10;ACAAAAAlAQAAZHJzL2Uyb0RvYy54bWxQSwUGAAAAAAYABgBZAQAAbAUAAAAA&#10;">
              <v:fill on="f" focussize="0,0"/>
              <v:stroke color="#000000" joinstyle="round"/>
              <v:imagedata o:title=""/>
              <o:lock v:ext="edit" aspectratio="f"/>
            </v:lin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2"/>
                            <w:jc w:val="center"/>
                          </w:pPr>
                          <w:r>
                            <w:fldChar w:fldCharType="begin"/>
                          </w:r>
                          <w:r>
                            <w:rPr>
                              <w:rStyle w:val="38"/>
                            </w:rPr>
                            <w:instrText xml:space="preserve"> PAGE </w:instrText>
                          </w:r>
                          <w:r>
                            <w:fldChar w:fldCharType="separate"/>
                          </w:r>
                          <w:r>
                            <w:rPr>
                              <w:rStyle w:val="38"/>
                              <w:rFonts w:hint="default"/>
                            </w:rPr>
                            <w:t>62</w:t>
                          </w:r>
                          <w: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DpxTyQ1AEAAKYDAAAOAAAAAAAAAAEAIAAA&#10;ACIBAABkcnMvZTJvRG9jLnhtbFBLBQYAAAAABgAGAFkBAABoBQAAAAA=&#10;">
              <v:fill on="f" focussize="0,0"/>
              <v:stroke on="f" weight="1.25pt"/>
              <v:imagedata o:title=""/>
              <o:lock v:ext="edit" aspectratio="f"/>
              <v:textbox inset="0mm,0mm,0mm,0mm" style="mso-fit-shape-to-text:t;">
                <w:txbxContent>
                  <w:p>
                    <w:pPr>
                      <w:pStyle w:val="22"/>
                      <w:jc w:val="center"/>
                    </w:pPr>
                    <w:r>
                      <w:fldChar w:fldCharType="begin"/>
                    </w:r>
                    <w:r>
                      <w:rPr>
                        <w:rStyle w:val="38"/>
                      </w:rPr>
                      <w:instrText xml:space="preserve"> PAGE </w:instrText>
                    </w:r>
                    <w:r>
                      <w:fldChar w:fldCharType="separate"/>
                    </w:r>
                    <w:r>
                      <w:rPr>
                        <w:rStyle w:val="38"/>
                        <w:rFonts w:hint="default"/>
                      </w:rP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jc w:val="both"/>
      <w:rPr>
        <w:rFonts w:ascii="仿宋" w:hAnsi="仿宋" w:eastAsia="仿宋" w:cs="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distribute"/>
    </w:pPr>
    <w:r>
      <w:rPr>
        <w:rFonts w:ascii="宋体"/>
      </w:rPr>
      <w:t>（采购人及货物名称）                                                        广东省政府采购货物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37334"/>
    <w:multiLevelType w:val="singleLevel"/>
    <w:tmpl w:val="89C37334"/>
    <w:lvl w:ilvl="0" w:tentative="0">
      <w:start w:val="1"/>
      <w:numFmt w:val="chineseCounting"/>
      <w:suff w:val="nothing"/>
      <w:lvlText w:val="%1、"/>
      <w:lvlJc w:val="left"/>
      <w:rPr>
        <w:rFonts w:hint="eastAsia"/>
      </w:rPr>
    </w:lvl>
  </w:abstractNum>
  <w:abstractNum w:abstractNumId="1">
    <w:nsid w:val="ECE647C1"/>
    <w:multiLevelType w:val="singleLevel"/>
    <w:tmpl w:val="ECE647C1"/>
    <w:lvl w:ilvl="0" w:tentative="0">
      <w:start w:val="1"/>
      <w:numFmt w:val="decimal"/>
      <w:suff w:val="nothing"/>
      <w:lvlText w:val="%1、"/>
      <w:lvlJc w:val="left"/>
    </w:lvl>
  </w:abstractNum>
  <w:abstractNum w:abstractNumId="2">
    <w:nsid w:val="457920C8"/>
    <w:multiLevelType w:val="singleLevel"/>
    <w:tmpl w:val="457920C8"/>
    <w:lvl w:ilvl="0" w:tentative="0">
      <w:start w:val="1"/>
      <w:numFmt w:val="decimal"/>
      <w:lvlText w:val="%1"/>
      <w:lvlJc w:val="left"/>
      <w:pPr>
        <w:tabs>
          <w:tab w:val="left" w:pos="420"/>
        </w:tabs>
        <w:ind w:left="425" w:hanging="425"/>
      </w:pPr>
      <w:rPr>
        <w:rFonts w:hint="default"/>
      </w:rPr>
    </w:lvl>
  </w:abstractNum>
  <w:abstractNum w:abstractNumId="3">
    <w:nsid w:val="59B67709"/>
    <w:multiLevelType w:val="multilevel"/>
    <w:tmpl w:val="59B67709"/>
    <w:lvl w:ilvl="0" w:tentative="0">
      <w:start w:val="1"/>
      <w:numFmt w:val="decimal"/>
      <w:pStyle w:val="76"/>
      <w:lvlText w:val="%1."/>
      <w:lvlJc w:val="left"/>
      <w:pPr>
        <w:ind w:left="425" w:hanging="425"/>
      </w:pPr>
      <w:rPr>
        <w:rFonts w:hint="default"/>
      </w:rPr>
    </w:lvl>
    <w:lvl w:ilvl="1" w:tentative="0">
      <w:start w:val="1"/>
      <w:numFmt w:val="decimal"/>
      <w:pStyle w:val="51"/>
      <w:suff w:val="space"/>
      <w:lvlText w:val="%1.%2."/>
      <w:lvlJc w:val="left"/>
      <w:pPr>
        <w:tabs>
          <w:tab w:val="left" w:pos="0"/>
        </w:tabs>
        <w:ind w:left="0" w:firstLine="0"/>
      </w:pPr>
      <w:rPr>
        <w:rFonts w:hint="default" w:ascii="仿宋_GB2312" w:hAnsi="仿宋_GB2312" w:eastAsia="仿宋_GB2312" w:cs="仿宋_GB2312"/>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59B67ECB"/>
    <w:multiLevelType w:val="singleLevel"/>
    <w:tmpl w:val="59B67ECB"/>
    <w:lvl w:ilvl="0" w:tentative="0">
      <w:start w:val="1"/>
      <w:numFmt w:val="decimal"/>
      <w:pStyle w:val="48"/>
      <w:lvlText w:val="%1."/>
      <w:lvlJc w:val="left"/>
      <w:pPr>
        <w:tabs>
          <w:tab w:val="left" w:pos="0"/>
        </w:tabs>
        <w:ind w:left="0" w:firstLine="0"/>
      </w:pPr>
      <w:rPr>
        <w:rFonts w:hint="default"/>
      </w:rPr>
    </w:lvl>
  </w:abstractNum>
  <w:abstractNum w:abstractNumId="5">
    <w:nsid w:val="59B68121"/>
    <w:multiLevelType w:val="singleLevel"/>
    <w:tmpl w:val="59B68121"/>
    <w:lvl w:ilvl="0" w:tentative="0">
      <w:start w:val="1"/>
      <w:numFmt w:val="decimal"/>
      <w:suff w:val="nothing"/>
      <w:lvlText w:val="%1．"/>
      <w:lvlJc w:val="left"/>
      <w:pPr>
        <w:ind w:left="0" w:firstLine="400"/>
      </w:pPr>
      <w:rPr>
        <w:rFonts w:hint="default"/>
      </w:rPr>
    </w:lvl>
  </w:abstractNum>
  <w:abstractNum w:abstractNumId="6">
    <w:nsid w:val="59B681C0"/>
    <w:multiLevelType w:val="singleLevel"/>
    <w:tmpl w:val="59B681C0"/>
    <w:lvl w:ilvl="0" w:tentative="0">
      <w:start w:val="1"/>
      <w:numFmt w:val="decimal"/>
      <w:suff w:val="nothing"/>
      <w:lvlText w:val="%1．"/>
      <w:lvlJc w:val="left"/>
      <w:pPr>
        <w:ind w:left="0" w:firstLine="400"/>
      </w:pPr>
      <w:rPr>
        <w:rFonts w:hint="default"/>
      </w:rPr>
    </w:lvl>
  </w:abstractNum>
  <w:abstractNum w:abstractNumId="7">
    <w:nsid w:val="59B68345"/>
    <w:multiLevelType w:val="singleLevel"/>
    <w:tmpl w:val="59B68345"/>
    <w:lvl w:ilvl="0" w:tentative="0">
      <w:start w:val="1"/>
      <w:numFmt w:val="decimalEnclosedCircleChinese"/>
      <w:suff w:val="nothing"/>
      <w:lvlText w:val="%1　"/>
      <w:lvlJc w:val="left"/>
      <w:pPr>
        <w:ind w:left="0" w:firstLine="400"/>
      </w:pPr>
      <w:rPr>
        <w:rFonts w:hint="eastAsia"/>
      </w:rPr>
    </w:lvl>
  </w:abstractNum>
  <w:abstractNum w:abstractNumId="8">
    <w:nsid w:val="59B68381"/>
    <w:multiLevelType w:val="singleLevel"/>
    <w:tmpl w:val="59B68381"/>
    <w:lvl w:ilvl="0" w:tentative="0">
      <w:start w:val="1"/>
      <w:numFmt w:val="decimalEnclosedCircleChinese"/>
      <w:suff w:val="nothing"/>
      <w:lvlText w:val="%1　"/>
      <w:lvlJc w:val="left"/>
      <w:pPr>
        <w:ind w:left="0" w:firstLine="400"/>
      </w:pPr>
      <w:rPr>
        <w:rFonts w:hint="eastAsia"/>
      </w:rPr>
    </w:lvl>
  </w:abstractNum>
  <w:abstractNum w:abstractNumId="9">
    <w:nsid w:val="59B683A3"/>
    <w:multiLevelType w:val="singleLevel"/>
    <w:tmpl w:val="59B683A3"/>
    <w:lvl w:ilvl="0" w:tentative="0">
      <w:start w:val="1"/>
      <w:numFmt w:val="decimalEnclosedCircleChinese"/>
      <w:suff w:val="nothing"/>
      <w:lvlText w:val="%1　"/>
      <w:lvlJc w:val="left"/>
      <w:pPr>
        <w:ind w:left="0" w:firstLine="400"/>
      </w:pPr>
      <w:rPr>
        <w:rFonts w:hint="eastAsia"/>
      </w:rPr>
    </w:lvl>
  </w:abstractNum>
  <w:abstractNum w:abstractNumId="10">
    <w:nsid w:val="59B683CA"/>
    <w:multiLevelType w:val="singleLevel"/>
    <w:tmpl w:val="59B683CA"/>
    <w:lvl w:ilvl="0" w:tentative="0">
      <w:start w:val="1"/>
      <w:numFmt w:val="decimal"/>
      <w:suff w:val="nothing"/>
      <w:lvlText w:val="%1．"/>
      <w:lvlJc w:val="left"/>
      <w:pPr>
        <w:ind w:left="0" w:firstLine="400"/>
      </w:pPr>
      <w:rPr>
        <w:rFonts w:hint="default"/>
      </w:rPr>
    </w:lvl>
  </w:abstractNum>
  <w:abstractNum w:abstractNumId="11">
    <w:nsid w:val="59B6862E"/>
    <w:multiLevelType w:val="singleLevel"/>
    <w:tmpl w:val="59B6862E"/>
    <w:lvl w:ilvl="0" w:tentative="0">
      <w:start w:val="1"/>
      <w:numFmt w:val="decimalEnclosedCircleChinese"/>
      <w:suff w:val="nothing"/>
      <w:lvlText w:val="%1　"/>
      <w:lvlJc w:val="left"/>
      <w:pPr>
        <w:ind w:left="0" w:firstLine="400"/>
      </w:pPr>
      <w:rPr>
        <w:rFonts w:hint="eastAsia"/>
      </w:rPr>
    </w:lvl>
  </w:abstractNum>
  <w:abstractNum w:abstractNumId="12">
    <w:nsid w:val="59B68798"/>
    <w:multiLevelType w:val="singleLevel"/>
    <w:tmpl w:val="59B68798"/>
    <w:lvl w:ilvl="0" w:tentative="0">
      <w:start w:val="1"/>
      <w:numFmt w:val="decimalEnclosedCircleChinese"/>
      <w:suff w:val="nothing"/>
      <w:lvlText w:val="%1　"/>
      <w:lvlJc w:val="left"/>
      <w:pPr>
        <w:ind w:left="0" w:firstLine="400"/>
      </w:pPr>
      <w:rPr>
        <w:rFonts w:hint="eastAsia"/>
      </w:rPr>
    </w:lvl>
  </w:abstractNum>
  <w:abstractNum w:abstractNumId="13">
    <w:nsid w:val="59B687CE"/>
    <w:multiLevelType w:val="singleLevel"/>
    <w:tmpl w:val="59B687CE"/>
    <w:lvl w:ilvl="0" w:tentative="0">
      <w:start w:val="1"/>
      <w:numFmt w:val="decimal"/>
      <w:suff w:val="nothing"/>
      <w:lvlText w:val="%1．"/>
      <w:lvlJc w:val="left"/>
      <w:pPr>
        <w:ind w:left="0" w:firstLine="400"/>
      </w:pPr>
      <w:rPr>
        <w:rFonts w:hint="default"/>
      </w:rPr>
    </w:lvl>
  </w:abstractNum>
  <w:abstractNum w:abstractNumId="14">
    <w:nsid w:val="5FF80C8B"/>
    <w:multiLevelType w:val="singleLevel"/>
    <w:tmpl w:val="5FF80C8B"/>
    <w:lvl w:ilvl="0" w:tentative="0">
      <w:start w:val="1"/>
      <w:numFmt w:val="decimal"/>
      <w:suff w:val="nothing"/>
      <w:lvlText w:val="%1、"/>
      <w:lvlJc w:val="left"/>
    </w:lvl>
  </w:abstractNum>
  <w:abstractNum w:abstractNumId="15">
    <w:nsid w:val="66743BBE"/>
    <w:multiLevelType w:val="singleLevel"/>
    <w:tmpl w:val="66743BBE"/>
    <w:lvl w:ilvl="0" w:tentative="0">
      <w:start w:val="1"/>
      <w:numFmt w:val="decimal"/>
      <w:suff w:val="nothing"/>
      <w:lvlText w:val="%1、"/>
      <w:lvlJc w:val="left"/>
    </w:lvl>
  </w:abstractNum>
  <w:num w:numId="1">
    <w:abstractNumId w:val="4"/>
  </w:num>
  <w:num w:numId="2">
    <w:abstractNumId w:val="3"/>
  </w:num>
  <w:num w:numId="3">
    <w:abstractNumId w:val="0"/>
  </w:num>
  <w:num w:numId="4">
    <w:abstractNumId w:val="14"/>
  </w:num>
  <w:num w:numId="5">
    <w:abstractNumId w:val="1"/>
  </w:num>
  <w:num w:numId="6">
    <w:abstractNumId w:val="2"/>
  </w:num>
  <w:num w:numId="7">
    <w:abstractNumId w:val="1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11"/>
  </w:num>
  <w:num w:numId="13">
    <w:abstractNumId w:val="7"/>
  </w:num>
  <w:num w:numId="14">
    <w:abstractNumId w:val="8"/>
  </w:num>
  <w:num w:numId="15">
    <w:abstractNumId w:val="9"/>
  </w:num>
  <w:num w:numId="16">
    <w:abstractNumId w:val="10"/>
  </w:num>
  <w:num w:numId="17">
    <w:abstractNumId w:val="12"/>
  </w:num>
  <w:num w:numId="1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区兴林">
    <w15:presenceInfo w15:providerId="None" w15:userId="区兴林"/>
  </w15:person>
  <w15:person w15:author="Kilig">
    <w15:presenceInfo w15:providerId="WPS Office" w15:userId="28315543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trackRevisions w:val="1"/>
  <w:documentProtection w:enforcement="0"/>
  <w:defaultTabStop w:val="420"/>
  <w:hyphenationZone w:val="360"/>
  <w:drawingGridHorizontalSpacing w:val="105"/>
  <w:drawingGridVerticalSpacing w:val="2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MDUyYzVkMjQzYTllZmRhYzAzYTFmNjg5NzY5ZDYifQ=="/>
  </w:docVars>
  <w:rsids>
    <w:rsidRoot w:val="00172A27"/>
    <w:rsid w:val="00000555"/>
    <w:rsid w:val="000079A5"/>
    <w:rsid w:val="0001228A"/>
    <w:rsid w:val="00014207"/>
    <w:rsid w:val="00014875"/>
    <w:rsid w:val="00015F74"/>
    <w:rsid w:val="00016129"/>
    <w:rsid w:val="000214E4"/>
    <w:rsid w:val="00021A44"/>
    <w:rsid w:val="00024C58"/>
    <w:rsid w:val="000269B4"/>
    <w:rsid w:val="00030BC9"/>
    <w:rsid w:val="000323C6"/>
    <w:rsid w:val="00037DD5"/>
    <w:rsid w:val="0005109D"/>
    <w:rsid w:val="000515E5"/>
    <w:rsid w:val="00060680"/>
    <w:rsid w:val="00061225"/>
    <w:rsid w:val="00065F34"/>
    <w:rsid w:val="000660AA"/>
    <w:rsid w:val="00067F1B"/>
    <w:rsid w:val="000745C4"/>
    <w:rsid w:val="00075092"/>
    <w:rsid w:val="00076E55"/>
    <w:rsid w:val="000779A4"/>
    <w:rsid w:val="00077C1F"/>
    <w:rsid w:val="00080387"/>
    <w:rsid w:val="0008282B"/>
    <w:rsid w:val="00082A2B"/>
    <w:rsid w:val="0008736C"/>
    <w:rsid w:val="00095E72"/>
    <w:rsid w:val="000B3C4E"/>
    <w:rsid w:val="000B4F23"/>
    <w:rsid w:val="000C1362"/>
    <w:rsid w:val="000C2AA4"/>
    <w:rsid w:val="000C2CBB"/>
    <w:rsid w:val="000C4090"/>
    <w:rsid w:val="000C79A1"/>
    <w:rsid w:val="000D5652"/>
    <w:rsid w:val="000E0C2A"/>
    <w:rsid w:val="000E0D31"/>
    <w:rsid w:val="000E1C63"/>
    <w:rsid w:val="000E2DCF"/>
    <w:rsid w:val="000F60D6"/>
    <w:rsid w:val="00100164"/>
    <w:rsid w:val="0010365C"/>
    <w:rsid w:val="001120BC"/>
    <w:rsid w:val="00113332"/>
    <w:rsid w:val="00114125"/>
    <w:rsid w:val="00122422"/>
    <w:rsid w:val="001258F0"/>
    <w:rsid w:val="001260F3"/>
    <w:rsid w:val="00131AF2"/>
    <w:rsid w:val="00134D37"/>
    <w:rsid w:val="001404EA"/>
    <w:rsid w:val="00142E53"/>
    <w:rsid w:val="001431E1"/>
    <w:rsid w:val="0014780B"/>
    <w:rsid w:val="001510AE"/>
    <w:rsid w:val="001617FC"/>
    <w:rsid w:val="001619A4"/>
    <w:rsid w:val="00174391"/>
    <w:rsid w:val="00175777"/>
    <w:rsid w:val="00177485"/>
    <w:rsid w:val="0018767E"/>
    <w:rsid w:val="0018787D"/>
    <w:rsid w:val="00196E5F"/>
    <w:rsid w:val="001A0ABD"/>
    <w:rsid w:val="001B1A38"/>
    <w:rsid w:val="001B24E9"/>
    <w:rsid w:val="001B2D42"/>
    <w:rsid w:val="001B4DB1"/>
    <w:rsid w:val="001C6812"/>
    <w:rsid w:val="001D0A84"/>
    <w:rsid w:val="001D22AC"/>
    <w:rsid w:val="001D2302"/>
    <w:rsid w:val="001D73E6"/>
    <w:rsid w:val="001E28DA"/>
    <w:rsid w:val="001E330A"/>
    <w:rsid w:val="001F1877"/>
    <w:rsid w:val="001F25A5"/>
    <w:rsid w:val="001F4810"/>
    <w:rsid w:val="001F4A87"/>
    <w:rsid w:val="00201C7C"/>
    <w:rsid w:val="00205B44"/>
    <w:rsid w:val="002138C3"/>
    <w:rsid w:val="00217CFD"/>
    <w:rsid w:val="00226835"/>
    <w:rsid w:val="00227CFD"/>
    <w:rsid w:val="00232041"/>
    <w:rsid w:val="00232C77"/>
    <w:rsid w:val="00236078"/>
    <w:rsid w:val="00240211"/>
    <w:rsid w:val="00243AC7"/>
    <w:rsid w:val="002504BF"/>
    <w:rsid w:val="0025291F"/>
    <w:rsid w:val="0025371C"/>
    <w:rsid w:val="002547BD"/>
    <w:rsid w:val="002548FC"/>
    <w:rsid w:val="002560C4"/>
    <w:rsid w:val="0026016E"/>
    <w:rsid w:val="002628DE"/>
    <w:rsid w:val="002654FF"/>
    <w:rsid w:val="00267D5D"/>
    <w:rsid w:val="00281279"/>
    <w:rsid w:val="00283A43"/>
    <w:rsid w:val="00286618"/>
    <w:rsid w:val="00287392"/>
    <w:rsid w:val="002902E8"/>
    <w:rsid w:val="00291A57"/>
    <w:rsid w:val="002A72A9"/>
    <w:rsid w:val="002B3862"/>
    <w:rsid w:val="002C59B1"/>
    <w:rsid w:val="002C646C"/>
    <w:rsid w:val="002D238E"/>
    <w:rsid w:val="002E4E96"/>
    <w:rsid w:val="002E5097"/>
    <w:rsid w:val="002F2027"/>
    <w:rsid w:val="002F20AB"/>
    <w:rsid w:val="002F2A35"/>
    <w:rsid w:val="00301BE1"/>
    <w:rsid w:val="003023AA"/>
    <w:rsid w:val="00303CDC"/>
    <w:rsid w:val="00306218"/>
    <w:rsid w:val="003110E8"/>
    <w:rsid w:val="003111C5"/>
    <w:rsid w:val="00314311"/>
    <w:rsid w:val="00317788"/>
    <w:rsid w:val="00317A15"/>
    <w:rsid w:val="00322465"/>
    <w:rsid w:val="00323D65"/>
    <w:rsid w:val="0032697C"/>
    <w:rsid w:val="00330824"/>
    <w:rsid w:val="00331879"/>
    <w:rsid w:val="00332D11"/>
    <w:rsid w:val="00333BB5"/>
    <w:rsid w:val="0034363D"/>
    <w:rsid w:val="003464A0"/>
    <w:rsid w:val="00347EBE"/>
    <w:rsid w:val="003525D9"/>
    <w:rsid w:val="003549E9"/>
    <w:rsid w:val="003558CA"/>
    <w:rsid w:val="003563BC"/>
    <w:rsid w:val="00361C18"/>
    <w:rsid w:val="003624AA"/>
    <w:rsid w:val="003625E6"/>
    <w:rsid w:val="00363EBD"/>
    <w:rsid w:val="00370BCB"/>
    <w:rsid w:val="00372DDC"/>
    <w:rsid w:val="00374893"/>
    <w:rsid w:val="00375C3E"/>
    <w:rsid w:val="00377DB6"/>
    <w:rsid w:val="0039119B"/>
    <w:rsid w:val="00394A3D"/>
    <w:rsid w:val="00397920"/>
    <w:rsid w:val="003A40A7"/>
    <w:rsid w:val="003C3C1C"/>
    <w:rsid w:val="003C42DA"/>
    <w:rsid w:val="003D4C18"/>
    <w:rsid w:val="003E03F8"/>
    <w:rsid w:val="003F76E7"/>
    <w:rsid w:val="00402B89"/>
    <w:rsid w:val="00403F19"/>
    <w:rsid w:val="004229D6"/>
    <w:rsid w:val="00434AEC"/>
    <w:rsid w:val="00443491"/>
    <w:rsid w:val="0044488E"/>
    <w:rsid w:val="00455B19"/>
    <w:rsid w:val="00456423"/>
    <w:rsid w:val="00473EC2"/>
    <w:rsid w:val="0048224E"/>
    <w:rsid w:val="00482A7A"/>
    <w:rsid w:val="00490ACF"/>
    <w:rsid w:val="00494207"/>
    <w:rsid w:val="004B0C9C"/>
    <w:rsid w:val="004B3591"/>
    <w:rsid w:val="004C3D31"/>
    <w:rsid w:val="004C6F82"/>
    <w:rsid w:val="004C7806"/>
    <w:rsid w:val="004C7A55"/>
    <w:rsid w:val="004C7F4B"/>
    <w:rsid w:val="004D0E1D"/>
    <w:rsid w:val="004D2426"/>
    <w:rsid w:val="004D787D"/>
    <w:rsid w:val="004E51A7"/>
    <w:rsid w:val="004F1A99"/>
    <w:rsid w:val="004F4D10"/>
    <w:rsid w:val="004F5C4D"/>
    <w:rsid w:val="00500F0D"/>
    <w:rsid w:val="0050458C"/>
    <w:rsid w:val="0050601B"/>
    <w:rsid w:val="00506322"/>
    <w:rsid w:val="0052012A"/>
    <w:rsid w:val="00521AA4"/>
    <w:rsid w:val="00521F7B"/>
    <w:rsid w:val="00524AF3"/>
    <w:rsid w:val="00526562"/>
    <w:rsid w:val="00532E54"/>
    <w:rsid w:val="00534470"/>
    <w:rsid w:val="005373DC"/>
    <w:rsid w:val="00551042"/>
    <w:rsid w:val="00551625"/>
    <w:rsid w:val="00551A7C"/>
    <w:rsid w:val="0056714F"/>
    <w:rsid w:val="00573606"/>
    <w:rsid w:val="005743D4"/>
    <w:rsid w:val="00577EE7"/>
    <w:rsid w:val="00583957"/>
    <w:rsid w:val="00590089"/>
    <w:rsid w:val="00595898"/>
    <w:rsid w:val="005B3DB1"/>
    <w:rsid w:val="005B59BF"/>
    <w:rsid w:val="005C770E"/>
    <w:rsid w:val="005D5F8A"/>
    <w:rsid w:val="006011E2"/>
    <w:rsid w:val="00601D28"/>
    <w:rsid w:val="00604550"/>
    <w:rsid w:val="0060517C"/>
    <w:rsid w:val="006064AF"/>
    <w:rsid w:val="00606D9E"/>
    <w:rsid w:val="0061333D"/>
    <w:rsid w:val="00617A43"/>
    <w:rsid w:val="006208B2"/>
    <w:rsid w:val="00624EE6"/>
    <w:rsid w:val="00626CE6"/>
    <w:rsid w:val="00627439"/>
    <w:rsid w:val="00627B56"/>
    <w:rsid w:val="00632653"/>
    <w:rsid w:val="006443EC"/>
    <w:rsid w:val="0065090A"/>
    <w:rsid w:val="00650D25"/>
    <w:rsid w:val="006511BE"/>
    <w:rsid w:val="00656066"/>
    <w:rsid w:val="00657F25"/>
    <w:rsid w:val="006626D5"/>
    <w:rsid w:val="00663676"/>
    <w:rsid w:val="0066405D"/>
    <w:rsid w:val="00665FF8"/>
    <w:rsid w:val="006761DF"/>
    <w:rsid w:val="006951C1"/>
    <w:rsid w:val="00695C2D"/>
    <w:rsid w:val="006A2818"/>
    <w:rsid w:val="006A29E5"/>
    <w:rsid w:val="006A4F59"/>
    <w:rsid w:val="006A6B6F"/>
    <w:rsid w:val="006A7469"/>
    <w:rsid w:val="006B4499"/>
    <w:rsid w:val="006C5163"/>
    <w:rsid w:val="006C7864"/>
    <w:rsid w:val="006D03B7"/>
    <w:rsid w:val="006D1098"/>
    <w:rsid w:val="006D2FBC"/>
    <w:rsid w:val="006D5899"/>
    <w:rsid w:val="006D78DD"/>
    <w:rsid w:val="006E05F6"/>
    <w:rsid w:val="006E0C18"/>
    <w:rsid w:val="006E1CD1"/>
    <w:rsid w:val="006E493C"/>
    <w:rsid w:val="006E4940"/>
    <w:rsid w:val="006E49CC"/>
    <w:rsid w:val="006E4A93"/>
    <w:rsid w:val="006E73BE"/>
    <w:rsid w:val="006F1130"/>
    <w:rsid w:val="006F5DC3"/>
    <w:rsid w:val="007025D2"/>
    <w:rsid w:val="00707ED2"/>
    <w:rsid w:val="00731EF8"/>
    <w:rsid w:val="007367AD"/>
    <w:rsid w:val="00740020"/>
    <w:rsid w:val="00753BAE"/>
    <w:rsid w:val="00755AFB"/>
    <w:rsid w:val="00756D08"/>
    <w:rsid w:val="00762E67"/>
    <w:rsid w:val="0077766A"/>
    <w:rsid w:val="007819FD"/>
    <w:rsid w:val="00786377"/>
    <w:rsid w:val="007900D4"/>
    <w:rsid w:val="007905CD"/>
    <w:rsid w:val="00792708"/>
    <w:rsid w:val="0079425D"/>
    <w:rsid w:val="00795FB9"/>
    <w:rsid w:val="007A04B4"/>
    <w:rsid w:val="007A1084"/>
    <w:rsid w:val="007B0C47"/>
    <w:rsid w:val="007B1A9E"/>
    <w:rsid w:val="007B5E69"/>
    <w:rsid w:val="007C095C"/>
    <w:rsid w:val="007D0CA2"/>
    <w:rsid w:val="007D1108"/>
    <w:rsid w:val="007D1B4B"/>
    <w:rsid w:val="007D6204"/>
    <w:rsid w:val="007E33D6"/>
    <w:rsid w:val="007E7F63"/>
    <w:rsid w:val="007F67E5"/>
    <w:rsid w:val="00814469"/>
    <w:rsid w:val="008155DA"/>
    <w:rsid w:val="0082045D"/>
    <w:rsid w:val="00823C60"/>
    <w:rsid w:val="008250DA"/>
    <w:rsid w:val="0083405A"/>
    <w:rsid w:val="00835371"/>
    <w:rsid w:val="00843818"/>
    <w:rsid w:val="00845F8A"/>
    <w:rsid w:val="00847026"/>
    <w:rsid w:val="00852B84"/>
    <w:rsid w:val="00854F87"/>
    <w:rsid w:val="00855412"/>
    <w:rsid w:val="008575AA"/>
    <w:rsid w:val="00860B45"/>
    <w:rsid w:val="00862DBC"/>
    <w:rsid w:val="00863D89"/>
    <w:rsid w:val="008713CB"/>
    <w:rsid w:val="00871772"/>
    <w:rsid w:val="00872281"/>
    <w:rsid w:val="00872A13"/>
    <w:rsid w:val="008731BF"/>
    <w:rsid w:val="008754D6"/>
    <w:rsid w:val="00880E89"/>
    <w:rsid w:val="0088249B"/>
    <w:rsid w:val="00884077"/>
    <w:rsid w:val="00891829"/>
    <w:rsid w:val="00896B88"/>
    <w:rsid w:val="0089728E"/>
    <w:rsid w:val="008A075B"/>
    <w:rsid w:val="008A5282"/>
    <w:rsid w:val="008B03DB"/>
    <w:rsid w:val="008B21E7"/>
    <w:rsid w:val="008B35B5"/>
    <w:rsid w:val="008C4BB1"/>
    <w:rsid w:val="008C7D93"/>
    <w:rsid w:val="008D08C3"/>
    <w:rsid w:val="008E196D"/>
    <w:rsid w:val="008E3411"/>
    <w:rsid w:val="008E6A34"/>
    <w:rsid w:val="008E6B27"/>
    <w:rsid w:val="008F2542"/>
    <w:rsid w:val="008F2F9D"/>
    <w:rsid w:val="008F6AD4"/>
    <w:rsid w:val="008F7900"/>
    <w:rsid w:val="00901185"/>
    <w:rsid w:val="00902BCB"/>
    <w:rsid w:val="009046DB"/>
    <w:rsid w:val="009153F1"/>
    <w:rsid w:val="00916B63"/>
    <w:rsid w:val="00920476"/>
    <w:rsid w:val="009244C3"/>
    <w:rsid w:val="0093693F"/>
    <w:rsid w:val="009443A6"/>
    <w:rsid w:val="00946BB3"/>
    <w:rsid w:val="0094726F"/>
    <w:rsid w:val="00955CB0"/>
    <w:rsid w:val="00970D48"/>
    <w:rsid w:val="0097224C"/>
    <w:rsid w:val="009764E1"/>
    <w:rsid w:val="009A768E"/>
    <w:rsid w:val="009B57A2"/>
    <w:rsid w:val="009D5D71"/>
    <w:rsid w:val="009E0C76"/>
    <w:rsid w:val="009E12F6"/>
    <w:rsid w:val="009E39ED"/>
    <w:rsid w:val="009E3B5F"/>
    <w:rsid w:val="009E3B7E"/>
    <w:rsid w:val="009F2C31"/>
    <w:rsid w:val="00A0180D"/>
    <w:rsid w:val="00A02620"/>
    <w:rsid w:val="00A06F58"/>
    <w:rsid w:val="00A07D72"/>
    <w:rsid w:val="00A15E07"/>
    <w:rsid w:val="00A22D8E"/>
    <w:rsid w:val="00A32EA0"/>
    <w:rsid w:val="00A331E1"/>
    <w:rsid w:val="00A374AE"/>
    <w:rsid w:val="00A44533"/>
    <w:rsid w:val="00A458F9"/>
    <w:rsid w:val="00A53B8F"/>
    <w:rsid w:val="00A615A4"/>
    <w:rsid w:val="00A6288F"/>
    <w:rsid w:val="00A62973"/>
    <w:rsid w:val="00A662E8"/>
    <w:rsid w:val="00A712F9"/>
    <w:rsid w:val="00A71D99"/>
    <w:rsid w:val="00A765D6"/>
    <w:rsid w:val="00A86DED"/>
    <w:rsid w:val="00A906E4"/>
    <w:rsid w:val="00A91E89"/>
    <w:rsid w:val="00A9744B"/>
    <w:rsid w:val="00AA057C"/>
    <w:rsid w:val="00AA0981"/>
    <w:rsid w:val="00AA1A34"/>
    <w:rsid w:val="00AC0A10"/>
    <w:rsid w:val="00AC135C"/>
    <w:rsid w:val="00AC3DE0"/>
    <w:rsid w:val="00AC4203"/>
    <w:rsid w:val="00AC4C10"/>
    <w:rsid w:val="00AC7A6D"/>
    <w:rsid w:val="00AD2E2B"/>
    <w:rsid w:val="00AD494E"/>
    <w:rsid w:val="00AD4B39"/>
    <w:rsid w:val="00AD7964"/>
    <w:rsid w:val="00AD7A2E"/>
    <w:rsid w:val="00AE000A"/>
    <w:rsid w:val="00AE3EC8"/>
    <w:rsid w:val="00AE5473"/>
    <w:rsid w:val="00AF427F"/>
    <w:rsid w:val="00B01984"/>
    <w:rsid w:val="00B0226D"/>
    <w:rsid w:val="00B20724"/>
    <w:rsid w:val="00B209E7"/>
    <w:rsid w:val="00B25F7D"/>
    <w:rsid w:val="00B3340A"/>
    <w:rsid w:val="00B36C4B"/>
    <w:rsid w:val="00B513AD"/>
    <w:rsid w:val="00B516CC"/>
    <w:rsid w:val="00B51A4B"/>
    <w:rsid w:val="00B547B3"/>
    <w:rsid w:val="00B60EEE"/>
    <w:rsid w:val="00B65174"/>
    <w:rsid w:val="00B66107"/>
    <w:rsid w:val="00B75D5B"/>
    <w:rsid w:val="00B76AEE"/>
    <w:rsid w:val="00B774F0"/>
    <w:rsid w:val="00B828C3"/>
    <w:rsid w:val="00B836CA"/>
    <w:rsid w:val="00BA4FB2"/>
    <w:rsid w:val="00BB1D68"/>
    <w:rsid w:val="00BB41D1"/>
    <w:rsid w:val="00BB5346"/>
    <w:rsid w:val="00BB6C36"/>
    <w:rsid w:val="00BC0051"/>
    <w:rsid w:val="00BC53C8"/>
    <w:rsid w:val="00BD0230"/>
    <w:rsid w:val="00BD0CE9"/>
    <w:rsid w:val="00BD264E"/>
    <w:rsid w:val="00BD67A3"/>
    <w:rsid w:val="00BE2A03"/>
    <w:rsid w:val="00BE3327"/>
    <w:rsid w:val="00BE3A16"/>
    <w:rsid w:val="00BF0ACE"/>
    <w:rsid w:val="00BF2CB8"/>
    <w:rsid w:val="00C00D64"/>
    <w:rsid w:val="00C02A7F"/>
    <w:rsid w:val="00C230FC"/>
    <w:rsid w:val="00C26990"/>
    <w:rsid w:val="00C30462"/>
    <w:rsid w:val="00C409BF"/>
    <w:rsid w:val="00C41FAB"/>
    <w:rsid w:val="00C44402"/>
    <w:rsid w:val="00C4501B"/>
    <w:rsid w:val="00C45F3A"/>
    <w:rsid w:val="00C47731"/>
    <w:rsid w:val="00C54D84"/>
    <w:rsid w:val="00C57247"/>
    <w:rsid w:val="00C67857"/>
    <w:rsid w:val="00C678BD"/>
    <w:rsid w:val="00C718E7"/>
    <w:rsid w:val="00C72833"/>
    <w:rsid w:val="00C7682C"/>
    <w:rsid w:val="00C82ABC"/>
    <w:rsid w:val="00C87D2A"/>
    <w:rsid w:val="00C945BB"/>
    <w:rsid w:val="00C94F56"/>
    <w:rsid w:val="00C96F82"/>
    <w:rsid w:val="00CA091D"/>
    <w:rsid w:val="00CA2FAB"/>
    <w:rsid w:val="00CA6F6B"/>
    <w:rsid w:val="00CB54AC"/>
    <w:rsid w:val="00CB6BBD"/>
    <w:rsid w:val="00CC0F2D"/>
    <w:rsid w:val="00CC2525"/>
    <w:rsid w:val="00CC41FA"/>
    <w:rsid w:val="00CD3DE3"/>
    <w:rsid w:val="00CD4EF5"/>
    <w:rsid w:val="00CE14DB"/>
    <w:rsid w:val="00CE1E31"/>
    <w:rsid w:val="00CE392A"/>
    <w:rsid w:val="00CF7426"/>
    <w:rsid w:val="00D00CF0"/>
    <w:rsid w:val="00D07010"/>
    <w:rsid w:val="00D10325"/>
    <w:rsid w:val="00D12A75"/>
    <w:rsid w:val="00D210B9"/>
    <w:rsid w:val="00D244F2"/>
    <w:rsid w:val="00D24784"/>
    <w:rsid w:val="00D321B0"/>
    <w:rsid w:val="00D34D32"/>
    <w:rsid w:val="00D3610E"/>
    <w:rsid w:val="00D424E5"/>
    <w:rsid w:val="00D45A94"/>
    <w:rsid w:val="00D5392C"/>
    <w:rsid w:val="00D5460C"/>
    <w:rsid w:val="00D57EDD"/>
    <w:rsid w:val="00D60D7D"/>
    <w:rsid w:val="00D62391"/>
    <w:rsid w:val="00D63993"/>
    <w:rsid w:val="00D63B4B"/>
    <w:rsid w:val="00D661A9"/>
    <w:rsid w:val="00D75DF5"/>
    <w:rsid w:val="00D76F04"/>
    <w:rsid w:val="00D8220C"/>
    <w:rsid w:val="00DA0E19"/>
    <w:rsid w:val="00DA36E9"/>
    <w:rsid w:val="00DA6623"/>
    <w:rsid w:val="00DB0501"/>
    <w:rsid w:val="00DB07F1"/>
    <w:rsid w:val="00DB196B"/>
    <w:rsid w:val="00DB2994"/>
    <w:rsid w:val="00DC090A"/>
    <w:rsid w:val="00DC2C38"/>
    <w:rsid w:val="00DC3A29"/>
    <w:rsid w:val="00DC48EA"/>
    <w:rsid w:val="00DC49A4"/>
    <w:rsid w:val="00DD23FD"/>
    <w:rsid w:val="00DD6EA6"/>
    <w:rsid w:val="00DF073A"/>
    <w:rsid w:val="00DF1C20"/>
    <w:rsid w:val="00DF5587"/>
    <w:rsid w:val="00E028CB"/>
    <w:rsid w:val="00E04D65"/>
    <w:rsid w:val="00E11A77"/>
    <w:rsid w:val="00E13F4C"/>
    <w:rsid w:val="00E37F15"/>
    <w:rsid w:val="00E41A0F"/>
    <w:rsid w:val="00E43A0C"/>
    <w:rsid w:val="00E45497"/>
    <w:rsid w:val="00E47AE0"/>
    <w:rsid w:val="00E66206"/>
    <w:rsid w:val="00E70C31"/>
    <w:rsid w:val="00E76BB4"/>
    <w:rsid w:val="00E831E8"/>
    <w:rsid w:val="00E842AC"/>
    <w:rsid w:val="00E90684"/>
    <w:rsid w:val="00E9137A"/>
    <w:rsid w:val="00E9449D"/>
    <w:rsid w:val="00E95962"/>
    <w:rsid w:val="00E963DD"/>
    <w:rsid w:val="00EA161B"/>
    <w:rsid w:val="00EA1EB5"/>
    <w:rsid w:val="00EA4562"/>
    <w:rsid w:val="00EB6170"/>
    <w:rsid w:val="00EB6687"/>
    <w:rsid w:val="00EB7BA5"/>
    <w:rsid w:val="00EC3BA2"/>
    <w:rsid w:val="00ED40AB"/>
    <w:rsid w:val="00ED64FC"/>
    <w:rsid w:val="00EE3F77"/>
    <w:rsid w:val="00EF7C6B"/>
    <w:rsid w:val="00F01A06"/>
    <w:rsid w:val="00F20D03"/>
    <w:rsid w:val="00F250CC"/>
    <w:rsid w:val="00F3057A"/>
    <w:rsid w:val="00F32460"/>
    <w:rsid w:val="00F356D3"/>
    <w:rsid w:val="00F37DEA"/>
    <w:rsid w:val="00F43CF9"/>
    <w:rsid w:val="00F5344B"/>
    <w:rsid w:val="00F6032D"/>
    <w:rsid w:val="00F62AD4"/>
    <w:rsid w:val="00F65AD7"/>
    <w:rsid w:val="00F6609E"/>
    <w:rsid w:val="00F70483"/>
    <w:rsid w:val="00F745CA"/>
    <w:rsid w:val="00F77CF6"/>
    <w:rsid w:val="00F80AEA"/>
    <w:rsid w:val="00F8264D"/>
    <w:rsid w:val="00F86D71"/>
    <w:rsid w:val="00F91FAE"/>
    <w:rsid w:val="00F95020"/>
    <w:rsid w:val="00FA0B62"/>
    <w:rsid w:val="00FA3659"/>
    <w:rsid w:val="00FA51BA"/>
    <w:rsid w:val="00FA73A3"/>
    <w:rsid w:val="00FB0352"/>
    <w:rsid w:val="00FB0899"/>
    <w:rsid w:val="00FB3E22"/>
    <w:rsid w:val="00FB66E8"/>
    <w:rsid w:val="00FB7089"/>
    <w:rsid w:val="00FC1929"/>
    <w:rsid w:val="00FC2AA4"/>
    <w:rsid w:val="00FC5234"/>
    <w:rsid w:val="00FC7649"/>
    <w:rsid w:val="00FD0E7C"/>
    <w:rsid w:val="00FD50D1"/>
    <w:rsid w:val="00FD635E"/>
    <w:rsid w:val="00FD7FEA"/>
    <w:rsid w:val="00FE1EEA"/>
    <w:rsid w:val="00FE35D2"/>
    <w:rsid w:val="012336E6"/>
    <w:rsid w:val="012A4E20"/>
    <w:rsid w:val="014F0454"/>
    <w:rsid w:val="01500D96"/>
    <w:rsid w:val="01614B38"/>
    <w:rsid w:val="01686C59"/>
    <w:rsid w:val="01B75674"/>
    <w:rsid w:val="01C13FA4"/>
    <w:rsid w:val="01CE01ED"/>
    <w:rsid w:val="01D8222A"/>
    <w:rsid w:val="01D90F79"/>
    <w:rsid w:val="01DE7A18"/>
    <w:rsid w:val="01E52FA2"/>
    <w:rsid w:val="01EC2A38"/>
    <w:rsid w:val="021606FA"/>
    <w:rsid w:val="022038B7"/>
    <w:rsid w:val="02207825"/>
    <w:rsid w:val="02270BA0"/>
    <w:rsid w:val="022C5563"/>
    <w:rsid w:val="025139CF"/>
    <w:rsid w:val="02557E0D"/>
    <w:rsid w:val="027D537B"/>
    <w:rsid w:val="028B32E9"/>
    <w:rsid w:val="02A900BD"/>
    <w:rsid w:val="0314209B"/>
    <w:rsid w:val="03202B33"/>
    <w:rsid w:val="03246CBF"/>
    <w:rsid w:val="03282F31"/>
    <w:rsid w:val="03396EF5"/>
    <w:rsid w:val="033A0719"/>
    <w:rsid w:val="03421391"/>
    <w:rsid w:val="034302A7"/>
    <w:rsid w:val="038F1B4D"/>
    <w:rsid w:val="039C687E"/>
    <w:rsid w:val="03B05AA9"/>
    <w:rsid w:val="03B06A36"/>
    <w:rsid w:val="03BE279D"/>
    <w:rsid w:val="03ED5A7A"/>
    <w:rsid w:val="040053D4"/>
    <w:rsid w:val="041348F2"/>
    <w:rsid w:val="04192080"/>
    <w:rsid w:val="041D42E4"/>
    <w:rsid w:val="04350B68"/>
    <w:rsid w:val="04592700"/>
    <w:rsid w:val="04683EBD"/>
    <w:rsid w:val="047212C2"/>
    <w:rsid w:val="0475275C"/>
    <w:rsid w:val="04D54877"/>
    <w:rsid w:val="04DC3910"/>
    <w:rsid w:val="050533C2"/>
    <w:rsid w:val="052A41D4"/>
    <w:rsid w:val="056976A4"/>
    <w:rsid w:val="05992B90"/>
    <w:rsid w:val="05D90262"/>
    <w:rsid w:val="06034E13"/>
    <w:rsid w:val="06153C1A"/>
    <w:rsid w:val="063E5DE1"/>
    <w:rsid w:val="065661F9"/>
    <w:rsid w:val="06573F04"/>
    <w:rsid w:val="06DA5F35"/>
    <w:rsid w:val="06ED1AB2"/>
    <w:rsid w:val="06F32EE6"/>
    <w:rsid w:val="06F439CA"/>
    <w:rsid w:val="074140C4"/>
    <w:rsid w:val="074A2DB9"/>
    <w:rsid w:val="075D3D3C"/>
    <w:rsid w:val="079023E0"/>
    <w:rsid w:val="0797106F"/>
    <w:rsid w:val="07AE46D3"/>
    <w:rsid w:val="07B76CE0"/>
    <w:rsid w:val="07BB168D"/>
    <w:rsid w:val="07BC7FC3"/>
    <w:rsid w:val="07BD3F96"/>
    <w:rsid w:val="07D72169"/>
    <w:rsid w:val="07DC4BEC"/>
    <w:rsid w:val="07FD6A47"/>
    <w:rsid w:val="08250C76"/>
    <w:rsid w:val="083C1ED5"/>
    <w:rsid w:val="08585762"/>
    <w:rsid w:val="08662E76"/>
    <w:rsid w:val="08C57A80"/>
    <w:rsid w:val="08D472EB"/>
    <w:rsid w:val="08E95168"/>
    <w:rsid w:val="08EB6336"/>
    <w:rsid w:val="090C4484"/>
    <w:rsid w:val="091F18DC"/>
    <w:rsid w:val="09365B11"/>
    <w:rsid w:val="09454B91"/>
    <w:rsid w:val="09641532"/>
    <w:rsid w:val="09AB7E19"/>
    <w:rsid w:val="09C17732"/>
    <w:rsid w:val="09E65E9D"/>
    <w:rsid w:val="09FC3B6E"/>
    <w:rsid w:val="0A0D313B"/>
    <w:rsid w:val="0A1A4849"/>
    <w:rsid w:val="0A2F4672"/>
    <w:rsid w:val="0A382E31"/>
    <w:rsid w:val="0A4802E9"/>
    <w:rsid w:val="0A6520E9"/>
    <w:rsid w:val="0A8F0D93"/>
    <w:rsid w:val="0A91472E"/>
    <w:rsid w:val="0AB62E81"/>
    <w:rsid w:val="0AE2129A"/>
    <w:rsid w:val="0B1C3B8E"/>
    <w:rsid w:val="0B382153"/>
    <w:rsid w:val="0B472D30"/>
    <w:rsid w:val="0B7024C1"/>
    <w:rsid w:val="0B716A24"/>
    <w:rsid w:val="0B7C7318"/>
    <w:rsid w:val="0B8D744A"/>
    <w:rsid w:val="0BB66543"/>
    <w:rsid w:val="0C0925D4"/>
    <w:rsid w:val="0C0D5BB3"/>
    <w:rsid w:val="0C2054AA"/>
    <w:rsid w:val="0C647DC4"/>
    <w:rsid w:val="0C8B7B74"/>
    <w:rsid w:val="0C992ADD"/>
    <w:rsid w:val="0C9B6DF4"/>
    <w:rsid w:val="0CA57DE7"/>
    <w:rsid w:val="0D51461B"/>
    <w:rsid w:val="0D6C11AB"/>
    <w:rsid w:val="0D7766F8"/>
    <w:rsid w:val="0D9F3172"/>
    <w:rsid w:val="0DCA09E2"/>
    <w:rsid w:val="0DD264EC"/>
    <w:rsid w:val="0DE97E72"/>
    <w:rsid w:val="0DED04E9"/>
    <w:rsid w:val="0DF80A59"/>
    <w:rsid w:val="0E1F5DA8"/>
    <w:rsid w:val="0E25735B"/>
    <w:rsid w:val="0E483739"/>
    <w:rsid w:val="0E4B3AFB"/>
    <w:rsid w:val="0E5636C4"/>
    <w:rsid w:val="0E614A36"/>
    <w:rsid w:val="0E6727ED"/>
    <w:rsid w:val="0E956458"/>
    <w:rsid w:val="0E9E61E3"/>
    <w:rsid w:val="0EA12B19"/>
    <w:rsid w:val="0EA17047"/>
    <w:rsid w:val="0EE54B85"/>
    <w:rsid w:val="0EEC435E"/>
    <w:rsid w:val="0F0507FA"/>
    <w:rsid w:val="0F29779B"/>
    <w:rsid w:val="0F483ECA"/>
    <w:rsid w:val="0F4E3917"/>
    <w:rsid w:val="0F4F37A2"/>
    <w:rsid w:val="0F552410"/>
    <w:rsid w:val="0F580F62"/>
    <w:rsid w:val="0F5F59BE"/>
    <w:rsid w:val="0F9515A0"/>
    <w:rsid w:val="0FB22EBA"/>
    <w:rsid w:val="0FB242FF"/>
    <w:rsid w:val="101F7594"/>
    <w:rsid w:val="102B2EC4"/>
    <w:rsid w:val="103A230D"/>
    <w:rsid w:val="109049DA"/>
    <w:rsid w:val="109B3BEE"/>
    <w:rsid w:val="10A05372"/>
    <w:rsid w:val="10BD3B7B"/>
    <w:rsid w:val="10D65DB6"/>
    <w:rsid w:val="112E12BC"/>
    <w:rsid w:val="11302F9B"/>
    <w:rsid w:val="11454EEE"/>
    <w:rsid w:val="11A53C33"/>
    <w:rsid w:val="11AC037B"/>
    <w:rsid w:val="11B17402"/>
    <w:rsid w:val="11D67C42"/>
    <w:rsid w:val="11DA321F"/>
    <w:rsid w:val="11ED4472"/>
    <w:rsid w:val="12017D55"/>
    <w:rsid w:val="120479AD"/>
    <w:rsid w:val="120C5BBD"/>
    <w:rsid w:val="1212394C"/>
    <w:rsid w:val="12285EE4"/>
    <w:rsid w:val="12375FD1"/>
    <w:rsid w:val="123F5512"/>
    <w:rsid w:val="1260114B"/>
    <w:rsid w:val="126326CD"/>
    <w:rsid w:val="12976053"/>
    <w:rsid w:val="12A61C0D"/>
    <w:rsid w:val="12A70477"/>
    <w:rsid w:val="13037912"/>
    <w:rsid w:val="13366986"/>
    <w:rsid w:val="133B3675"/>
    <w:rsid w:val="13633D81"/>
    <w:rsid w:val="136C0CE2"/>
    <w:rsid w:val="13741261"/>
    <w:rsid w:val="1390297C"/>
    <w:rsid w:val="13910B91"/>
    <w:rsid w:val="13B847CE"/>
    <w:rsid w:val="13CD06D0"/>
    <w:rsid w:val="13DD0DC7"/>
    <w:rsid w:val="13ED5EA3"/>
    <w:rsid w:val="13F03187"/>
    <w:rsid w:val="14073454"/>
    <w:rsid w:val="140D7577"/>
    <w:rsid w:val="14351E63"/>
    <w:rsid w:val="143D4007"/>
    <w:rsid w:val="14585337"/>
    <w:rsid w:val="14682D77"/>
    <w:rsid w:val="149C7EA9"/>
    <w:rsid w:val="14E51B10"/>
    <w:rsid w:val="14EA00A3"/>
    <w:rsid w:val="15147DAB"/>
    <w:rsid w:val="15191927"/>
    <w:rsid w:val="1554726E"/>
    <w:rsid w:val="155E3808"/>
    <w:rsid w:val="15693575"/>
    <w:rsid w:val="15737A01"/>
    <w:rsid w:val="15A169CA"/>
    <w:rsid w:val="15E432E3"/>
    <w:rsid w:val="15F10E90"/>
    <w:rsid w:val="163C4EE6"/>
    <w:rsid w:val="16780A0C"/>
    <w:rsid w:val="167F6D04"/>
    <w:rsid w:val="16943FB9"/>
    <w:rsid w:val="16D1629B"/>
    <w:rsid w:val="17185EE5"/>
    <w:rsid w:val="173A5A3A"/>
    <w:rsid w:val="17466E39"/>
    <w:rsid w:val="17541B39"/>
    <w:rsid w:val="176F72F2"/>
    <w:rsid w:val="1779319E"/>
    <w:rsid w:val="179A5C6F"/>
    <w:rsid w:val="17A53F0A"/>
    <w:rsid w:val="17C47AAA"/>
    <w:rsid w:val="17CD581C"/>
    <w:rsid w:val="17DA632A"/>
    <w:rsid w:val="17F0231E"/>
    <w:rsid w:val="180D26C2"/>
    <w:rsid w:val="18244E2F"/>
    <w:rsid w:val="184B2DFB"/>
    <w:rsid w:val="18655E1B"/>
    <w:rsid w:val="186B4DAF"/>
    <w:rsid w:val="18870A30"/>
    <w:rsid w:val="189C349E"/>
    <w:rsid w:val="18B06397"/>
    <w:rsid w:val="18C56458"/>
    <w:rsid w:val="18EC321C"/>
    <w:rsid w:val="18F85605"/>
    <w:rsid w:val="19132C7D"/>
    <w:rsid w:val="192645A2"/>
    <w:rsid w:val="19425358"/>
    <w:rsid w:val="197454CB"/>
    <w:rsid w:val="19A4697D"/>
    <w:rsid w:val="19B8555F"/>
    <w:rsid w:val="1A2978C3"/>
    <w:rsid w:val="1A2E0B6C"/>
    <w:rsid w:val="1A3D731F"/>
    <w:rsid w:val="1A803EA8"/>
    <w:rsid w:val="1A8C4F24"/>
    <w:rsid w:val="1A9A20FF"/>
    <w:rsid w:val="1AB55AEC"/>
    <w:rsid w:val="1ABE064C"/>
    <w:rsid w:val="1AC40AFF"/>
    <w:rsid w:val="1AD46523"/>
    <w:rsid w:val="1B10414D"/>
    <w:rsid w:val="1B1468D2"/>
    <w:rsid w:val="1B1B0438"/>
    <w:rsid w:val="1B4F08CC"/>
    <w:rsid w:val="1B4F5D06"/>
    <w:rsid w:val="1B57575B"/>
    <w:rsid w:val="1B6B66E7"/>
    <w:rsid w:val="1B8E344F"/>
    <w:rsid w:val="1B9F12C9"/>
    <w:rsid w:val="1BC2730D"/>
    <w:rsid w:val="1BC87A0D"/>
    <w:rsid w:val="1C1A4944"/>
    <w:rsid w:val="1C385E43"/>
    <w:rsid w:val="1C583684"/>
    <w:rsid w:val="1C8B5C35"/>
    <w:rsid w:val="1C8D489B"/>
    <w:rsid w:val="1CA42420"/>
    <w:rsid w:val="1CC06C34"/>
    <w:rsid w:val="1D1F2F6C"/>
    <w:rsid w:val="1D385688"/>
    <w:rsid w:val="1D3B6EBB"/>
    <w:rsid w:val="1D3F5AAA"/>
    <w:rsid w:val="1D655669"/>
    <w:rsid w:val="1D7B0B24"/>
    <w:rsid w:val="1D84031F"/>
    <w:rsid w:val="1D846ACD"/>
    <w:rsid w:val="1D9225CA"/>
    <w:rsid w:val="1D9D5C1A"/>
    <w:rsid w:val="1DAB5FF6"/>
    <w:rsid w:val="1DB24992"/>
    <w:rsid w:val="1DC646D7"/>
    <w:rsid w:val="1DDC5E7D"/>
    <w:rsid w:val="1DFD649F"/>
    <w:rsid w:val="1E083ADB"/>
    <w:rsid w:val="1E09447F"/>
    <w:rsid w:val="1E210DF0"/>
    <w:rsid w:val="1E476E17"/>
    <w:rsid w:val="1F1F2CFF"/>
    <w:rsid w:val="1F464849"/>
    <w:rsid w:val="1F465AC0"/>
    <w:rsid w:val="1F707DE0"/>
    <w:rsid w:val="1F750BF8"/>
    <w:rsid w:val="1F8261E3"/>
    <w:rsid w:val="1F8B63FF"/>
    <w:rsid w:val="1F986E45"/>
    <w:rsid w:val="1F996C25"/>
    <w:rsid w:val="1FA866B0"/>
    <w:rsid w:val="1FB35320"/>
    <w:rsid w:val="1FC96636"/>
    <w:rsid w:val="1FCF66D3"/>
    <w:rsid w:val="1FE95FF4"/>
    <w:rsid w:val="201E18D4"/>
    <w:rsid w:val="202D24CA"/>
    <w:rsid w:val="20302689"/>
    <w:rsid w:val="2043007C"/>
    <w:rsid w:val="206932BF"/>
    <w:rsid w:val="207A12F8"/>
    <w:rsid w:val="20B024DA"/>
    <w:rsid w:val="20C0270F"/>
    <w:rsid w:val="20CE4A49"/>
    <w:rsid w:val="20CF5D98"/>
    <w:rsid w:val="20D1777B"/>
    <w:rsid w:val="21183EB3"/>
    <w:rsid w:val="21402374"/>
    <w:rsid w:val="214F1F88"/>
    <w:rsid w:val="21573EFD"/>
    <w:rsid w:val="2185460A"/>
    <w:rsid w:val="21970082"/>
    <w:rsid w:val="219C39E9"/>
    <w:rsid w:val="21BB620D"/>
    <w:rsid w:val="21D12A87"/>
    <w:rsid w:val="21D54F40"/>
    <w:rsid w:val="22110665"/>
    <w:rsid w:val="221F7A3A"/>
    <w:rsid w:val="224074BF"/>
    <w:rsid w:val="22740156"/>
    <w:rsid w:val="22B67465"/>
    <w:rsid w:val="22B942D7"/>
    <w:rsid w:val="23013448"/>
    <w:rsid w:val="230C7AEC"/>
    <w:rsid w:val="23417C3B"/>
    <w:rsid w:val="23565B28"/>
    <w:rsid w:val="238166D6"/>
    <w:rsid w:val="23AB72D7"/>
    <w:rsid w:val="24015AA8"/>
    <w:rsid w:val="240E63E5"/>
    <w:rsid w:val="24123B3B"/>
    <w:rsid w:val="24771285"/>
    <w:rsid w:val="248249F0"/>
    <w:rsid w:val="248A2056"/>
    <w:rsid w:val="24A23023"/>
    <w:rsid w:val="25490AC1"/>
    <w:rsid w:val="259405CB"/>
    <w:rsid w:val="259E217D"/>
    <w:rsid w:val="25A166B2"/>
    <w:rsid w:val="25A46690"/>
    <w:rsid w:val="25A6370D"/>
    <w:rsid w:val="25B67C3E"/>
    <w:rsid w:val="25F8014A"/>
    <w:rsid w:val="2610351F"/>
    <w:rsid w:val="26162E3D"/>
    <w:rsid w:val="262A38A9"/>
    <w:rsid w:val="2639573F"/>
    <w:rsid w:val="263C5517"/>
    <w:rsid w:val="264B5A3C"/>
    <w:rsid w:val="26740679"/>
    <w:rsid w:val="26D828F8"/>
    <w:rsid w:val="26DB5492"/>
    <w:rsid w:val="26E9489C"/>
    <w:rsid w:val="26F874B0"/>
    <w:rsid w:val="2737208E"/>
    <w:rsid w:val="273E6268"/>
    <w:rsid w:val="279F69B3"/>
    <w:rsid w:val="27A212EE"/>
    <w:rsid w:val="27DC3034"/>
    <w:rsid w:val="27E04EFF"/>
    <w:rsid w:val="280256CF"/>
    <w:rsid w:val="283631FF"/>
    <w:rsid w:val="285868E8"/>
    <w:rsid w:val="286F7593"/>
    <w:rsid w:val="288405A2"/>
    <w:rsid w:val="28985B64"/>
    <w:rsid w:val="28AD1837"/>
    <w:rsid w:val="28D0683E"/>
    <w:rsid w:val="28E03712"/>
    <w:rsid w:val="29314966"/>
    <w:rsid w:val="293701C6"/>
    <w:rsid w:val="293B5BC6"/>
    <w:rsid w:val="29437759"/>
    <w:rsid w:val="294417E4"/>
    <w:rsid w:val="294979BC"/>
    <w:rsid w:val="29594C8A"/>
    <w:rsid w:val="29776F30"/>
    <w:rsid w:val="29824111"/>
    <w:rsid w:val="29897CDF"/>
    <w:rsid w:val="298E6E8D"/>
    <w:rsid w:val="299B287C"/>
    <w:rsid w:val="29A81D14"/>
    <w:rsid w:val="29AC048F"/>
    <w:rsid w:val="29AC1141"/>
    <w:rsid w:val="29C81023"/>
    <w:rsid w:val="29ED2C9A"/>
    <w:rsid w:val="29F05678"/>
    <w:rsid w:val="2A767DB3"/>
    <w:rsid w:val="2AA03022"/>
    <w:rsid w:val="2AAD76C1"/>
    <w:rsid w:val="2AB200DC"/>
    <w:rsid w:val="2AC27DD3"/>
    <w:rsid w:val="2AE135D3"/>
    <w:rsid w:val="2AEF61CA"/>
    <w:rsid w:val="2B2C5200"/>
    <w:rsid w:val="2B2D46C0"/>
    <w:rsid w:val="2B54259A"/>
    <w:rsid w:val="2B565508"/>
    <w:rsid w:val="2B5E61A3"/>
    <w:rsid w:val="2B9E3CDE"/>
    <w:rsid w:val="2BBA29BC"/>
    <w:rsid w:val="2BC74F16"/>
    <w:rsid w:val="2BD23A33"/>
    <w:rsid w:val="2BF24CEE"/>
    <w:rsid w:val="2C175A51"/>
    <w:rsid w:val="2C263BE0"/>
    <w:rsid w:val="2C617B36"/>
    <w:rsid w:val="2C657296"/>
    <w:rsid w:val="2C7C0AEC"/>
    <w:rsid w:val="2C7F72EF"/>
    <w:rsid w:val="2CC629C4"/>
    <w:rsid w:val="2D2521E3"/>
    <w:rsid w:val="2D285D92"/>
    <w:rsid w:val="2D473A84"/>
    <w:rsid w:val="2D67044E"/>
    <w:rsid w:val="2D9414CB"/>
    <w:rsid w:val="2DAC354C"/>
    <w:rsid w:val="2DB62EB9"/>
    <w:rsid w:val="2DD80872"/>
    <w:rsid w:val="2DDE6705"/>
    <w:rsid w:val="2E0F2171"/>
    <w:rsid w:val="2E110310"/>
    <w:rsid w:val="2E1A2BF4"/>
    <w:rsid w:val="2E217910"/>
    <w:rsid w:val="2E4A7A02"/>
    <w:rsid w:val="2E4C448A"/>
    <w:rsid w:val="2E742B00"/>
    <w:rsid w:val="2EC510E4"/>
    <w:rsid w:val="2EEA144E"/>
    <w:rsid w:val="2EFC2F0B"/>
    <w:rsid w:val="2F0D0F0C"/>
    <w:rsid w:val="2F0F016D"/>
    <w:rsid w:val="2F181735"/>
    <w:rsid w:val="2F435279"/>
    <w:rsid w:val="2F504FA6"/>
    <w:rsid w:val="2F536B36"/>
    <w:rsid w:val="2F760B35"/>
    <w:rsid w:val="2F895E44"/>
    <w:rsid w:val="2FB56069"/>
    <w:rsid w:val="2FBB299F"/>
    <w:rsid w:val="2FD629A9"/>
    <w:rsid w:val="2FEC4495"/>
    <w:rsid w:val="30004250"/>
    <w:rsid w:val="30181370"/>
    <w:rsid w:val="30201E30"/>
    <w:rsid w:val="3061418D"/>
    <w:rsid w:val="306E0A9F"/>
    <w:rsid w:val="307F0084"/>
    <w:rsid w:val="30835EC2"/>
    <w:rsid w:val="309602D7"/>
    <w:rsid w:val="30DA56DD"/>
    <w:rsid w:val="3133516E"/>
    <w:rsid w:val="31356F2F"/>
    <w:rsid w:val="31414F4A"/>
    <w:rsid w:val="31566CEA"/>
    <w:rsid w:val="316A239E"/>
    <w:rsid w:val="31940F1D"/>
    <w:rsid w:val="31A05E33"/>
    <w:rsid w:val="31D47C38"/>
    <w:rsid w:val="321366B9"/>
    <w:rsid w:val="322276FF"/>
    <w:rsid w:val="32443046"/>
    <w:rsid w:val="328428C1"/>
    <w:rsid w:val="3286236F"/>
    <w:rsid w:val="328957BE"/>
    <w:rsid w:val="328C0D48"/>
    <w:rsid w:val="32924AD0"/>
    <w:rsid w:val="329470B3"/>
    <w:rsid w:val="329C7F61"/>
    <w:rsid w:val="32BA2E2D"/>
    <w:rsid w:val="32CD00C2"/>
    <w:rsid w:val="32E16A9D"/>
    <w:rsid w:val="32E17B01"/>
    <w:rsid w:val="32F15E6D"/>
    <w:rsid w:val="32F75F4C"/>
    <w:rsid w:val="33121AC3"/>
    <w:rsid w:val="3338144A"/>
    <w:rsid w:val="333A046B"/>
    <w:rsid w:val="334105D7"/>
    <w:rsid w:val="334B4FCC"/>
    <w:rsid w:val="33B02BFD"/>
    <w:rsid w:val="33B5127A"/>
    <w:rsid w:val="33C24A35"/>
    <w:rsid w:val="33C463D6"/>
    <w:rsid w:val="33C771E5"/>
    <w:rsid w:val="33C9152E"/>
    <w:rsid w:val="33D64E39"/>
    <w:rsid w:val="34085A21"/>
    <w:rsid w:val="34164296"/>
    <w:rsid w:val="342D77B1"/>
    <w:rsid w:val="34456365"/>
    <w:rsid w:val="34672ADE"/>
    <w:rsid w:val="348E027D"/>
    <w:rsid w:val="34AA5E54"/>
    <w:rsid w:val="34D32D02"/>
    <w:rsid w:val="34E6209B"/>
    <w:rsid w:val="34EE78FA"/>
    <w:rsid w:val="35041ED1"/>
    <w:rsid w:val="355D4456"/>
    <w:rsid w:val="35632BB4"/>
    <w:rsid w:val="35721642"/>
    <w:rsid w:val="35A14575"/>
    <w:rsid w:val="35A53741"/>
    <w:rsid w:val="35A7412C"/>
    <w:rsid w:val="35AA5148"/>
    <w:rsid w:val="35CE1B8B"/>
    <w:rsid w:val="35DA00AA"/>
    <w:rsid w:val="36407851"/>
    <w:rsid w:val="364D7322"/>
    <w:rsid w:val="367C3B77"/>
    <w:rsid w:val="36823EA1"/>
    <w:rsid w:val="36921D11"/>
    <w:rsid w:val="369B14B2"/>
    <w:rsid w:val="36A07B73"/>
    <w:rsid w:val="36A31D43"/>
    <w:rsid w:val="36A77458"/>
    <w:rsid w:val="36A83A7C"/>
    <w:rsid w:val="36DA23A0"/>
    <w:rsid w:val="36E77C76"/>
    <w:rsid w:val="370924F5"/>
    <w:rsid w:val="370F771A"/>
    <w:rsid w:val="37141409"/>
    <w:rsid w:val="373C1474"/>
    <w:rsid w:val="375F1BC5"/>
    <w:rsid w:val="375F4DC6"/>
    <w:rsid w:val="37AF5193"/>
    <w:rsid w:val="37E91149"/>
    <w:rsid w:val="37FF209B"/>
    <w:rsid w:val="382A07B9"/>
    <w:rsid w:val="384B2F88"/>
    <w:rsid w:val="387A37D1"/>
    <w:rsid w:val="38837E08"/>
    <w:rsid w:val="389B1B23"/>
    <w:rsid w:val="38A00F7E"/>
    <w:rsid w:val="38B70487"/>
    <w:rsid w:val="38C8426F"/>
    <w:rsid w:val="38CB26C5"/>
    <w:rsid w:val="38D47197"/>
    <w:rsid w:val="38D806EF"/>
    <w:rsid w:val="38E835EA"/>
    <w:rsid w:val="38FC7948"/>
    <w:rsid w:val="38FD42B0"/>
    <w:rsid w:val="39012E68"/>
    <w:rsid w:val="391B1FB8"/>
    <w:rsid w:val="391E4049"/>
    <w:rsid w:val="39673281"/>
    <w:rsid w:val="396F6BDE"/>
    <w:rsid w:val="39AC7049"/>
    <w:rsid w:val="39C06CF1"/>
    <w:rsid w:val="39CD45EA"/>
    <w:rsid w:val="39E63A50"/>
    <w:rsid w:val="39F024EF"/>
    <w:rsid w:val="3A141588"/>
    <w:rsid w:val="3A452E7A"/>
    <w:rsid w:val="3A4F6651"/>
    <w:rsid w:val="3A9D4255"/>
    <w:rsid w:val="3AAF65BE"/>
    <w:rsid w:val="3ACE352D"/>
    <w:rsid w:val="3AE01F61"/>
    <w:rsid w:val="3AF92C73"/>
    <w:rsid w:val="3AFC44E6"/>
    <w:rsid w:val="3B0D18E7"/>
    <w:rsid w:val="3B1125E4"/>
    <w:rsid w:val="3B3D33D0"/>
    <w:rsid w:val="3B5115AA"/>
    <w:rsid w:val="3B5230E3"/>
    <w:rsid w:val="3BAD4BF1"/>
    <w:rsid w:val="3BB70B41"/>
    <w:rsid w:val="3BE0681B"/>
    <w:rsid w:val="3BF50CF0"/>
    <w:rsid w:val="3BF92985"/>
    <w:rsid w:val="3BFB3F1F"/>
    <w:rsid w:val="3C13350A"/>
    <w:rsid w:val="3C1A2059"/>
    <w:rsid w:val="3C3A7A0C"/>
    <w:rsid w:val="3C483711"/>
    <w:rsid w:val="3C611092"/>
    <w:rsid w:val="3C6A4A12"/>
    <w:rsid w:val="3C8D025B"/>
    <w:rsid w:val="3CA50FB3"/>
    <w:rsid w:val="3CB85901"/>
    <w:rsid w:val="3CCE1423"/>
    <w:rsid w:val="3CEE3962"/>
    <w:rsid w:val="3CF36E3B"/>
    <w:rsid w:val="3D1C4579"/>
    <w:rsid w:val="3D3607A3"/>
    <w:rsid w:val="3D4149A1"/>
    <w:rsid w:val="3DA63143"/>
    <w:rsid w:val="3DB764BA"/>
    <w:rsid w:val="3DEB2B56"/>
    <w:rsid w:val="3E5D5B0F"/>
    <w:rsid w:val="3E773480"/>
    <w:rsid w:val="3E886E34"/>
    <w:rsid w:val="3E8A3968"/>
    <w:rsid w:val="3F1C3181"/>
    <w:rsid w:val="3F332003"/>
    <w:rsid w:val="3F424A25"/>
    <w:rsid w:val="3F555854"/>
    <w:rsid w:val="3F61244C"/>
    <w:rsid w:val="3F8F2F73"/>
    <w:rsid w:val="3F92445C"/>
    <w:rsid w:val="3F963DB4"/>
    <w:rsid w:val="3FE5759A"/>
    <w:rsid w:val="3FEA5F9A"/>
    <w:rsid w:val="402C7617"/>
    <w:rsid w:val="402D12C3"/>
    <w:rsid w:val="402E4298"/>
    <w:rsid w:val="403577F8"/>
    <w:rsid w:val="4039515F"/>
    <w:rsid w:val="40487113"/>
    <w:rsid w:val="405A5033"/>
    <w:rsid w:val="408D663C"/>
    <w:rsid w:val="408F34DD"/>
    <w:rsid w:val="409C528D"/>
    <w:rsid w:val="40C74DB1"/>
    <w:rsid w:val="40D71416"/>
    <w:rsid w:val="40FC6A87"/>
    <w:rsid w:val="41112C98"/>
    <w:rsid w:val="41437D01"/>
    <w:rsid w:val="414F6814"/>
    <w:rsid w:val="41606616"/>
    <w:rsid w:val="4174356C"/>
    <w:rsid w:val="41A364CB"/>
    <w:rsid w:val="41CD0AEE"/>
    <w:rsid w:val="41DD3669"/>
    <w:rsid w:val="41EB1931"/>
    <w:rsid w:val="41FE2197"/>
    <w:rsid w:val="42613215"/>
    <w:rsid w:val="428B7CE9"/>
    <w:rsid w:val="429364E4"/>
    <w:rsid w:val="42AF6EE9"/>
    <w:rsid w:val="42B5382E"/>
    <w:rsid w:val="42B73FAB"/>
    <w:rsid w:val="42C57684"/>
    <w:rsid w:val="42F5442B"/>
    <w:rsid w:val="430D0D4A"/>
    <w:rsid w:val="432F4ECE"/>
    <w:rsid w:val="4354587C"/>
    <w:rsid w:val="43547D82"/>
    <w:rsid w:val="435A177B"/>
    <w:rsid w:val="436209ED"/>
    <w:rsid w:val="43BD140A"/>
    <w:rsid w:val="43D368F9"/>
    <w:rsid w:val="43D54D7C"/>
    <w:rsid w:val="43D8572B"/>
    <w:rsid w:val="43D87FBE"/>
    <w:rsid w:val="43E36945"/>
    <w:rsid w:val="43F34C24"/>
    <w:rsid w:val="43FD3DFC"/>
    <w:rsid w:val="441D4C76"/>
    <w:rsid w:val="4445014B"/>
    <w:rsid w:val="4467179C"/>
    <w:rsid w:val="449276F5"/>
    <w:rsid w:val="449C21B0"/>
    <w:rsid w:val="44B418B5"/>
    <w:rsid w:val="44B649BE"/>
    <w:rsid w:val="44D51BEE"/>
    <w:rsid w:val="44D95E6C"/>
    <w:rsid w:val="44E77AA9"/>
    <w:rsid w:val="44F9258A"/>
    <w:rsid w:val="4518007B"/>
    <w:rsid w:val="455A139C"/>
    <w:rsid w:val="457A0DF7"/>
    <w:rsid w:val="457E05D4"/>
    <w:rsid w:val="458A5508"/>
    <w:rsid w:val="45A824EB"/>
    <w:rsid w:val="45B50CCD"/>
    <w:rsid w:val="45B61ADA"/>
    <w:rsid w:val="46093EE9"/>
    <w:rsid w:val="46175DD2"/>
    <w:rsid w:val="461B7BAA"/>
    <w:rsid w:val="46230626"/>
    <w:rsid w:val="46585B90"/>
    <w:rsid w:val="46606D42"/>
    <w:rsid w:val="4670484D"/>
    <w:rsid w:val="46884BB5"/>
    <w:rsid w:val="46916381"/>
    <w:rsid w:val="469B5DBB"/>
    <w:rsid w:val="46B15153"/>
    <w:rsid w:val="46BC6DFD"/>
    <w:rsid w:val="46CF6860"/>
    <w:rsid w:val="46DD59F3"/>
    <w:rsid w:val="46E10954"/>
    <w:rsid w:val="46F1756B"/>
    <w:rsid w:val="47496A00"/>
    <w:rsid w:val="476D11CE"/>
    <w:rsid w:val="479E1544"/>
    <w:rsid w:val="47B1062E"/>
    <w:rsid w:val="47B32057"/>
    <w:rsid w:val="47CA5407"/>
    <w:rsid w:val="47E82D12"/>
    <w:rsid w:val="480709C3"/>
    <w:rsid w:val="48370F7C"/>
    <w:rsid w:val="48401230"/>
    <w:rsid w:val="485936D0"/>
    <w:rsid w:val="48830C66"/>
    <w:rsid w:val="48832422"/>
    <w:rsid w:val="489079CE"/>
    <w:rsid w:val="48F771A9"/>
    <w:rsid w:val="49084007"/>
    <w:rsid w:val="490930B9"/>
    <w:rsid w:val="49197259"/>
    <w:rsid w:val="491A06FA"/>
    <w:rsid w:val="491D5C88"/>
    <w:rsid w:val="498C418F"/>
    <w:rsid w:val="49A566DB"/>
    <w:rsid w:val="49AD0DE7"/>
    <w:rsid w:val="49C51C0E"/>
    <w:rsid w:val="49DA33B5"/>
    <w:rsid w:val="4A08637C"/>
    <w:rsid w:val="4A17237C"/>
    <w:rsid w:val="4A18678E"/>
    <w:rsid w:val="4A1B032D"/>
    <w:rsid w:val="4A235A0F"/>
    <w:rsid w:val="4A37572F"/>
    <w:rsid w:val="4A6B4428"/>
    <w:rsid w:val="4A6B4FB5"/>
    <w:rsid w:val="4A7370BE"/>
    <w:rsid w:val="4A7A24A3"/>
    <w:rsid w:val="4A875865"/>
    <w:rsid w:val="4A8E7005"/>
    <w:rsid w:val="4AAE0033"/>
    <w:rsid w:val="4ACD347D"/>
    <w:rsid w:val="4B1C2164"/>
    <w:rsid w:val="4B1D179A"/>
    <w:rsid w:val="4B334C09"/>
    <w:rsid w:val="4B3B4A32"/>
    <w:rsid w:val="4B3E12E1"/>
    <w:rsid w:val="4B4921D0"/>
    <w:rsid w:val="4B6919FF"/>
    <w:rsid w:val="4B715857"/>
    <w:rsid w:val="4B7A26C0"/>
    <w:rsid w:val="4BB418F8"/>
    <w:rsid w:val="4BC94280"/>
    <w:rsid w:val="4BFF0381"/>
    <w:rsid w:val="4C014B16"/>
    <w:rsid w:val="4C1B21D7"/>
    <w:rsid w:val="4C4D426E"/>
    <w:rsid w:val="4C5E4891"/>
    <w:rsid w:val="4C680D78"/>
    <w:rsid w:val="4C7924EA"/>
    <w:rsid w:val="4C805AAD"/>
    <w:rsid w:val="4C8A2A66"/>
    <w:rsid w:val="4C916CAA"/>
    <w:rsid w:val="4CB73797"/>
    <w:rsid w:val="4CC025D9"/>
    <w:rsid w:val="4CE101E2"/>
    <w:rsid w:val="4CFC2C3C"/>
    <w:rsid w:val="4D140B08"/>
    <w:rsid w:val="4D2F7333"/>
    <w:rsid w:val="4D6C4DB1"/>
    <w:rsid w:val="4D875D49"/>
    <w:rsid w:val="4D8E02D8"/>
    <w:rsid w:val="4D9B6155"/>
    <w:rsid w:val="4D9F09E2"/>
    <w:rsid w:val="4DA76226"/>
    <w:rsid w:val="4DC51B42"/>
    <w:rsid w:val="4DD76538"/>
    <w:rsid w:val="4DDF7017"/>
    <w:rsid w:val="4DF32E3A"/>
    <w:rsid w:val="4E070537"/>
    <w:rsid w:val="4E0826A3"/>
    <w:rsid w:val="4E12000A"/>
    <w:rsid w:val="4E162D22"/>
    <w:rsid w:val="4E2917ED"/>
    <w:rsid w:val="4E294A48"/>
    <w:rsid w:val="4E320A1F"/>
    <w:rsid w:val="4E535B77"/>
    <w:rsid w:val="4E9D5813"/>
    <w:rsid w:val="4EC80F36"/>
    <w:rsid w:val="4EFB6FD3"/>
    <w:rsid w:val="4F0D3554"/>
    <w:rsid w:val="4F256470"/>
    <w:rsid w:val="4F3F08D0"/>
    <w:rsid w:val="4F4019DD"/>
    <w:rsid w:val="4F5C2E79"/>
    <w:rsid w:val="4F816B99"/>
    <w:rsid w:val="4F8E09FC"/>
    <w:rsid w:val="4F9B7B5C"/>
    <w:rsid w:val="4FAE7FFC"/>
    <w:rsid w:val="4FB51B13"/>
    <w:rsid w:val="4FC846F3"/>
    <w:rsid w:val="4FF62167"/>
    <w:rsid w:val="500201CB"/>
    <w:rsid w:val="504500E1"/>
    <w:rsid w:val="50634847"/>
    <w:rsid w:val="50673839"/>
    <w:rsid w:val="507D1810"/>
    <w:rsid w:val="509F26A7"/>
    <w:rsid w:val="50AD344F"/>
    <w:rsid w:val="50AF3128"/>
    <w:rsid w:val="50CC59A8"/>
    <w:rsid w:val="50DE2025"/>
    <w:rsid w:val="512E6449"/>
    <w:rsid w:val="512F400E"/>
    <w:rsid w:val="5154039C"/>
    <w:rsid w:val="5162142F"/>
    <w:rsid w:val="51643154"/>
    <w:rsid w:val="51926028"/>
    <w:rsid w:val="51B52016"/>
    <w:rsid w:val="51B7114C"/>
    <w:rsid w:val="51C75A61"/>
    <w:rsid w:val="51D536DC"/>
    <w:rsid w:val="5257749E"/>
    <w:rsid w:val="52595FFF"/>
    <w:rsid w:val="5266561E"/>
    <w:rsid w:val="528224EF"/>
    <w:rsid w:val="52830160"/>
    <w:rsid w:val="529177CB"/>
    <w:rsid w:val="52AE64B7"/>
    <w:rsid w:val="5300567A"/>
    <w:rsid w:val="53047E21"/>
    <w:rsid w:val="53152C8E"/>
    <w:rsid w:val="533013DA"/>
    <w:rsid w:val="535536DD"/>
    <w:rsid w:val="535706CF"/>
    <w:rsid w:val="53B31A92"/>
    <w:rsid w:val="53BD51D3"/>
    <w:rsid w:val="53C579BB"/>
    <w:rsid w:val="53D616E2"/>
    <w:rsid w:val="540D57FB"/>
    <w:rsid w:val="54362E01"/>
    <w:rsid w:val="54625A6E"/>
    <w:rsid w:val="5464567A"/>
    <w:rsid w:val="547D5A63"/>
    <w:rsid w:val="547F265D"/>
    <w:rsid w:val="548F2BCD"/>
    <w:rsid w:val="54B051A0"/>
    <w:rsid w:val="54BF2A24"/>
    <w:rsid w:val="54C74827"/>
    <w:rsid w:val="54DC2F4D"/>
    <w:rsid w:val="54DE422D"/>
    <w:rsid w:val="54DF16B0"/>
    <w:rsid w:val="54E35195"/>
    <w:rsid w:val="54E754F6"/>
    <w:rsid w:val="54F04563"/>
    <w:rsid w:val="55470857"/>
    <w:rsid w:val="55612299"/>
    <w:rsid w:val="556C4C31"/>
    <w:rsid w:val="55B126BF"/>
    <w:rsid w:val="55BD47F1"/>
    <w:rsid w:val="55CD54D0"/>
    <w:rsid w:val="55D4077E"/>
    <w:rsid w:val="55DC41C2"/>
    <w:rsid w:val="55E06823"/>
    <w:rsid w:val="560A059E"/>
    <w:rsid w:val="561A053D"/>
    <w:rsid w:val="562907DF"/>
    <w:rsid w:val="562B712F"/>
    <w:rsid w:val="562E781F"/>
    <w:rsid w:val="564757FE"/>
    <w:rsid w:val="566B0B5E"/>
    <w:rsid w:val="568F7F66"/>
    <w:rsid w:val="569060BD"/>
    <w:rsid w:val="56925AF6"/>
    <w:rsid w:val="56976F54"/>
    <w:rsid w:val="56981E8C"/>
    <w:rsid w:val="56AA7631"/>
    <w:rsid w:val="56C65812"/>
    <w:rsid w:val="56D32F3F"/>
    <w:rsid w:val="56DE7513"/>
    <w:rsid w:val="5720350A"/>
    <w:rsid w:val="572E197A"/>
    <w:rsid w:val="57364D74"/>
    <w:rsid w:val="57403C2F"/>
    <w:rsid w:val="57702A2F"/>
    <w:rsid w:val="577E2E16"/>
    <w:rsid w:val="578B2B61"/>
    <w:rsid w:val="57A95359"/>
    <w:rsid w:val="57C365FA"/>
    <w:rsid w:val="57D444B1"/>
    <w:rsid w:val="580B6760"/>
    <w:rsid w:val="581A248D"/>
    <w:rsid w:val="581D74CD"/>
    <w:rsid w:val="58340BB1"/>
    <w:rsid w:val="58580C2A"/>
    <w:rsid w:val="5879054E"/>
    <w:rsid w:val="587C108E"/>
    <w:rsid w:val="587D42E8"/>
    <w:rsid w:val="588E4548"/>
    <w:rsid w:val="58A9402C"/>
    <w:rsid w:val="58B55E8A"/>
    <w:rsid w:val="58BE2DDE"/>
    <w:rsid w:val="58DA4642"/>
    <w:rsid w:val="58E23502"/>
    <w:rsid w:val="58EC5098"/>
    <w:rsid w:val="5941419C"/>
    <w:rsid w:val="594738A8"/>
    <w:rsid w:val="59574A2A"/>
    <w:rsid w:val="596022B1"/>
    <w:rsid w:val="596148C1"/>
    <w:rsid w:val="59910377"/>
    <w:rsid w:val="59965392"/>
    <w:rsid w:val="599D38B4"/>
    <w:rsid w:val="59A43304"/>
    <w:rsid w:val="59A725E7"/>
    <w:rsid w:val="59A822CE"/>
    <w:rsid w:val="5A0A4B47"/>
    <w:rsid w:val="5A3A0B2E"/>
    <w:rsid w:val="5A5667EB"/>
    <w:rsid w:val="5A661BA6"/>
    <w:rsid w:val="5A6C456A"/>
    <w:rsid w:val="5A6D56A4"/>
    <w:rsid w:val="5A8B6217"/>
    <w:rsid w:val="5ABA1EBA"/>
    <w:rsid w:val="5ABF2332"/>
    <w:rsid w:val="5ACC20BA"/>
    <w:rsid w:val="5AF44B48"/>
    <w:rsid w:val="5AFA77E7"/>
    <w:rsid w:val="5B1070A3"/>
    <w:rsid w:val="5B1E4467"/>
    <w:rsid w:val="5B360B1B"/>
    <w:rsid w:val="5B4335E2"/>
    <w:rsid w:val="5B45287B"/>
    <w:rsid w:val="5BBB6334"/>
    <w:rsid w:val="5BD032F4"/>
    <w:rsid w:val="5C1F7F56"/>
    <w:rsid w:val="5C501E19"/>
    <w:rsid w:val="5C743DA0"/>
    <w:rsid w:val="5C865525"/>
    <w:rsid w:val="5C94643C"/>
    <w:rsid w:val="5C987B10"/>
    <w:rsid w:val="5CAA775D"/>
    <w:rsid w:val="5CD21BF3"/>
    <w:rsid w:val="5CD37013"/>
    <w:rsid w:val="5CD630FD"/>
    <w:rsid w:val="5CE24228"/>
    <w:rsid w:val="5D125AF1"/>
    <w:rsid w:val="5D145250"/>
    <w:rsid w:val="5D516C91"/>
    <w:rsid w:val="5D7E3EB7"/>
    <w:rsid w:val="5DDD5BE9"/>
    <w:rsid w:val="5DFC652D"/>
    <w:rsid w:val="5E2133AE"/>
    <w:rsid w:val="5E267786"/>
    <w:rsid w:val="5E74138E"/>
    <w:rsid w:val="5E7E6B56"/>
    <w:rsid w:val="5E9823F8"/>
    <w:rsid w:val="5EA34673"/>
    <w:rsid w:val="5EA47FE9"/>
    <w:rsid w:val="5EB86219"/>
    <w:rsid w:val="5EBB2E66"/>
    <w:rsid w:val="5EBB6D2D"/>
    <w:rsid w:val="5EBC7F62"/>
    <w:rsid w:val="5ECE4C53"/>
    <w:rsid w:val="5F013DD7"/>
    <w:rsid w:val="5F1E7E20"/>
    <w:rsid w:val="5F32046E"/>
    <w:rsid w:val="5F4A295F"/>
    <w:rsid w:val="5F6A4723"/>
    <w:rsid w:val="5F6C067B"/>
    <w:rsid w:val="5F7E63A8"/>
    <w:rsid w:val="5F917DC1"/>
    <w:rsid w:val="5FD04722"/>
    <w:rsid w:val="5FD508E5"/>
    <w:rsid w:val="5FE3310D"/>
    <w:rsid w:val="6016711E"/>
    <w:rsid w:val="60435206"/>
    <w:rsid w:val="60536302"/>
    <w:rsid w:val="60616AE8"/>
    <w:rsid w:val="60643D4A"/>
    <w:rsid w:val="607B2200"/>
    <w:rsid w:val="6099123A"/>
    <w:rsid w:val="60BD5D7E"/>
    <w:rsid w:val="60C326B8"/>
    <w:rsid w:val="60D2211D"/>
    <w:rsid w:val="60DB7753"/>
    <w:rsid w:val="60DE3D58"/>
    <w:rsid w:val="61027159"/>
    <w:rsid w:val="610F0B43"/>
    <w:rsid w:val="61104657"/>
    <w:rsid w:val="616F49AC"/>
    <w:rsid w:val="61851466"/>
    <w:rsid w:val="61853649"/>
    <w:rsid w:val="618D41F4"/>
    <w:rsid w:val="619462BF"/>
    <w:rsid w:val="61977569"/>
    <w:rsid w:val="61B57EBB"/>
    <w:rsid w:val="61BC01D5"/>
    <w:rsid w:val="61CD2744"/>
    <w:rsid w:val="61CE2E49"/>
    <w:rsid w:val="61D42022"/>
    <w:rsid w:val="61EA059B"/>
    <w:rsid w:val="6206492C"/>
    <w:rsid w:val="621866F9"/>
    <w:rsid w:val="621B0E4D"/>
    <w:rsid w:val="62285699"/>
    <w:rsid w:val="622B03FB"/>
    <w:rsid w:val="62311AF5"/>
    <w:rsid w:val="62427759"/>
    <w:rsid w:val="626D1731"/>
    <w:rsid w:val="62736263"/>
    <w:rsid w:val="62797979"/>
    <w:rsid w:val="62B97685"/>
    <w:rsid w:val="62DD5471"/>
    <w:rsid w:val="62EA64E2"/>
    <w:rsid w:val="63044A18"/>
    <w:rsid w:val="63076C72"/>
    <w:rsid w:val="63092E60"/>
    <w:rsid w:val="631A3E43"/>
    <w:rsid w:val="631D4B62"/>
    <w:rsid w:val="633D1DFC"/>
    <w:rsid w:val="634E6796"/>
    <w:rsid w:val="63731506"/>
    <w:rsid w:val="637921F6"/>
    <w:rsid w:val="639F3002"/>
    <w:rsid w:val="63C06FCF"/>
    <w:rsid w:val="63C64480"/>
    <w:rsid w:val="63E14897"/>
    <w:rsid w:val="63E17A1F"/>
    <w:rsid w:val="63F439AF"/>
    <w:rsid w:val="6409203C"/>
    <w:rsid w:val="642C332C"/>
    <w:rsid w:val="64544629"/>
    <w:rsid w:val="64785E07"/>
    <w:rsid w:val="647868E8"/>
    <w:rsid w:val="64A872E1"/>
    <w:rsid w:val="64C96B99"/>
    <w:rsid w:val="64D52DD0"/>
    <w:rsid w:val="64DD014D"/>
    <w:rsid w:val="64E64EE6"/>
    <w:rsid w:val="64F6548B"/>
    <w:rsid w:val="6515489F"/>
    <w:rsid w:val="65160C8A"/>
    <w:rsid w:val="654E3D62"/>
    <w:rsid w:val="65746401"/>
    <w:rsid w:val="65883758"/>
    <w:rsid w:val="659137BA"/>
    <w:rsid w:val="661E456B"/>
    <w:rsid w:val="6629752A"/>
    <w:rsid w:val="664045DD"/>
    <w:rsid w:val="664A21ED"/>
    <w:rsid w:val="66793F89"/>
    <w:rsid w:val="66816A1F"/>
    <w:rsid w:val="66A01CED"/>
    <w:rsid w:val="66B4034B"/>
    <w:rsid w:val="66BE7AF7"/>
    <w:rsid w:val="66C43F26"/>
    <w:rsid w:val="66CD664B"/>
    <w:rsid w:val="66DC367C"/>
    <w:rsid w:val="66F94430"/>
    <w:rsid w:val="66FD2106"/>
    <w:rsid w:val="6715798F"/>
    <w:rsid w:val="67561B83"/>
    <w:rsid w:val="6763374A"/>
    <w:rsid w:val="678978DD"/>
    <w:rsid w:val="678D02B9"/>
    <w:rsid w:val="67B05129"/>
    <w:rsid w:val="67BB1DCC"/>
    <w:rsid w:val="67D657BF"/>
    <w:rsid w:val="67EA6813"/>
    <w:rsid w:val="67EE175A"/>
    <w:rsid w:val="67FD457E"/>
    <w:rsid w:val="6808702A"/>
    <w:rsid w:val="681E7442"/>
    <w:rsid w:val="68226528"/>
    <w:rsid w:val="683956F3"/>
    <w:rsid w:val="68945DAB"/>
    <w:rsid w:val="689F71E2"/>
    <w:rsid w:val="68A85393"/>
    <w:rsid w:val="68AA6225"/>
    <w:rsid w:val="68E07A12"/>
    <w:rsid w:val="68F114F3"/>
    <w:rsid w:val="68F45E93"/>
    <w:rsid w:val="690A484F"/>
    <w:rsid w:val="691E64C4"/>
    <w:rsid w:val="69590F48"/>
    <w:rsid w:val="6966176E"/>
    <w:rsid w:val="69694365"/>
    <w:rsid w:val="696F0F18"/>
    <w:rsid w:val="6971352A"/>
    <w:rsid w:val="698D1405"/>
    <w:rsid w:val="699E2D17"/>
    <w:rsid w:val="69BF513F"/>
    <w:rsid w:val="69CF2686"/>
    <w:rsid w:val="69E765A4"/>
    <w:rsid w:val="69F150B3"/>
    <w:rsid w:val="6A115073"/>
    <w:rsid w:val="6A2D7995"/>
    <w:rsid w:val="6A2F3BE3"/>
    <w:rsid w:val="6A4424FC"/>
    <w:rsid w:val="6A4C68CA"/>
    <w:rsid w:val="6A600AF6"/>
    <w:rsid w:val="6A765939"/>
    <w:rsid w:val="6A7D6686"/>
    <w:rsid w:val="6A89303E"/>
    <w:rsid w:val="6A8D11A2"/>
    <w:rsid w:val="6A9629EA"/>
    <w:rsid w:val="6AD22EF4"/>
    <w:rsid w:val="6B0B5FBA"/>
    <w:rsid w:val="6B156C7C"/>
    <w:rsid w:val="6B162C64"/>
    <w:rsid w:val="6B237436"/>
    <w:rsid w:val="6B6C54A4"/>
    <w:rsid w:val="6B8D49C4"/>
    <w:rsid w:val="6BB71793"/>
    <w:rsid w:val="6BBB73E1"/>
    <w:rsid w:val="6BD9006A"/>
    <w:rsid w:val="6BDD2295"/>
    <w:rsid w:val="6BDD7FB2"/>
    <w:rsid w:val="6BF06EF2"/>
    <w:rsid w:val="6C056EBB"/>
    <w:rsid w:val="6C071EDF"/>
    <w:rsid w:val="6C276665"/>
    <w:rsid w:val="6C315F5B"/>
    <w:rsid w:val="6C5472FE"/>
    <w:rsid w:val="6C584F59"/>
    <w:rsid w:val="6C6A541F"/>
    <w:rsid w:val="6C812226"/>
    <w:rsid w:val="6C8C1B7B"/>
    <w:rsid w:val="6C945B77"/>
    <w:rsid w:val="6CAD1275"/>
    <w:rsid w:val="6CB01421"/>
    <w:rsid w:val="6CBB3D11"/>
    <w:rsid w:val="6CCD6E87"/>
    <w:rsid w:val="6CF84AEB"/>
    <w:rsid w:val="6D0A51A3"/>
    <w:rsid w:val="6D0D1D8D"/>
    <w:rsid w:val="6D0D58A3"/>
    <w:rsid w:val="6D3A4CA7"/>
    <w:rsid w:val="6D44490C"/>
    <w:rsid w:val="6D487467"/>
    <w:rsid w:val="6D533AF6"/>
    <w:rsid w:val="6D72786E"/>
    <w:rsid w:val="6D7F5DBE"/>
    <w:rsid w:val="6D874595"/>
    <w:rsid w:val="6DE36C6B"/>
    <w:rsid w:val="6DE96707"/>
    <w:rsid w:val="6DEF7A70"/>
    <w:rsid w:val="6E0541E1"/>
    <w:rsid w:val="6E3060DF"/>
    <w:rsid w:val="6E47160D"/>
    <w:rsid w:val="6E5572C8"/>
    <w:rsid w:val="6E5619BB"/>
    <w:rsid w:val="6E716C6D"/>
    <w:rsid w:val="6E7B6504"/>
    <w:rsid w:val="6E935AEC"/>
    <w:rsid w:val="6EAE0AC0"/>
    <w:rsid w:val="6EC24BAA"/>
    <w:rsid w:val="6EC77A4E"/>
    <w:rsid w:val="6EC8665C"/>
    <w:rsid w:val="6EE71D84"/>
    <w:rsid w:val="6F1F4972"/>
    <w:rsid w:val="6F30777E"/>
    <w:rsid w:val="6F416C75"/>
    <w:rsid w:val="6F717CA0"/>
    <w:rsid w:val="6F864C1D"/>
    <w:rsid w:val="6F8D1381"/>
    <w:rsid w:val="6F997F94"/>
    <w:rsid w:val="6FA363F0"/>
    <w:rsid w:val="70030925"/>
    <w:rsid w:val="701B67E4"/>
    <w:rsid w:val="702A2D4F"/>
    <w:rsid w:val="702F04BD"/>
    <w:rsid w:val="7067715C"/>
    <w:rsid w:val="707834A7"/>
    <w:rsid w:val="70AE24C4"/>
    <w:rsid w:val="70BB456C"/>
    <w:rsid w:val="70C2583D"/>
    <w:rsid w:val="70C633D9"/>
    <w:rsid w:val="70E42995"/>
    <w:rsid w:val="70E7385E"/>
    <w:rsid w:val="70FB5326"/>
    <w:rsid w:val="70FD2F71"/>
    <w:rsid w:val="710A45DA"/>
    <w:rsid w:val="710A58F4"/>
    <w:rsid w:val="712C69AD"/>
    <w:rsid w:val="715C7AC1"/>
    <w:rsid w:val="71AD124E"/>
    <w:rsid w:val="71CA23F2"/>
    <w:rsid w:val="71E165B8"/>
    <w:rsid w:val="721C4189"/>
    <w:rsid w:val="72323158"/>
    <w:rsid w:val="724531AB"/>
    <w:rsid w:val="724C2715"/>
    <w:rsid w:val="725F23F7"/>
    <w:rsid w:val="72635381"/>
    <w:rsid w:val="727D34DB"/>
    <w:rsid w:val="728C73BA"/>
    <w:rsid w:val="72D87437"/>
    <w:rsid w:val="730674ED"/>
    <w:rsid w:val="732C66D9"/>
    <w:rsid w:val="733F00DA"/>
    <w:rsid w:val="73425675"/>
    <w:rsid w:val="734B1EA1"/>
    <w:rsid w:val="735468A3"/>
    <w:rsid w:val="73687EE7"/>
    <w:rsid w:val="739817AF"/>
    <w:rsid w:val="739A2A04"/>
    <w:rsid w:val="739F171C"/>
    <w:rsid w:val="73B67C96"/>
    <w:rsid w:val="73F63FE1"/>
    <w:rsid w:val="74010AA7"/>
    <w:rsid w:val="742413E3"/>
    <w:rsid w:val="744E7FBB"/>
    <w:rsid w:val="74830F98"/>
    <w:rsid w:val="74B0126B"/>
    <w:rsid w:val="74B24839"/>
    <w:rsid w:val="74C87BCE"/>
    <w:rsid w:val="75135AAD"/>
    <w:rsid w:val="75302FAF"/>
    <w:rsid w:val="753F28B6"/>
    <w:rsid w:val="75455736"/>
    <w:rsid w:val="75782BB9"/>
    <w:rsid w:val="75A77364"/>
    <w:rsid w:val="75DD1EDB"/>
    <w:rsid w:val="75E308BE"/>
    <w:rsid w:val="75FB4BD7"/>
    <w:rsid w:val="764F4B72"/>
    <w:rsid w:val="76520E3B"/>
    <w:rsid w:val="765D2701"/>
    <w:rsid w:val="765F262C"/>
    <w:rsid w:val="7669638C"/>
    <w:rsid w:val="76787375"/>
    <w:rsid w:val="767B79FF"/>
    <w:rsid w:val="76944314"/>
    <w:rsid w:val="76AB1662"/>
    <w:rsid w:val="76BF0D62"/>
    <w:rsid w:val="76CF6A53"/>
    <w:rsid w:val="76D347F3"/>
    <w:rsid w:val="77065486"/>
    <w:rsid w:val="77355F7C"/>
    <w:rsid w:val="775C3774"/>
    <w:rsid w:val="777B3B52"/>
    <w:rsid w:val="777D73A2"/>
    <w:rsid w:val="777F7888"/>
    <w:rsid w:val="77864D41"/>
    <w:rsid w:val="778F2F00"/>
    <w:rsid w:val="77E47072"/>
    <w:rsid w:val="77F71A78"/>
    <w:rsid w:val="78360B2E"/>
    <w:rsid w:val="784C125D"/>
    <w:rsid w:val="78503ABB"/>
    <w:rsid w:val="78564C4C"/>
    <w:rsid w:val="78674A90"/>
    <w:rsid w:val="786F5C6B"/>
    <w:rsid w:val="789B220F"/>
    <w:rsid w:val="789B3646"/>
    <w:rsid w:val="789D253D"/>
    <w:rsid w:val="78A57F50"/>
    <w:rsid w:val="78CD4F01"/>
    <w:rsid w:val="78F65387"/>
    <w:rsid w:val="78F94136"/>
    <w:rsid w:val="78FC6501"/>
    <w:rsid w:val="79325703"/>
    <w:rsid w:val="79807C1F"/>
    <w:rsid w:val="79885132"/>
    <w:rsid w:val="798D7610"/>
    <w:rsid w:val="79AF73C9"/>
    <w:rsid w:val="79C146DB"/>
    <w:rsid w:val="7A0F5786"/>
    <w:rsid w:val="7A1F6615"/>
    <w:rsid w:val="7A2E7958"/>
    <w:rsid w:val="7A4069F0"/>
    <w:rsid w:val="7A4479E8"/>
    <w:rsid w:val="7A5B4037"/>
    <w:rsid w:val="7A9E15EB"/>
    <w:rsid w:val="7AA35968"/>
    <w:rsid w:val="7AA37395"/>
    <w:rsid w:val="7AB253A5"/>
    <w:rsid w:val="7AB770E7"/>
    <w:rsid w:val="7B15246B"/>
    <w:rsid w:val="7B2D6103"/>
    <w:rsid w:val="7B3908A2"/>
    <w:rsid w:val="7B4C0790"/>
    <w:rsid w:val="7B6A0B5C"/>
    <w:rsid w:val="7B74410E"/>
    <w:rsid w:val="7B7D4918"/>
    <w:rsid w:val="7B7E2C2A"/>
    <w:rsid w:val="7B8A02D8"/>
    <w:rsid w:val="7BA20689"/>
    <w:rsid w:val="7BC85959"/>
    <w:rsid w:val="7BD25C8D"/>
    <w:rsid w:val="7BE1673D"/>
    <w:rsid w:val="7BFD2B00"/>
    <w:rsid w:val="7C1F036E"/>
    <w:rsid w:val="7C2A54FF"/>
    <w:rsid w:val="7C2E7D5F"/>
    <w:rsid w:val="7C3B2216"/>
    <w:rsid w:val="7C4844D1"/>
    <w:rsid w:val="7C4A2C1E"/>
    <w:rsid w:val="7C5055F8"/>
    <w:rsid w:val="7C5723DF"/>
    <w:rsid w:val="7C6B4A7D"/>
    <w:rsid w:val="7C716BFE"/>
    <w:rsid w:val="7C8C2880"/>
    <w:rsid w:val="7C8E0F9C"/>
    <w:rsid w:val="7CAD0DFD"/>
    <w:rsid w:val="7D334554"/>
    <w:rsid w:val="7D8260EC"/>
    <w:rsid w:val="7DAD1148"/>
    <w:rsid w:val="7DB76BA9"/>
    <w:rsid w:val="7DFA51E3"/>
    <w:rsid w:val="7E076F96"/>
    <w:rsid w:val="7E114F17"/>
    <w:rsid w:val="7E191068"/>
    <w:rsid w:val="7E271A30"/>
    <w:rsid w:val="7E310FFB"/>
    <w:rsid w:val="7E323D9A"/>
    <w:rsid w:val="7E32772C"/>
    <w:rsid w:val="7E6435A9"/>
    <w:rsid w:val="7E746B02"/>
    <w:rsid w:val="7E7B69DA"/>
    <w:rsid w:val="7EB9129E"/>
    <w:rsid w:val="7ECD7148"/>
    <w:rsid w:val="7EDA03C5"/>
    <w:rsid w:val="7EE53515"/>
    <w:rsid w:val="7EF10428"/>
    <w:rsid w:val="7EF20F9C"/>
    <w:rsid w:val="7F192944"/>
    <w:rsid w:val="7F1C00BD"/>
    <w:rsid w:val="7F1F7AC8"/>
    <w:rsid w:val="7F235B69"/>
    <w:rsid w:val="7F320455"/>
    <w:rsid w:val="7F3B0713"/>
    <w:rsid w:val="7F5D7A12"/>
    <w:rsid w:val="7F6F448D"/>
    <w:rsid w:val="7F724223"/>
    <w:rsid w:val="7F7D3F09"/>
    <w:rsid w:val="7F8E61AF"/>
    <w:rsid w:val="7FA222AE"/>
    <w:rsid w:val="7FB3693B"/>
    <w:rsid w:val="7FEA7913"/>
    <w:rsid w:val="7FF777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40" w:beforeLines="0" w:after="40" w:afterLines="0"/>
      <w:jc w:val="center"/>
      <w:outlineLvl w:val="0"/>
    </w:pPr>
    <w:rPr>
      <w:b/>
      <w:bCs/>
      <w:kern w:val="44"/>
      <w:sz w:val="36"/>
      <w:szCs w:val="44"/>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6">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2"/>
    <w:qFormat/>
    <w:uiPriority w:val="0"/>
    <w:pPr>
      <w:widowControl/>
      <w:tabs>
        <w:tab w:val="left" w:pos="3004"/>
      </w:tabs>
      <w:spacing w:line="360" w:lineRule="auto"/>
      <w:ind w:left="3004" w:hanging="2166"/>
      <w:outlineLvl w:val="4"/>
    </w:pPr>
    <w:rPr>
      <w:rFonts w:ascii="宋体" w:hAnsi="宋体" w:cs="宋体"/>
      <w:bCs/>
      <w:szCs w:val="21"/>
    </w:rPr>
  </w:style>
  <w:style w:type="character" w:default="1" w:styleId="37">
    <w:name w:val="Default Paragraph Font"/>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2">
    <w:name w:val="Normal Indent"/>
    <w:basedOn w:val="1"/>
    <w:link w:val="107"/>
    <w:qFormat/>
    <w:uiPriority w:val="0"/>
    <w:pPr>
      <w:ind w:firstLine="420"/>
    </w:pPr>
    <w:rPr>
      <w:szCs w:val="20"/>
    </w:rPr>
  </w:style>
  <w:style w:type="paragraph" w:styleId="8">
    <w:name w:val="toc 7"/>
    <w:basedOn w:val="1"/>
    <w:next w:val="1"/>
    <w:qFormat/>
    <w:uiPriority w:val="0"/>
    <w:pPr>
      <w:ind w:left="1260"/>
      <w:jc w:val="left"/>
    </w:pPr>
    <w:rPr>
      <w:sz w:val="18"/>
      <w:szCs w:val="18"/>
    </w:rPr>
  </w:style>
  <w:style w:type="paragraph" w:styleId="9">
    <w:name w:val="caption"/>
    <w:basedOn w:val="1"/>
    <w:next w:val="1"/>
    <w:qFormat/>
    <w:uiPriority w:val="0"/>
    <w:pPr>
      <w:spacing w:before="152" w:beforeLines="0" w:after="160" w:afterLines="0"/>
    </w:pPr>
    <w:rPr>
      <w:rFonts w:ascii="Arial" w:hAnsi="Arial" w:eastAsia="黑体" w:cs="Arial"/>
      <w:sz w:val="20"/>
      <w:szCs w:val="20"/>
    </w:rPr>
  </w:style>
  <w:style w:type="paragraph" w:styleId="10">
    <w:name w:val="Document Map"/>
    <w:basedOn w:val="1"/>
    <w:link w:val="94"/>
    <w:qFormat/>
    <w:uiPriority w:val="0"/>
    <w:rPr>
      <w:rFonts w:ascii="宋体"/>
      <w:sz w:val="18"/>
      <w:szCs w:val="18"/>
    </w:rPr>
  </w:style>
  <w:style w:type="paragraph" w:styleId="11">
    <w:name w:val="toa heading"/>
    <w:basedOn w:val="1"/>
    <w:next w:val="1"/>
    <w:qFormat/>
    <w:uiPriority w:val="0"/>
    <w:pPr>
      <w:spacing w:before="120" w:beforeLines="0"/>
    </w:pPr>
    <w:rPr>
      <w:rFonts w:ascii="Arial" w:hAnsi="Arial" w:cs="Arial"/>
      <w:sz w:val="24"/>
    </w:rPr>
  </w:style>
  <w:style w:type="paragraph" w:styleId="12">
    <w:name w:val="annotation text"/>
    <w:basedOn w:val="1"/>
    <w:link w:val="108"/>
    <w:qFormat/>
    <w:uiPriority w:val="0"/>
    <w:pPr>
      <w:widowControl/>
      <w:jc w:val="left"/>
    </w:pPr>
    <w:rPr>
      <w:kern w:val="0"/>
      <w:szCs w:val="20"/>
    </w:rPr>
  </w:style>
  <w:style w:type="paragraph" w:styleId="13">
    <w:name w:val="Body Text 3"/>
    <w:basedOn w:val="1"/>
    <w:qFormat/>
    <w:uiPriority w:val="0"/>
    <w:pPr>
      <w:spacing w:after="120" w:afterLines="0"/>
    </w:pPr>
    <w:rPr>
      <w:sz w:val="16"/>
      <w:szCs w:val="16"/>
    </w:rPr>
  </w:style>
  <w:style w:type="paragraph" w:styleId="14">
    <w:name w:val="Body Text"/>
    <w:basedOn w:val="1"/>
    <w:qFormat/>
    <w:uiPriority w:val="0"/>
    <w:pPr>
      <w:spacing w:after="120" w:afterLines="0"/>
    </w:pPr>
  </w:style>
  <w:style w:type="paragraph" w:styleId="15">
    <w:name w:val="Body Text Indent"/>
    <w:basedOn w:val="1"/>
    <w:qFormat/>
    <w:uiPriority w:val="0"/>
    <w:pPr>
      <w:spacing w:after="120" w:afterLines="0"/>
      <w:ind w:left="420" w:leftChars="200"/>
    </w:pPr>
  </w:style>
  <w:style w:type="paragraph" w:styleId="16">
    <w:name w:val="toc 5"/>
    <w:basedOn w:val="1"/>
    <w:next w:val="1"/>
    <w:qFormat/>
    <w:uiPriority w:val="0"/>
    <w:pPr>
      <w:ind w:left="840"/>
      <w:jc w:val="left"/>
    </w:pPr>
    <w:rPr>
      <w:sz w:val="18"/>
      <w:szCs w:val="18"/>
    </w:rPr>
  </w:style>
  <w:style w:type="paragraph" w:styleId="17">
    <w:name w:val="toc 3"/>
    <w:basedOn w:val="1"/>
    <w:next w:val="1"/>
    <w:qFormat/>
    <w:uiPriority w:val="0"/>
    <w:pPr>
      <w:ind w:left="420"/>
      <w:jc w:val="left"/>
    </w:pPr>
    <w:rPr>
      <w:i/>
      <w:iCs/>
      <w:sz w:val="20"/>
      <w:szCs w:val="20"/>
    </w:rPr>
  </w:style>
  <w:style w:type="paragraph" w:styleId="18">
    <w:name w:val="Plain Text"/>
    <w:basedOn w:val="1"/>
    <w:next w:val="1"/>
    <w:link w:val="106"/>
    <w:qFormat/>
    <w:uiPriority w:val="0"/>
    <w:rPr>
      <w:rFonts w:ascii="宋体" w:hAnsi="Courier New" w:cs="Courier New"/>
      <w:szCs w:val="21"/>
    </w:rPr>
  </w:style>
  <w:style w:type="paragraph" w:styleId="19">
    <w:name w:val="toc 8"/>
    <w:basedOn w:val="1"/>
    <w:next w:val="1"/>
    <w:qFormat/>
    <w:uiPriority w:val="0"/>
    <w:pPr>
      <w:ind w:left="1470"/>
      <w:jc w:val="left"/>
    </w:pPr>
    <w:rPr>
      <w:sz w:val="18"/>
      <w:szCs w:val="18"/>
    </w:rPr>
  </w:style>
  <w:style w:type="paragraph" w:styleId="20">
    <w:name w:val="Date"/>
    <w:basedOn w:val="1"/>
    <w:next w:val="1"/>
    <w:qFormat/>
    <w:uiPriority w:val="0"/>
    <w:rPr>
      <w:szCs w:val="20"/>
    </w:rPr>
  </w:style>
  <w:style w:type="paragraph" w:styleId="21">
    <w:name w:val="Balloon Text"/>
    <w:basedOn w:val="1"/>
    <w:qFormat/>
    <w:uiPriority w:val="0"/>
    <w:rPr>
      <w:sz w:val="18"/>
      <w:szCs w:val="18"/>
    </w:rPr>
  </w:style>
  <w:style w:type="paragraph" w:styleId="22">
    <w:name w:val="footer"/>
    <w:basedOn w:val="1"/>
    <w:link w:val="91"/>
    <w:qFormat/>
    <w:uiPriority w:val="0"/>
    <w:pPr>
      <w:tabs>
        <w:tab w:val="center" w:pos="4153"/>
        <w:tab w:val="right" w:pos="8306"/>
      </w:tabs>
      <w:snapToGrid w:val="0"/>
      <w:jc w:val="left"/>
    </w:pPr>
    <w:rPr>
      <w:sz w:val="18"/>
      <w:szCs w:val="18"/>
    </w:rPr>
  </w:style>
  <w:style w:type="paragraph" w:styleId="23">
    <w:name w:val="header"/>
    <w:basedOn w:val="1"/>
    <w:link w:val="102"/>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25"/>
    <w:next w:val="1"/>
    <w:qFormat/>
    <w:uiPriority w:val="0"/>
    <w:pPr>
      <w:spacing w:before="120" w:beforeLines="0" w:after="120" w:afterLines="0" w:line="240" w:lineRule="auto"/>
      <w:jc w:val="left"/>
    </w:pPr>
    <w:rPr>
      <w:rFonts w:eastAsia="宋体"/>
      <w:caps/>
      <w:sz w:val="20"/>
      <w:szCs w:val="20"/>
    </w:rPr>
  </w:style>
  <w:style w:type="paragraph" w:customStyle="1" w:styleId="25">
    <w:name w:val="样式1"/>
    <w:basedOn w:val="1"/>
    <w:qFormat/>
    <w:uiPriority w:val="0"/>
    <w:pPr>
      <w:spacing w:line="500" w:lineRule="exact"/>
      <w:jc w:val="center"/>
    </w:pPr>
    <w:rPr>
      <w:rFonts w:eastAsia="黑体"/>
      <w:b/>
      <w:bCs/>
      <w:sz w:val="44"/>
    </w:rPr>
  </w:style>
  <w:style w:type="paragraph" w:styleId="26">
    <w:name w:val="toc 4"/>
    <w:basedOn w:val="1"/>
    <w:next w:val="1"/>
    <w:qFormat/>
    <w:uiPriority w:val="0"/>
    <w:pPr>
      <w:ind w:left="630"/>
      <w:jc w:val="left"/>
    </w:pPr>
    <w:rPr>
      <w:sz w:val="18"/>
      <w:szCs w:val="18"/>
    </w:rPr>
  </w:style>
  <w:style w:type="paragraph" w:styleId="27">
    <w:name w:val="index heading"/>
    <w:basedOn w:val="1"/>
    <w:next w:val="28"/>
    <w:qFormat/>
    <w:uiPriority w:val="0"/>
    <w:rPr>
      <w:szCs w:val="20"/>
    </w:rPr>
  </w:style>
  <w:style w:type="paragraph" w:styleId="28">
    <w:name w:val="index 1"/>
    <w:basedOn w:val="1"/>
    <w:next w:val="1"/>
    <w:qFormat/>
    <w:uiPriority w:val="0"/>
  </w:style>
  <w:style w:type="paragraph" w:styleId="29">
    <w:name w:val="toc 6"/>
    <w:basedOn w:val="1"/>
    <w:next w:val="1"/>
    <w:qFormat/>
    <w:uiPriority w:val="0"/>
    <w:pPr>
      <w:ind w:left="1050"/>
      <w:jc w:val="left"/>
    </w:pPr>
    <w:rPr>
      <w:sz w:val="18"/>
      <w:szCs w:val="18"/>
    </w:rPr>
  </w:style>
  <w:style w:type="paragraph" w:styleId="30">
    <w:name w:val="Body Text Indent 3"/>
    <w:basedOn w:val="1"/>
    <w:qFormat/>
    <w:uiPriority w:val="0"/>
    <w:pPr>
      <w:spacing w:after="120" w:afterLines="0"/>
      <w:ind w:left="420" w:leftChars="200"/>
    </w:pPr>
    <w:rPr>
      <w:sz w:val="16"/>
      <w:szCs w:val="16"/>
    </w:rPr>
  </w:style>
  <w:style w:type="paragraph" w:styleId="31">
    <w:name w:val="toc 2"/>
    <w:basedOn w:val="1"/>
    <w:next w:val="1"/>
    <w:qFormat/>
    <w:uiPriority w:val="0"/>
    <w:pPr>
      <w:ind w:left="210"/>
      <w:jc w:val="left"/>
    </w:pPr>
    <w:rPr>
      <w:smallCaps/>
      <w:sz w:val="20"/>
      <w:szCs w:val="20"/>
    </w:rPr>
  </w:style>
  <w:style w:type="paragraph" w:styleId="32">
    <w:name w:val="toc 9"/>
    <w:basedOn w:val="1"/>
    <w:next w:val="1"/>
    <w:qFormat/>
    <w:uiPriority w:val="0"/>
    <w:pPr>
      <w:ind w:left="1680"/>
      <w:jc w:val="left"/>
    </w:pPr>
    <w:rPr>
      <w:sz w:val="18"/>
      <w:szCs w:val="18"/>
    </w:rPr>
  </w:style>
  <w:style w:type="paragraph" w:styleId="3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4">
    <w:name w:val="annotation subject"/>
    <w:basedOn w:val="12"/>
    <w:next w:val="12"/>
    <w:qFormat/>
    <w:uiPriority w:val="0"/>
    <w:pPr>
      <w:widowControl w:val="0"/>
    </w:pPr>
    <w:rPr>
      <w:b/>
      <w:bCs/>
      <w:kern w:val="2"/>
      <w:szCs w:val="24"/>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page number"/>
    <w:basedOn w:val="37"/>
    <w:qFormat/>
    <w:uiPriority w:val="0"/>
  </w:style>
  <w:style w:type="character" w:styleId="39">
    <w:name w:val="FollowedHyperlink"/>
    <w:qFormat/>
    <w:uiPriority w:val="0"/>
    <w:rPr>
      <w:rFonts w:hint="eastAsia" w:ascii="宋体" w:hAnsi="宋体" w:eastAsia="宋体" w:cs="宋体"/>
      <w:color w:val="000000"/>
      <w:sz w:val="21"/>
      <w:szCs w:val="21"/>
      <w:u w:val="none"/>
    </w:rPr>
  </w:style>
  <w:style w:type="character" w:styleId="40">
    <w:name w:val="Emphasis"/>
    <w:basedOn w:val="37"/>
    <w:qFormat/>
    <w:uiPriority w:val="0"/>
    <w:rPr>
      <w:i/>
    </w:rPr>
  </w:style>
  <w:style w:type="character" w:styleId="41">
    <w:name w:val="Hyperlink"/>
    <w:qFormat/>
    <w:uiPriority w:val="0"/>
    <w:rPr>
      <w:color w:val="424242"/>
      <w:u w:val="none"/>
    </w:rPr>
  </w:style>
  <w:style w:type="character" w:styleId="42">
    <w:name w:val="annotation reference"/>
    <w:qFormat/>
    <w:uiPriority w:val="0"/>
    <w:rPr>
      <w:sz w:val="21"/>
      <w:szCs w:val="21"/>
    </w:rPr>
  </w:style>
  <w:style w:type="paragraph" w:customStyle="1" w:styleId="43">
    <w:name w:val="样式3"/>
    <w:basedOn w:val="1"/>
    <w:qFormat/>
    <w:uiPriority w:val="0"/>
    <w:pPr>
      <w:ind w:firstLine="562" w:firstLineChars="200"/>
    </w:pPr>
    <w:rPr>
      <w:rFonts w:eastAsia="黑体"/>
      <w:b/>
      <w:bCs/>
      <w:sz w:val="28"/>
    </w:rPr>
  </w:style>
  <w:style w:type="paragraph" w:customStyle="1" w:styleId="44">
    <w:name w:val="样式2"/>
    <w:basedOn w:val="1"/>
    <w:qFormat/>
    <w:uiPriority w:val="0"/>
    <w:pPr>
      <w:spacing w:line="500" w:lineRule="exact"/>
      <w:jc w:val="center"/>
    </w:pPr>
    <w:rPr>
      <w:rFonts w:ascii="黑体" w:hAnsi="宋体" w:eastAsia="黑体"/>
      <w:b/>
      <w:bCs/>
      <w:sz w:val="36"/>
    </w:rPr>
  </w:style>
  <w:style w:type="paragraph" w:customStyle="1" w:styleId="45">
    <w:name w:val=" Char Char1 Char Char Char Char"/>
    <w:basedOn w:val="1"/>
    <w:qFormat/>
    <w:uiPriority w:val="0"/>
    <w:pPr>
      <w:tabs>
        <w:tab w:val="left" w:pos="425"/>
      </w:tabs>
      <w:ind w:left="425" w:hanging="425"/>
    </w:pPr>
    <w:rPr>
      <w:sz w:val="24"/>
    </w:rPr>
  </w:style>
  <w:style w:type="paragraph" w:customStyle="1" w:styleId="46">
    <w:name w:val=" Char Char5 Char Char Char Char"/>
    <w:basedOn w:val="1"/>
    <w:qFormat/>
    <w:uiPriority w:val="0"/>
    <w:rPr>
      <w:rFonts w:ascii="Tahoma" w:hAnsi="Tahoma"/>
      <w:sz w:val="24"/>
      <w:szCs w:val="20"/>
    </w:rPr>
  </w:style>
  <w:style w:type="paragraph" w:customStyle="1" w:styleId="47">
    <w:name w:val="正文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8">
    <w:name w:val="采购文件评审1."/>
    <w:basedOn w:val="1"/>
    <w:qFormat/>
    <w:uiPriority w:val="0"/>
    <w:pPr>
      <w:numPr>
        <w:ilvl w:val="0"/>
        <w:numId w:val="1"/>
      </w:numPr>
      <w:spacing w:before="20" w:after="20" w:line="400" w:lineRule="exact"/>
      <w:ind w:left="360" w:hanging="360" w:hangingChars="200"/>
      <w:jc w:val="left"/>
    </w:pPr>
    <w:rPr>
      <w:rFonts w:ascii="Times New Roman" w:hAnsi="Times New Roman" w:eastAsia="仿宋_GB2312"/>
      <w:sz w:val="24"/>
    </w:rPr>
  </w:style>
  <w:style w:type="paragraph" w:customStyle="1" w:styleId="49">
    <w:name w:val="List Paragraph1"/>
    <w:basedOn w:val="1"/>
    <w:qFormat/>
    <w:uiPriority w:val="34"/>
    <w:pPr>
      <w:spacing w:before="60" w:after="60" w:line="288" w:lineRule="auto"/>
      <w:ind w:firstLine="420" w:firstLineChars="200"/>
    </w:pPr>
    <w:rPr>
      <w:rFonts w:ascii="Calibri" w:hAnsi="Calibri" w:cs="宋体"/>
      <w:szCs w:val="22"/>
    </w:rPr>
  </w:style>
  <w:style w:type="paragraph" w:customStyle="1" w:styleId="50">
    <w:name w:val="Char Char Char Char Char Char Char"/>
    <w:basedOn w:val="1"/>
    <w:qFormat/>
    <w:uiPriority w:val="0"/>
  </w:style>
  <w:style w:type="paragraph" w:customStyle="1" w:styleId="51">
    <w:name w:val="采购文件1.1"/>
    <w:basedOn w:val="18"/>
    <w:qFormat/>
    <w:uiPriority w:val="0"/>
    <w:pPr>
      <w:numPr>
        <w:ilvl w:val="1"/>
        <w:numId w:val="2"/>
      </w:numPr>
      <w:spacing w:before="20" w:after="120" w:line="400" w:lineRule="exact"/>
      <w:ind w:left="360" w:hanging="360" w:hangingChars="200"/>
      <w:jc w:val="left"/>
    </w:pPr>
    <w:rPr>
      <w:rFonts w:hAnsi="宋体" w:eastAsia="仿宋_GB2312"/>
      <w:sz w:val="24"/>
    </w:rPr>
  </w:style>
  <w:style w:type="paragraph" w:customStyle="1" w:styleId="52">
    <w:name w:val="Char"/>
    <w:basedOn w:val="1"/>
    <w:qFormat/>
    <w:uiPriority w:val="0"/>
  </w:style>
  <w:style w:type="paragraph" w:customStyle="1" w:styleId="53">
    <w:name w:val="样式 小四 段前: 5 磅 段后: 5 磅 首行缩进:  2 字符"/>
    <w:basedOn w:val="1"/>
    <w:qFormat/>
    <w:uiPriority w:val="0"/>
    <w:pPr>
      <w:spacing w:before="100" w:after="156" w:afterLines="50"/>
    </w:pPr>
    <w:rPr>
      <w:rFonts w:hAnsi="宋体"/>
      <w:color w:val="000000"/>
      <w:kern w:val="0"/>
      <w:szCs w:val="20"/>
    </w:rPr>
  </w:style>
  <w:style w:type="paragraph" w:customStyle="1" w:styleId="54">
    <w:name w:val="采购文件一、"/>
    <w:basedOn w:val="18"/>
    <w:link w:val="105"/>
    <w:qFormat/>
    <w:uiPriority w:val="0"/>
    <w:pPr>
      <w:spacing w:before="120" w:after="120" w:line="400" w:lineRule="atLeast"/>
      <w:jc w:val="left"/>
    </w:pPr>
    <w:rPr>
      <w:rFonts w:ascii="Times New Roman" w:hAnsi="宋体" w:eastAsia="仿宋_GB2312" w:cs="Times New Roman"/>
      <w:b/>
      <w:kern w:val="0"/>
      <w:sz w:val="24"/>
      <w:szCs w:val="20"/>
    </w:rPr>
  </w:style>
  <w:style w:type="paragraph" w:customStyle="1" w:styleId="55">
    <w:name w:val=" Char"/>
    <w:basedOn w:val="1"/>
    <w:qFormat/>
    <w:uiPriority w:val="0"/>
    <w:pPr>
      <w:widowControl/>
      <w:spacing w:after="160" w:afterLines="0" w:line="240" w:lineRule="exact"/>
      <w:jc w:val="left"/>
    </w:pPr>
    <w:rPr>
      <w:rFonts w:ascii="Verdana" w:hAnsi="Verdana" w:eastAsia="楷体_GB2312"/>
      <w:b/>
      <w:i/>
      <w:iCs/>
      <w:color w:val="000000"/>
      <w:kern w:val="0"/>
      <w:sz w:val="20"/>
      <w:szCs w:val="20"/>
      <w:lang w:eastAsia="en-US"/>
    </w:rPr>
  </w:style>
  <w:style w:type="paragraph" w:customStyle="1" w:styleId="56">
    <w:name w:val="题注5"/>
    <w:basedOn w:val="1"/>
    <w:next w:val="9"/>
    <w:qFormat/>
    <w:uiPriority w:val="0"/>
    <w:pPr>
      <w:jc w:val="center"/>
    </w:pPr>
    <w:rPr>
      <w:b/>
      <w:color w:val="000000"/>
      <w:sz w:val="24"/>
      <w:szCs w:val="21"/>
    </w:rPr>
  </w:style>
  <w:style w:type="paragraph" w:customStyle="1" w:styleId="57">
    <w:name w:val="样式 标题 1合同标题卷标题TITRE11h1标题 1 1标书1H11st levelSection Hea..."/>
    <w:basedOn w:val="3"/>
    <w:qFormat/>
    <w:uiPriority w:val="0"/>
    <w:pPr>
      <w:spacing w:before="40" w:beforeLines="0" w:after="40" w:afterLines="0" w:line="240" w:lineRule="auto"/>
    </w:pPr>
    <w:rPr>
      <w:kern w:val="0"/>
    </w:rPr>
  </w:style>
  <w:style w:type="paragraph" w:customStyle="1" w:styleId="58">
    <w:name w:val="默认段落字体 Para Char"/>
    <w:basedOn w:val="1"/>
    <w:qFormat/>
    <w:uiPriority w:val="0"/>
  </w:style>
  <w:style w:type="paragraph" w:customStyle="1" w:styleId="59">
    <w:name w:val=" Char Char4 Char Char"/>
    <w:basedOn w:val="1"/>
    <w:qFormat/>
    <w:uiPriority w:val="0"/>
    <w:pPr>
      <w:widowControl/>
      <w:spacing w:after="160" w:line="240" w:lineRule="exact"/>
      <w:jc w:val="left"/>
    </w:pPr>
  </w:style>
  <w:style w:type="paragraph" w:customStyle="1" w:styleId="60">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1">
    <w:name w:val=" Char Char2 Char"/>
    <w:basedOn w:val="1"/>
    <w:qFormat/>
    <w:uiPriority w:val="0"/>
    <w:rPr>
      <w:rFonts w:ascii="宋体" w:hAnsi="宋体"/>
      <w:b/>
      <w:sz w:val="28"/>
      <w:szCs w:val="28"/>
    </w:rPr>
  </w:style>
  <w:style w:type="paragraph" w:customStyle="1" w:styleId="62">
    <w:name w:val=" Char Char Char Char"/>
    <w:basedOn w:val="1"/>
    <w:qFormat/>
    <w:uiPriority w:val="0"/>
    <w:pPr>
      <w:widowControl/>
      <w:tabs>
        <w:tab w:val="left" w:pos="965"/>
      </w:tabs>
      <w:spacing w:after="160" w:line="240" w:lineRule="exact"/>
      <w:ind w:left="965" w:hanging="425"/>
      <w:jc w:val="left"/>
    </w:pPr>
    <w:rPr>
      <w:rFonts w:ascii="Verdana" w:hAnsi="Verdana"/>
      <w:kern w:val="0"/>
      <w:szCs w:val="20"/>
      <w:lang w:eastAsia="en-US"/>
    </w:rPr>
  </w:style>
  <w:style w:type="paragraph" w:customStyle="1" w:styleId="63">
    <w:name w:val="图"/>
    <w:basedOn w:val="1"/>
    <w:link w:val="100"/>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64">
    <w:name w:val=" Char Char1 Char Char2 Char Char"/>
    <w:basedOn w:val="1"/>
    <w:qFormat/>
    <w:uiPriority w:val="0"/>
    <w:pPr>
      <w:widowControl/>
      <w:spacing w:after="160" w:line="240" w:lineRule="exact"/>
      <w:jc w:val="left"/>
    </w:pPr>
    <w:rPr>
      <w:rFonts w:ascii="Verdana" w:hAnsi="Verdana" w:eastAsia="方正仿宋简体"/>
      <w:kern w:val="0"/>
      <w:sz w:val="20"/>
      <w:szCs w:val="20"/>
      <w:lang w:eastAsia="en-US"/>
    </w:rPr>
  </w:style>
  <w:style w:type="paragraph" w:customStyle="1" w:styleId="65">
    <w:name w:val="样式6"/>
    <w:basedOn w:val="43"/>
    <w:qFormat/>
    <w:uiPriority w:val="0"/>
  </w:style>
  <w:style w:type="paragraph" w:customStyle="1" w:styleId="66">
    <w:name w:val=" Char Char1 Char Char"/>
    <w:basedOn w:val="1"/>
    <w:qFormat/>
    <w:uiPriority w:val="0"/>
    <w:rPr>
      <w:szCs w:val="21"/>
    </w:rPr>
  </w:style>
  <w:style w:type="paragraph" w:customStyle="1" w:styleId="67">
    <w:name w:val="7"/>
    <w:basedOn w:val="1"/>
    <w:next w:val="1"/>
    <w:qFormat/>
    <w:uiPriority w:val="0"/>
    <w:pPr>
      <w:ind w:firstLine="720"/>
    </w:pPr>
    <w:rPr>
      <w:b/>
      <w:sz w:val="28"/>
      <w:szCs w:val="20"/>
    </w:rPr>
  </w:style>
  <w:style w:type="paragraph" w:customStyle="1" w:styleId="68">
    <w:name w:val="xl25"/>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69">
    <w:name w:val="p0"/>
    <w:basedOn w:val="1"/>
    <w:qFormat/>
    <w:uiPriority w:val="0"/>
    <w:pPr>
      <w:widowControl/>
    </w:pPr>
    <w:rPr>
      <w:kern w:val="0"/>
      <w:szCs w:val="21"/>
    </w:rPr>
  </w:style>
  <w:style w:type="paragraph" w:customStyle="1" w:styleId="70">
    <w:name w:val="List Paragraph"/>
    <w:basedOn w:val="1"/>
    <w:qFormat/>
    <w:uiPriority w:val="0"/>
    <w:pPr>
      <w:spacing w:after="120" w:line="360" w:lineRule="auto"/>
      <w:ind w:firstLine="420" w:firstLineChars="200"/>
    </w:pPr>
    <w:rPr>
      <w:sz w:val="24"/>
    </w:rPr>
  </w:style>
  <w:style w:type="paragraph" w:customStyle="1" w:styleId="71">
    <w:name w:val="Normal"/>
    <w:qFormat/>
    <w:uiPriority w:val="0"/>
    <w:pPr>
      <w:widowControl w:val="0"/>
      <w:jc w:val="both"/>
    </w:pPr>
    <w:rPr>
      <w:rFonts w:hint="eastAsia" w:ascii="Calibri" w:hAnsi="Calibri" w:eastAsia="宋体" w:cs="Times New Roman"/>
      <w:kern w:val="2"/>
      <w:sz w:val="21"/>
      <w:szCs w:val="22"/>
      <w:lang w:val="en-US" w:eastAsia="zh-CN" w:bidi="ar-SA"/>
    </w:rPr>
  </w:style>
  <w:style w:type="paragraph" w:customStyle="1" w:styleId="72">
    <w:name w:val="Char Char Char"/>
    <w:basedOn w:val="1"/>
    <w:qFormat/>
    <w:uiPriority w:val="0"/>
    <w:rPr>
      <w:rFonts w:ascii="宋体" w:hAnsi="宋体"/>
      <w:b/>
      <w:sz w:val="28"/>
      <w:szCs w:val="28"/>
    </w:rPr>
  </w:style>
  <w:style w:type="paragraph" w:customStyle="1" w:styleId="73">
    <w:name w:val="表格文字"/>
    <w:basedOn w:val="1"/>
    <w:qFormat/>
    <w:uiPriority w:val="0"/>
    <w:pPr>
      <w:spacing w:before="25" w:beforeLines="0" w:after="25" w:afterLines="0"/>
      <w:jc w:val="left"/>
    </w:pPr>
    <w:rPr>
      <w:bCs/>
      <w:spacing w:val="10"/>
      <w:kern w:val="0"/>
      <w:sz w:val="24"/>
      <w:szCs w:val="20"/>
    </w:rPr>
  </w:style>
  <w:style w:type="paragraph" w:customStyle="1" w:styleId="74">
    <w:name w:val="样式4"/>
    <w:basedOn w:val="25"/>
    <w:qFormat/>
    <w:uiPriority w:val="0"/>
  </w:style>
  <w:style w:type="paragraph" w:customStyle="1" w:styleId="75">
    <w:name w:val="Table Paragraph"/>
    <w:basedOn w:val="1"/>
    <w:qFormat/>
    <w:uiPriority w:val="1"/>
    <w:pPr>
      <w:spacing w:line="360" w:lineRule="auto"/>
      <w:ind w:firstLine="200" w:firstLineChars="200"/>
    </w:pPr>
    <w:rPr>
      <w:rFonts w:ascii="宋体" w:hAnsi="宋体" w:cs="宋体"/>
      <w:sz w:val="24"/>
      <w:szCs w:val="20"/>
    </w:rPr>
  </w:style>
  <w:style w:type="paragraph" w:customStyle="1" w:styleId="76">
    <w:name w:val="采购文件1."/>
    <w:basedOn w:val="5"/>
    <w:next w:val="1"/>
    <w:qFormat/>
    <w:uiPriority w:val="0"/>
    <w:pPr>
      <w:numPr>
        <w:ilvl w:val="0"/>
        <w:numId w:val="2"/>
      </w:numPr>
      <w:spacing w:line="240" w:lineRule="auto"/>
      <w:jc w:val="left"/>
    </w:pPr>
    <w:rPr>
      <w:rFonts w:ascii="仿宋_GB2312" w:hAnsi="仿宋_GB2312" w:eastAsia="仿宋_GB2312"/>
      <w:sz w:val="24"/>
    </w:rPr>
  </w:style>
  <w:style w:type="paragraph" w:customStyle="1" w:styleId="77">
    <w:name w:val="正文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8">
    <w:name w:val="样式5"/>
    <w:basedOn w:val="44"/>
    <w:qFormat/>
    <w:uiPriority w:val="0"/>
  </w:style>
  <w:style w:type="paragraph" w:customStyle="1" w:styleId="79">
    <w:name w:val="List Paragraph2"/>
    <w:basedOn w:val="1"/>
    <w:qFormat/>
    <w:uiPriority w:val="0"/>
    <w:pPr>
      <w:spacing w:line="240" w:lineRule="auto"/>
      <w:ind w:firstLine="420" w:firstLineChars="200"/>
    </w:pPr>
  </w:style>
  <w:style w:type="paragraph" w:customStyle="1" w:styleId="80">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Char Char Char Char Char Char Char Char Char Char Char Char Char Char Char Char Char Char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82">
    <w:name w:val="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83">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84">
    <w:name w:val=" Char Char2 Char Char Char Char"/>
    <w:basedOn w:val="1"/>
    <w:qFormat/>
    <w:uiPriority w:val="0"/>
    <w:pPr>
      <w:widowControl/>
      <w:spacing w:after="160" w:line="240" w:lineRule="exact"/>
      <w:jc w:val="left"/>
    </w:pPr>
    <w:rPr>
      <w:sz w:val="24"/>
    </w:rPr>
  </w:style>
  <w:style w:type="paragraph" w:customStyle="1" w:styleId="85">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86">
    <w:name w:val="题注4"/>
    <w:basedOn w:val="1"/>
    <w:next w:val="9"/>
    <w:qFormat/>
    <w:uiPriority w:val="0"/>
    <w:pPr>
      <w:ind w:left="-132" w:leftChars="-64" w:right="-105" w:rightChars="-50" w:hanging="2"/>
      <w:jc w:val="center"/>
    </w:pPr>
    <w:rPr>
      <w:b/>
      <w:color w:val="FF0000"/>
      <w:szCs w:val="21"/>
      <w:lang w:val="en-GB"/>
    </w:rPr>
  </w:style>
  <w:style w:type="paragraph" w:customStyle="1" w:styleId="87">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8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89">
    <w:name w:val="Char Char2 Char"/>
    <w:basedOn w:val="1"/>
    <w:qFormat/>
    <w:uiPriority w:val="0"/>
    <w:rPr>
      <w:rFonts w:ascii="宋体" w:hAnsi="宋体"/>
      <w:b/>
      <w:sz w:val="28"/>
      <w:szCs w:val="28"/>
    </w:rPr>
  </w:style>
  <w:style w:type="character" w:customStyle="1" w:styleId="90">
    <w:name w:val=" Char Char Char"/>
    <w:qFormat/>
    <w:uiPriority w:val="0"/>
    <w:rPr>
      <w:rFonts w:eastAsia="宋体"/>
      <w:kern w:val="2"/>
      <w:sz w:val="18"/>
      <w:szCs w:val="18"/>
      <w:lang w:val="en-US" w:eastAsia="zh-CN" w:bidi="ar-SA"/>
    </w:rPr>
  </w:style>
  <w:style w:type="character" w:customStyle="1" w:styleId="91">
    <w:name w:val="页脚 字符"/>
    <w:link w:val="22"/>
    <w:qFormat/>
    <w:uiPriority w:val="0"/>
    <w:rPr>
      <w:rFonts w:eastAsia="宋体"/>
      <w:kern w:val="2"/>
      <w:sz w:val="18"/>
      <w:szCs w:val="18"/>
      <w:lang w:val="en-US" w:eastAsia="zh-CN" w:bidi="ar-SA"/>
    </w:rPr>
  </w:style>
  <w:style w:type="character" w:customStyle="1" w:styleId="92">
    <w:name w:val="普通文字1 Char"/>
    <w:qFormat/>
    <w:uiPriority w:val="0"/>
    <w:rPr>
      <w:rFonts w:ascii="宋体" w:hAnsi="Courier New" w:eastAsia="宋体" w:cs="Courier New"/>
      <w:kern w:val="2"/>
      <w:sz w:val="21"/>
      <w:szCs w:val="21"/>
      <w:lang w:val="en-US" w:eastAsia="zh-CN" w:bidi="ar-SA"/>
    </w:rPr>
  </w:style>
  <w:style w:type="character" w:customStyle="1" w:styleId="93">
    <w:name w:val="纯文本 Char"/>
    <w:qFormat/>
    <w:uiPriority w:val="0"/>
    <w:rPr>
      <w:rFonts w:ascii="宋体" w:hAnsi="Courier New"/>
      <w:kern w:val="2"/>
      <w:sz w:val="21"/>
    </w:rPr>
  </w:style>
  <w:style w:type="character" w:customStyle="1" w:styleId="94">
    <w:name w:val="文档结构图 字符"/>
    <w:link w:val="10"/>
    <w:qFormat/>
    <w:uiPriority w:val="0"/>
    <w:rPr>
      <w:rFonts w:ascii="宋体"/>
      <w:kern w:val="2"/>
      <w:sz w:val="18"/>
      <w:szCs w:val="18"/>
    </w:rPr>
  </w:style>
  <w:style w:type="character" w:customStyle="1" w:styleId="95">
    <w:name w:val="正文缩进 Char Char"/>
    <w:qFormat/>
    <w:uiPriority w:val="0"/>
    <w:rPr>
      <w:rFonts w:eastAsia="宋体"/>
      <w:kern w:val="2"/>
      <w:sz w:val="21"/>
      <w:lang w:val="en-US" w:eastAsia="zh-CN" w:bidi="ar-SA"/>
    </w:rPr>
  </w:style>
  <w:style w:type="character" w:customStyle="1" w:styleId="96">
    <w:name w:val="Char Char1"/>
    <w:qFormat/>
    <w:locked/>
    <w:uiPriority w:val="0"/>
    <w:rPr>
      <w:rFonts w:ascii="宋体" w:hAnsi="宋体" w:eastAsia="宋体"/>
      <w:kern w:val="2"/>
      <w:sz w:val="21"/>
      <w:lang w:val="en-US" w:eastAsia="zh-CN" w:bidi="ar-SA"/>
    </w:rPr>
  </w:style>
  <w:style w:type="character" w:customStyle="1" w:styleId="97">
    <w:name w:val="font01"/>
    <w:qFormat/>
    <w:uiPriority w:val="0"/>
    <w:rPr>
      <w:rFonts w:ascii="Calibri" w:hAnsi="Calibri" w:cs="Calibri"/>
      <w:color w:val="000000"/>
      <w:sz w:val="21"/>
      <w:szCs w:val="21"/>
      <w:u w:val="none"/>
    </w:rPr>
  </w:style>
  <w:style w:type="character" w:customStyle="1" w:styleId="98">
    <w:name w:val=" Char Char2"/>
    <w:qFormat/>
    <w:uiPriority w:val="0"/>
    <w:rPr>
      <w:rFonts w:eastAsia="宋体"/>
      <w:kern w:val="2"/>
      <w:sz w:val="21"/>
      <w:szCs w:val="24"/>
      <w:lang w:val="en-US" w:eastAsia="zh-CN" w:bidi="ar-SA"/>
    </w:rPr>
  </w:style>
  <w:style w:type="character" w:customStyle="1" w:styleId="99">
    <w:name w:val="页眉 Char Char"/>
    <w:qFormat/>
    <w:uiPriority w:val="0"/>
    <w:rPr>
      <w:kern w:val="2"/>
      <w:sz w:val="18"/>
      <w:szCs w:val="18"/>
      <w:lang w:bidi="ar-SA"/>
    </w:rPr>
  </w:style>
  <w:style w:type="character" w:customStyle="1" w:styleId="100">
    <w:name w:val="图 Char Char"/>
    <w:link w:val="63"/>
    <w:qFormat/>
    <w:uiPriority w:val="0"/>
    <w:rPr>
      <w:rFonts w:eastAsia="宋体"/>
      <w:snapToGrid w:val="0"/>
      <w:spacing w:val="20"/>
      <w:sz w:val="24"/>
      <w:lang w:bidi="ar-SA"/>
    </w:rPr>
  </w:style>
  <w:style w:type="character" w:customStyle="1" w:styleId="101">
    <w:name w:val="style1"/>
    <w:basedOn w:val="37"/>
    <w:qFormat/>
    <w:uiPriority w:val="0"/>
  </w:style>
  <w:style w:type="character" w:customStyle="1" w:styleId="102">
    <w:name w:val="页眉 字符"/>
    <w:link w:val="23"/>
    <w:qFormat/>
    <w:uiPriority w:val="0"/>
    <w:rPr>
      <w:rFonts w:eastAsia="宋体"/>
      <w:kern w:val="2"/>
      <w:sz w:val="18"/>
      <w:szCs w:val="18"/>
      <w:lang w:val="en-US" w:eastAsia="zh-CN" w:bidi="ar-SA"/>
    </w:rPr>
  </w:style>
  <w:style w:type="character" w:customStyle="1" w:styleId="103">
    <w:name w:val="表正文 Char"/>
    <w:qFormat/>
    <w:uiPriority w:val="0"/>
    <w:rPr>
      <w:rFonts w:eastAsia="宋体"/>
      <w:kern w:val="2"/>
      <w:sz w:val="21"/>
      <w:lang w:val="en-US" w:eastAsia="zh-CN" w:bidi="ar-SA"/>
    </w:rPr>
  </w:style>
  <w:style w:type="character" w:customStyle="1" w:styleId="104">
    <w:name w:val="普通文字1 Char1"/>
    <w:qFormat/>
    <w:uiPriority w:val="0"/>
    <w:rPr>
      <w:rFonts w:ascii="宋体" w:hAnsi="Courier New" w:eastAsia="宋体" w:cs="Courier New"/>
      <w:kern w:val="2"/>
      <w:sz w:val="21"/>
      <w:szCs w:val="21"/>
      <w:lang w:val="en-US" w:eastAsia="zh-CN" w:bidi="ar-SA"/>
    </w:rPr>
  </w:style>
  <w:style w:type="character" w:customStyle="1" w:styleId="105">
    <w:name w:val="采购文件一、 Char"/>
    <w:link w:val="54"/>
    <w:qFormat/>
    <w:uiPriority w:val="0"/>
    <w:rPr>
      <w:rFonts w:ascii="Times New Roman" w:hAnsi="宋体" w:eastAsia="仿宋_GB2312" w:cs="Times New Roman"/>
      <w:b/>
      <w:kern w:val="0"/>
      <w:sz w:val="24"/>
      <w:szCs w:val="20"/>
    </w:rPr>
  </w:style>
  <w:style w:type="character" w:customStyle="1" w:styleId="106">
    <w:name w:val="纯文本 字符"/>
    <w:link w:val="18"/>
    <w:qFormat/>
    <w:uiPriority w:val="0"/>
    <w:rPr>
      <w:rFonts w:ascii="宋体" w:hAnsi="Courier New" w:eastAsia="宋体" w:cs="Courier New"/>
      <w:kern w:val="2"/>
      <w:sz w:val="21"/>
      <w:szCs w:val="21"/>
      <w:lang w:val="en-US" w:eastAsia="zh-CN" w:bidi="ar-SA"/>
    </w:rPr>
  </w:style>
  <w:style w:type="character" w:customStyle="1" w:styleId="107">
    <w:name w:val="正文缩进 字符"/>
    <w:link w:val="2"/>
    <w:qFormat/>
    <w:uiPriority w:val="0"/>
    <w:rPr>
      <w:rFonts w:eastAsia="宋体"/>
      <w:kern w:val="2"/>
      <w:sz w:val="21"/>
      <w:lang w:val="en-US" w:eastAsia="zh-CN" w:bidi="ar-SA"/>
    </w:rPr>
  </w:style>
  <w:style w:type="character" w:customStyle="1" w:styleId="108">
    <w:name w:val="批注文字 字符"/>
    <w:link w:val="12"/>
    <w:qFormat/>
    <w:uiPriority w:val="0"/>
    <w:rPr>
      <w:sz w:val="21"/>
    </w:rPr>
  </w:style>
  <w:style w:type="character" w:customStyle="1" w:styleId="109">
    <w:name w:val="普通文字1 Char2"/>
    <w:qFormat/>
    <w:uiPriority w:val="0"/>
    <w:rPr>
      <w:rFonts w:ascii="宋体" w:hAnsi="Courier New" w:eastAsia="宋体" w:cs="Courier New"/>
      <w:kern w:val="2"/>
      <w:sz w:val="21"/>
      <w:szCs w:val="21"/>
      <w:lang w:val="en-US" w:eastAsia="zh-CN" w:bidi="ar-SA"/>
    </w:rPr>
  </w:style>
  <w:style w:type="character" w:customStyle="1" w:styleId="110">
    <w:name w:val="普通文字 Char Char"/>
    <w:qFormat/>
    <w:uiPriority w:val="0"/>
    <w:rPr>
      <w:rFonts w:ascii="宋体" w:hAnsi="Courier New" w:eastAsia="宋体" w:cs="Courier New"/>
      <w:kern w:val="2"/>
      <w:sz w:val="21"/>
      <w:szCs w:val="21"/>
      <w:lang w:val="en-US" w:eastAsia="zh-CN" w:bidi="ar-SA"/>
    </w:rPr>
  </w:style>
  <w:style w:type="paragraph" w:customStyle="1" w:styleId="111">
    <w:name w:val="Default"/>
    <w:unhideWhenUsed/>
    <w:qFormat/>
    <w:uiPriority w:val="99"/>
    <w:pPr>
      <w:widowControl w:val="0"/>
      <w:autoSpaceDE w:val="0"/>
      <w:autoSpaceDN w:val="0"/>
      <w:adjustRightInd w:val="0"/>
      <w:spacing w:beforeLines="0" w:afterLines="0"/>
    </w:pPr>
    <w:rPr>
      <w:rFonts w:hint="eastAsia" w:ascii="仿宋" w:hAnsi="仿宋" w:eastAsia="仿宋" w:cs="Times New Roman"/>
      <w:color w:val="000000"/>
      <w:sz w:val="24"/>
    </w:rPr>
  </w:style>
  <w:style w:type="paragraph" w:customStyle="1" w:styleId="112">
    <w:name w:val="章标题"/>
    <w:basedOn w:val="11"/>
    <w:qFormat/>
    <w:uiPriority w:val="0"/>
    <w:pPr>
      <w:widowControl/>
      <w:jc w:val="center"/>
    </w:pPr>
    <w:rPr>
      <w:rFonts w:ascii="宋体" w:cs="Times New Roman"/>
      <w:b/>
      <w:kern w:val="0"/>
      <w:sz w:val="32"/>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36993</Words>
  <Characters>39325</Characters>
  <Lines>257</Lines>
  <Paragraphs>72</Paragraphs>
  <TotalTime>381</TotalTime>
  <ScaleCrop>false</ScaleCrop>
  <LinksUpToDate>false</LinksUpToDate>
  <CharactersWithSpaces>42025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2019-05-23T07:16:00Z</dcterms:created>
  <dc:creator>Administrator</dc:creator>
  <cp:lastModifiedBy>Kilig</cp:lastModifiedBy>
  <cp:lastPrinted>2022-11-21T06:04:00Z</cp:lastPrinted>
  <dcterms:modified xsi:type="dcterms:W3CDTF">2022-11-28T02:35:39Z</dcterms:modified>
  <dc:title>（采购人）（项目名称）公开招标公告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5542B4CC9CF340EC84B43FB1948184CA</vt:lpwstr>
  </property>
</Properties>
</file>