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0D5E918">
      <w:pPr>
        <w:ind w:firstLine="2400" w:firstLineChars="800"/>
        <w:jc w:val="left"/>
        <w:rPr>
          <w:b/>
          <w:bCs/>
        </w:rPr>
      </w:pPr>
      <w:r>
        <w:rPr>
          <w:rFonts w:hint="eastAsia" w:ascii="宋体" w:hAnsi="宋体"/>
          <w:b w:val="0"/>
          <w:bCs/>
          <w:color w:val="auto"/>
          <w:sz w:val="30"/>
          <w:szCs w:val="30"/>
          <w:highlight w:val="none"/>
          <w:u w:val="double"/>
        </w:rPr>
        <w:t>威海建设集团股份有限公司第一建筑分公司</w:t>
      </w:r>
    </w:p>
    <w:p w14:paraId="618E28CF">
      <w:pPr>
        <w:ind w:firstLine="480"/>
        <w:rPr>
          <w:b/>
          <w:bCs/>
        </w:rPr>
      </w:pPr>
    </w:p>
    <w:p w14:paraId="23F64439">
      <w:pPr>
        <w:ind w:firstLine="480"/>
        <w:jc w:val="center"/>
        <w:rPr>
          <w:b/>
          <w:bCs/>
        </w:rPr>
      </w:pPr>
    </w:p>
    <w:p w14:paraId="31D401C8">
      <w:pPr>
        <w:ind w:firstLine="2209" w:firstLineChars="500"/>
        <w:rPr>
          <w:b/>
          <w:bCs/>
          <w:sz w:val="44"/>
          <w:szCs w:val="44"/>
        </w:rPr>
      </w:pPr>
      <w:r>
        <w:rPr>
          <w:rFonts w:hint="eastAsia"/>
          <w:b/>
          <w:bCs/>
          <w:sz w:val="44"/>
          <w:szCs w:val="44"/>
        </w:rPr>
        <w:t>主 体 劳 务</w:t>
      </w:r>
      <w:r>
        <w:rPr>
          <w:rFonts w:hint="eastAsia"/>
          <w:b/>
          <w:bCs/>
          <w:sz w:val="44"/>
          <w:szCs w:val="44"/>
          <w:lang w:val="en-US" w:eastAsia="zh-CN"/>
        </w:rPr>
        <w:t xml:space="preserve"> </w:t>
      </w:r>
      <w:r>
        <w:rPr>
          <w:rFonts w:hint="eastAsia"/>
          <w:b/>
          <w:bCs/>
          <w:sz w:val="44"/>
          <w:szCs w:val="44"/>
        </w:rPr>
        <w:t>招 标 文 件</w:t>
      </w:r>
    </w:p>
    <w:p w14:paraId="4DEE2EFA">
      <w:pPr>
        <w:pStyle w:val="2"/>
        <w:ind w:firstLine="560"/>
      </w:pPr>
    </w:p>
    <w:p w14:paraId="43CC2388"/>
    <w:p w14:paraId="592983FE">
      <w:pPr>
        <w:pStyle w:val="2"/>
        <w:ind w:firstLine="560"/>
      </w:pPr>
    </w:p>
    <w:p w14:paraId="609E7339"/>
    <w:p w14:paraId="253EF75F">
      <w:pPr>
        <w:pStyle w:val="2"/>
        <w:ind w:firstLine="560"/>
      </w:pPr>
    </w:p>
    <w:p w14:paraId="023C5F5C"/>
    <w:p w14:paraId="59A1C628">
      <w:pPr>
        <w:pStyle w:val="2"/>
        <w:ind w:firstLine="560"/>
      </w:pPr>
    </w:p>
    <w:p w14:paraId="7A73B715"/>
    <w:p w14:paraId="79C2F075">
      <w:pPr>
        <w:pStyle w:val="2"/>
        <w:ind w:firstLine="560"/>
      </w:pPr>
    </w:p>
    <w:p w14:paraId="1057035F"/>
    <w:p w14:paraId="579ACD67">
      <w:pPr>
        <w:pStyle w:val="2"/>
        <w:ind w:firstLine="560"/>
      </w:pPr>
    </w:p>
    <w:p w14:paraId="530FFE15"/>
    <w:p w14:paraId="7F2C5C1B">
      <w:pPr>
        <w:pStyle w:val="2"/>
        <w:ind w:firstLine="560"/>
      </w:pPr>
    </w:p>
    <w:p w14:paraId="33F9ADE4"/>
    <w:p w14:paraId="49990D3A">
      <w:pPr>
        <w:rPr>
          <w:sz w:val="52"/>
          <w:szCs w:val="36"/>
          <w:u w:val="double"/>
        </w:rPr>
      </w:pPr>
      <w:r>
        <w:drawing>
          <wp:anchor distT="0" distB="0" distL="114300" distR="114300" simplePos="0" relativeHeight="251662336" behindDoc="0" locked="0" layoutInCell="1" allowOverlap="1">
            <wp:simplePos x="0" y="0"/>
            <wp:positionH relativeFrom="column">
              <wp:posOffset>2113280</wp:posOffset>
            </wp:positionH>
            <wp:positionV relativeFrom="paragraph">
              <wp:posOffset>-1615440</wp:posOffset>
            </wp:positionV>
            <wp:extent cx="1958340" cy="1889760"/>
            <wp:effectExtent l="0" t="0" r="7620" b="0"/>
            <wp:wrapNone/>
            <wp:docPr id="9" name="图片 6" descr="厂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6" descr="厂标"/>
                    <pic:cNvPicPr>
                      <a:picLocks noChangeAspect="1"/>
                    </pic:cNvPicPr>
                  </pic:nvPicPr>
                  <pic:blipFill>
                    <a:blip r:embed="rId14"/>
                    <a:stretch>
                      <a:fillRect/>
                    </a:stretch>
                  </pic:blipFill>
                  <pic:spPr>
                    <a:xfrm>
                      <a:off x="0" y="0"/>
                      <a:ext cx="1958340" cy="1889760"/>
                    </a:xfrm>
                    <a:prstGeom prst="rect">
                      <a:avLst/>
                    </a:prstGeom>
                    <a:noFill/>
                    <a:ln>
                      <a:noFill/>
                    </a:ln>
                  </pic:spPr>
                </pic:pic>
              </a:graphicData>
            </a:graphic>
          </wp:anchor>
        </w:drawing>
      </w:r>
    </w:p>
    <w:p w14:paraId="5E07E685"/>
    <w:p w14:paraId="7816F380"/>
    <w:p w14:paraId="053E711A"/>
    <w:p w14:paraId="5CAF1613"/>
    <w:p w14:paraId="56A892BC">
      <w:pPr>
        <w:spacing w:line="360" w:lineRule="auto"/>
        <w:ind w:firstLine="2100" w:firstLineChars="700"/>
        <w:rPr>
          <w:rFonts w:hint="default" w:ascii="宋体" w:hAnsi="宋体" w:eastAsia="宋体" w:cs="宋体"/>
          <w:sz w:val="30"/>
          <w:szCs w:val="30"/>
          <w:lang w:val="en-US" w:eastAsia="zh-CN"/>
        </w:rPr>
      </w:pPr>
      <w:r>
        <w:rPr>
          <w:rFonts w:hint="eastAsia" w:ascii="宋体" w:hAnsi="宋体"/>
          <w:color w:val="000000" w:themeColor="text1"/>
          <w:sz w:val="30"/>
          <w:szCs w:val="30"/>
          <w14:textFill>
            <w14:solidFill>
              <w14:schemeClr w14:val="tx1"/>
            </w14:solidFill>
          </w14:textFill>
        </w:rPr>
        <w:t>工程名称</w:t>
      </w:r>
      <w:r>
        <w:rPr>
          <w:rFonts w:hint="eastAsia" w:ascii="宋体" w:hAnsi="宋体" w:eastAsia="宋体"/>
          <w:sz w:val="30"/>
          <w:szCs w:val="30"/>
        </w:rPr>
        <w:t>：</w:t>
      </w:r>
      <w:bookmarkStart w:id="0" w:name="OLE_LINK1"/>
      <w:r>
        <w:rPr>
          <w:rFonts w:hint="eastAsia" w:ascii="宋体" w:hAnsi="宋体" w:eastAsia="宋体"/>
          <w:b/>
          <w:bCs/>
          <w:sz w:val="30"/>
          <w:szCs w:val="30"/>
          <w:u w:val="single"/>
          <w:lang w:val="en-US" w:eastAsia="zh-CN"/>
        </w:rPr>
        <w:t>威海市第二实验高级中学</w:t>
      </w:r>
      <w:bookmarkEnd w:id="0"/>
      <w:r>
        <w:rPr>
          <w:rFonts w:hint="eastAsia" w:ascii="宋体" w:hAnsi="宋体" w:eastAsia="宋体"/>
          <w:b/>
          <w:bCs/>
          <w:sz w:val="30"/>
          <w:szCs w:val="30"/>
          <w:u w:val="single"/>
          <w:lang w:val="en-US" w:eastAsia="zh-CN"/>
        </w:rPr>
        <w:t>项目</w:t>
      </w:r>
    </w:p>
    <w:p w14:paraId="061C1AE9">
      <w:pPr>
        <w:spacing w:line="360" w:lineRule="auto"/>
        <w:ind w:firstLine="2100" w:firstLineChars="700"/>
        <w:rPr>
          <w:rFonts w:ascii="宋体" w:hAnsi="宋体" w:eastAsia="宋体"/>
          <w:sz w:val="30"/>
          <w:szCs w:val="30"/>
        </w:rPr>
      </w:pPr>
      <w:r>
        <w:rPr>
          <w:rFonts w:hint="eastAsia" w:ascii="宋体" w:hAnsi="宋体" w:eastAsia="宋体"/>
          <w:sz w:val="30"/>
          <w:szCs w:val="30"/>
        </w:rPr>
        <w:t>招标单位：</w:t>
      </w:r>
      <w:r>
        <w:rPr>
          <w:rFonts w:hint="eastAsia" w:ascii="宋体" w:hAnsi="宋体" w:eastAsia="宋体"/>
          <w:b/>
          <w:bCs/>
          <w:sz w:val="30"/>
          <w:szCs w:val="30"/>
          <w:u w:val="single"/>
        </w:rPr>
        <w:t>威建一公司</w:t>
      </w:r>
      <w:r>
        <w:rPr>
          <w:rFonts w:hint="eastAsia" w:ascii="宋体" w:hAnsi="宋体" w:eastAsia="宋体"/>
          <w:b/>
          <w:bCs/>
          <w:sz w:val="30"/>
          <w:szCs w:val="30"/>
          <w:u w:val="single"/>
          <w:lang w:val="en-US" w:eastAsia="zh-CN"/>
        </w:rPr>
        <w:t>实验高级中学</w:t>
      </w:r>
      <w:r>
        <w:rPr>
          <w:rFonts w:hint="eastAsia" w:ascii="宋体" w:hAnsi="宋体" w:eastAsia="宋体"/>
          <w:b/>
          <w:bCs/>
          <w:sz w:val="30"/>
          <w:szCs w:val="30"/>
          <w:u w:val="single"/>
        </w:rPr>
        <w:t>项目部</w:t>
      </w:r>
    </w:p>
    <w:p w14:paraId="1F9147AA">
      <w:pPr>
        <w:spacing w:line="360" w:lineRule="auto"/>
        <w:ind w:firstLine="2100" w:firstLineChars="700"/>
        <w:rPr>
          <w:rFonts w:hint="eastAsia" w:ascii="宋体" w:hAnsi="宋体" w:eastAsia="宋体"/>
          <w:b/>
          <w:bCs/>
          <w:sz w:val="30"/>
          <w:szCs w:val="30"/>
          <w:u w:val="single"/>
          <w:lang w:val="en-US" w:eastAsia="zh-CN"/>
        </w:rPr>
      </w:pPr>
      <w:r>
        <w:rPr>
          <w:rFonts w:hint="eastAsia" w:ascii="宋体" w:hAnsi="宋体" w:eastAsia="宋体"/>
          <w:sz w:val="30"/>
          <w:szCs w:val="30"/>
        </w:rPr>
        <w:t>项目经理：</w:t>
      </w:r>
      <w:r>
        <w:rPr>
          <w:rFonts w:hint="eastAsia" w:ascii="宋体" w:hAnsi="宋体" w:eastAsia="宋体"/>
          <w:b/>
          <w:bCs/>
          <w:sz w:val="30"/>
          <w:szCs w:val="30"/>
          <w:u w:val="single"/>
          <w:lang w:eastAsia="zh-CN"/>
        </w:rPr>
        <w:t>王</w:t>
      </w:r>
      <w:r>
        <w:rPr>
          <w:rFonts w:hint="eastAsia" w:ascii="宋体" w:hAnsi="宋体" w:eastAsia="宋体"/>
          <w:b/>
          <w:bCs/>
          <w:sz w:val="30"/>
          <w:szCs w:val="30"/>
          <w:u w:val="single"/>
          <w:lang w:val="en-US" w:eastAsia="zh-CN"/>
        </w:rPr>
        <w:t xml:space="preserve">   </w:t>
      </w:r>
      <w:r>
        <w:rPr>
          <w:rFonts w:hint="eastAsia" w:ascii="宋体" w:hAnsi="宋体" w:eastAsia="宋体"/>
          <w:b/>
          <w:bCs/>
          <w:sz w:val="30"/>
          <w:szCs w:val="30"/>
          <w:u w:val="single"/>
          <w:lang w:eastAsia="zh-CN"/>
        </w:rPr>
        <w:t>刚</w:t>
      </w:r>
    </w:p>
    <w:p w14:paraId="55BF24C2">
      <w:pPr>
        <w:spacing w:line="360" w:lineRule="auto"/>
        <w:ind w:firstLine="2100" w:firstLineChars="700"/>
        <w:rPr>
          <w:rFonts w:ascii="宋体" w:hAnsi="宋体" w:eastAsia="宋体"/>
          <w:sz w:val="30"/>
          <w:szCs w:val="30"/>
          <w:highlight w:val="none"/>
        </w:rPr>
      </w:pPr>
      <w:r>
        <w:rPr>
          <w:rFonts w:hint="eastAsia" w:ascii="宋体" w:hAnsi="宋体" w:eastAsia="宋体"/>
          <w:sz w:val="30"/>
          <w:szCs w:val="30"/>
        </w:rPr>
        <w:t>开标时间：</w:t>
      </w:r>
      <w:r>
        <w:rPr>
          <w:rFonts w:ascii="宋体" w:hAnsi="宋体" w:eastAsia="宋体"/>
          <w:b/>
          <w:bCs/>
          <w:sz w:val="30"/>
          <w:szCs w:val="30"/>
          <w:highlight w:val="none"/>
          <w:u w:val="single"/>
        </w:rPr>
        <w:t>202</w:t>
      </w:r>
      <w:r>
        <w:rPr>
          <w:rFonts w:hint="eastAsia" w:ascii="宋体" w:hAnsi="宋体" w:eastAsia="宋体"/>
          <w:b/>
          <w:bCs/>
          <w:sz w:val="30"/>
          <w:szCs w:val="30"/>
          <w:highlight w:val="none"/>
          <w:u w:val="single"/>
          <w:lang w:val="en-US" w:eastAsia="zh-CN"/>
        </w:rPr>
        <w:t>5</w:t>
      </w:r>
      <w:r>
        <w:rPr>
          <w:rFonts w:hint="eastAsia" w:ascii="宋体" w:hAnsi="宋体" w:eastAsia="宋体"/>
          <w:b/>
          <w:bCs/>
          <w:sz w:val="30"/>
          <w:szCs w:val="30"/>
          <w:highlight w:val="none"/>
          <w:u w:val="single"/>
        </w:rPr>
        <w:t xml:space="preserve"> </w:t>
      </w:r>
      <w:r>
        <w:rPr>
          <w:rFonts w:ascii="宋体" w:hAnsi="宋体" w:eastAsia="宋体"/>
          <w:b/>
          <w:bCs/>
          <w:sz w:val="30"/>
          <w:szCs w:val="30"/>
          <w:highlight w:val="none"/>
          <w:u w:val="single"/>
        </w:rPr>
        <w:t>年</w:t>
      </w:r>
      <w:r>
        <w:rPr>
          <w:rFonts w:hint="eastAsia" w:ascii="宋体" w:hAnsi="宋体" w:eastAsia="宋体"/>
          <w:b/>
          <w:bCs/>
          <w:sz w:val="30"/>
          <w:szCs w:val="30"/>
          <w:highlight w:val="none"/>
          <w:u w:val="single"/>
        </w:rPr>
        <w:t xml:space="preserve"> </w:t>
      </w:r>
      <w:r>
        <w:rPr>
          <w:rFonts w:hint="eastAsia" w:ascii="宋体" w:hAnsi="宋体" w:eastAsia="宋体"/>
          <w:b/>
          <w:bCs/>
          <w:sz w:val="30"/>
          <w:szCs w:val="30"/>
          <w:highlight w:val="none"/>
          <w:u w:val="single"/>
          <w:lang w:val="en-US" w:eastAsia="zh-CN"/>
        </w:rPr>
        <w:t>12</w:t>
      </w:r>
      <w:r>
        <w:rPr>
          <w:rFonts w:hint="eastAsia" w:ascii="宋体" w:hAnsi="宋体" w:eastAsia="宋体"/>
          <w:b/>
          <w:bCs/>
          <w:sz w:val="30"/>
          <w:szCs w:val="30"/>
          <w:highlight w:val="none"/>
          <w:u w:val="single"/>
        </w:rPr>
        <w:t xml:space="preserve"> </w:t>
      </w:r>
      <w:r>
        <w:rPr>
          <w:rFonts w:ascii="宋体" w:hAnsi="宋体" w:eastAsia="宋体"/>
          <w:b/>
          <w:bCs/>
          <w:sz w:val="30"/>
          <w:szCs w:val="30"/>
          <w:highlight w:val="none"/>
          <w:u w:val="single"/>
        </w:rPr>
        <w:t>月</w:t>
      </w:r>
      <w:r>
        <w:rPr>
          <w:rFonts w:hint="eastAsia" w:ascii="宋体" w:hAnsi="宋体" w:eastAsia="宋体"/>
          <w:b/>
          <w:bCs/>
          <w:sz w:val="30"/>
          <w:szCs w:val="30"/>
          <w:highlight w:val="none"/>
          <w:u w:val="single"/>
          <w:lang w:val="en-US" w:eastAsia="zh-CN"/>
        </w:rPr>
        <w:t>11</w:t>
      </w:r>
      <w:r>
        <w:rPr>
          <w:rFonts w:hint="eastAsia" w:ascii="宋体" w:hAnsi="宋体" w:eastAsia="宋体"/>
          <w:b/>
          <w:bCs/>
          <w:sz w:val="30"/>
          <w:szCs w:val="30"/>
          <w:highlight w:val="none"/>
          <w:u w:val="single"/>
        </w:rPr>
        <w:t xml:space="preserve"> 日 </w:t>
      </w:r>
      <w:r>
        <w:rPr>
          <w:rFonts w:hint="eastAsia" w:ascii="宋体" w:hAnsi="宋体" w:eastAsia="宋体"/>
          <w:b/>
          <w:bCs/>
          <w:sz w:val="30"/>
          <w:szCs w:val="30"/>
          <w:highlight w:val="none"/>
          <w:u w:val="single"/>
          <w:lang w:val="en-US" w:eastAsia="zh-CN"/>
        </w:rPr>
        <w:t>14</w:t>
      </w:r>
      <w:r>
        <w:rPr>
          <w:rFonts w:hint="eastAsia" w:ascii="宋体" w:hAnsi="宋体" w:eastAsia="宋体"/>
          <w:b/>
          <w:bCs/>
          <w:sz w:val="30"/>
          <w:szCs w:val="30"/>
          <w:highlight w:val="none"/>
          <w:u w:val="single"/>
        </w:rPr>
        <w:t xml:space="preserve"> 时</w:t>
      </w:r>
      <w:r>
        <w:rPr>
          <w:rFonts w:hint="eastAsia" w:ascii="宋体" w:hAnsi="宋体" w:eastAsia="宋体"/>
          <w:b/>
          <w:bCs/>
          <w:sz w:val="30"/>
          <w:szCs w:val="30"/>
          <w:highlight w:val="none"/>
          <w:u w:val="single"/>
          <w:lang w:val="en-US" w:eastAsia="zh-CN"/>
        </w:rPr>
        <w:t>30</w:t>
      </w:r>
      <w:bookmarkStart w:id="6" w:name="_GoBack"/>
      <w:bookmarkEnd w:id="6"/>
      <w:r>
        <w:rPr>
          <w:rFonts w:hint="eastAsia" w:ascii="宋体" w:hAnsi="宋体" w:eastAsia="宋体"/>
          <w:b/>
          <w:bCs/>
          <w:sz w:val="30"/>
          <w:szCs w:val="30"/>
          <w:highlight w:val="none"/>
          <w:u w:val="single"/>
        </w:rPr>
        <w:t>分</w:t>
      </w:r>
    </w:p>
    <w:p w14:paraId="68B68724">
      <w:pPr>
        <w:spacing w:line="360" w:lineRule="auto"/>
        <w:ind w:firstLine="2100" w:firstLineChars="700"/>
        <w:rPr>
          <w:rFonts w:ascii="宋体" w:hAnsi="宋体" w:eastAsia="宋体"/>
          <w:b/>
          <w:bCs/>
          <w:sz w:val="30"/>
          <w:szCs w:val="30"/>
          <w:u w:val="single"/>
        </w:rPr>
      </w:pPr>
      <w:r>
        <w:rPr>
          <w:rFonts w:hint="eastAsia" w:ascii="宋体" w:hAnsi="宋体" w:eastAsia="宋体"/>
          <w:sz w:val="30"/>
          <w:szCs w:val="30"/>
        </w:rPr>
        <w:t>开标地点：</w:t>
      </w:r>
      <w:r>
        <w:rPr>
          <w:rFonts w:hint="eastAsia" w:ascii="宋体" w:hAnsi="宋体" w:eastAsia="宋体"/>
          <w:b/>
          <w:bCs/>
          <w:sz w:val="30"/>
          <w:szCs w:val="30"/>
          <w:u w:val="single"/>
        </w:rPr>
        <w:t xml:space="preserve">威建一公司会议室 </w:t>
      </w:r>
    </w:p>
    <w:p w14:paraId="1BE6CD41">
      <w:pPr>
        <w:pStyle w:val="4"/>
      </w:pPr>
    </w:p>
    <w:p w14:paraId="0989DA14">
      <w:pPr>
        <w:pStyle w:val="4"/>
      </w:pPr>
    </w:p>
    <w:p w14:paraId="0B0B0FDF">
      <w:pPr>
        <w:pStyle w:val="4"/>
        <w:numPr>
          <w:ilvl w:val="0"/>
          <w:numId w:val="1"/>
        </w:numPr>
      </w:pPr>
      <w:r>
        <w:rPr>
          <w:rFonts w:hint="eastAsia"/>
        </w:rPr>
        <w:t>工程概况</w:t>
      </w:r>
    </w:p>
    <w:tbl>
      <w:tblPr>
        <w:tblStyle w:val="12"/>
        <w:tblW w:w="9759"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39"/>
        <w:gridCol w:w="3060"/>
        <w:gridCol w:w="1390"/>
        <w:gridCol w:w="3270"/>
      </w:tblGrid>
      <w:tr w14:paraId="1FD281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9" w:hRule="atLeast"/>
        </w:trPr>
        <w:tc>
          <w:tcPr>
            <w:tcW w:w="2039" w:type="dxa"/>
            <w:vAlign w:val="center"/>
          </w:tcPr>
          <w:p w14:paraId="2A6B8E43">
            <w:r>
              <w:rPr>
                <w:rFonts w:hint="eastAsia"/>
              </w:rPr>
              <w:t>工程名称</w:t>
            </w:r>
          </w:p>
        </w:tc>
        <w:tc>
          <w:tcPr>
            <w:tcW w:w="3060" w:type="dxa"/>
            <w:vAlign w:val="center"/>
          </w:tcPr>
          <w:p w14:paraId="7D1066B5">
            <w:bookmarkStart w:id="1" w:name="OLE_LINK2"/>
            <w:r>
              <w:rPr>
                <w:rFonts w:hint="eastAsia"/>
                <w:lang w:val="en-US" w:eastAsia="zh-CN"/>
              </w:rPr>
              <w:t>威海市第二实验高级中学</w:t>
            </w:r>
            <w:bookmarkEnd w:id="1"/>
          </w:p>
        </w:tc>
        <w:tc>
          <w:tcPr>
            <w:tcW w:w="1390" w:type="dxa"/>
            <w:vAlign w:val="center"/>
          </w:tcPr>
          <w:p w14:paraId="76732056">
            <w:r>
              <w:rPr>
                <w:rFonts w:hint="eastAsia"/>
              </w:rPr>
              <w:t>地理位置</w:t>
            </w:r>
          </w:p>
        </w:tc>
        <w:tc>
          <w:tcPr>
            <w:tcW w:w="3270" w:type="dxa"/>
            <w:vAlign w:val="center"/>
          </w:tcPr>
          <w:p w14:paraId="6EF8C188">
            <w:pPr>
              <w:rPr>
                <w:rFonts w:hint="eastAsia" w:cs="仿宋" w:eastAsiaTheme="minorEastAsia"/>
                <w:color w:val="000000" w:themeColor="text1"/>
                <w:lang w:val="en-US" w:eastAsia="zh-CN"/>
                <w14:textFill>
                  <w14:solidFill>
                    <w14:schemeClr w14:val="tx1"/>
                  </w14:solidFill>
                </w14:textFill>
              </w:rPr>
            </w:pPr>
            <w:r>
              <w:rPr>
                <w:rFonts w:hint="eastAsia" w:cs="仿宋"/>
                <w:color w:val="000000" w:themeColor="text1"/>
                <w:lang w:val="en-US" w:eastAsia="zh-CN"/>
                <w14:textFill>
                  <w14:solidFill>
                    <w14:schemeClr w14:val="tx1"/>
                  </w14:solidFill>
                </w14:textFill>
              </w:rPr>
              <w:t>环翠区海峰路南、天目路东</w:t>
            </w:r>
          </w:p>
        </w:tc>
      </w:tr>
      <w:tr w14:paraId="615CEC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39" w:type="dxa"/>
            <w:vAlign w:val="center"/>
          </w:tcPr>
          <w:p w14:paraId="4E3627CF">
            <w:r>
              <w:rPr>
                <w:rFonts w:hint="eastAsia"/>
              </w:rPr>
              <w:t>建设单位</w:t>
            </w:r>
          </w:p>
        </w:tc>
        <w:tc>
          <w:tcPr>
            <w:tcW w:w="3060" w:type="dxa"/>
            <w:vAlign w:val="center"/>
          </w:tcPr>
          <w:p w14:paraId="4FABD416">
            <w:pPr>
              <w:rPr>
                <w:rFonts w:hint="default" w:eastAsiaTheme="minorEastAsia"/>
                <w:color w:val="auto"/>
                <w:highlight w:val="yellow"/>
                <w:lang w:val="en-US" w:eastAsia="zh-CN"/>
              </w:rPr>
            </w:pPr>
            <w:r>
              <w:rPr>
                <w:rFonts w:hint="eastAsia"/>
                <w:lang w:val="en-US" w:eastAsia="zh-CN"/>
              </w:rPr>
              <w:t>威海市第二实验高级中学</w:t>
            </w:r>
          </w:p>
        </w:tc>
        <w:tc>
          <w:tcPr>
            <w:tcW w:w="1390" w:type="dxa"/>
            <w:vAlign w:val="center"/>
          </w:tcPr>
          <w:p w14:paraId="3CF91C4D">
            <w:r>
              <w:rPr>
                <w:rFonts w:hint="eastAsia"/>
              </w:rPr>
              <w:t>设计单位</w:t>
            </w:r>
          </w:p>
        </w:tc>
        <w:tc>
          <w:tcPr>
            <w:tcW w:w="3270" w:type="dxa"/>
            <w:vAlign w:val="center"/>
          </w:tcPr>
          <w:p w14:paraId="523F7C94">
            <w:pPr>
              <w:rPr>
                <w:rFonts w:hint="default" w:eastAsiaTheme="minorEastAsia"/>
                <w:lang w:val="en-US" w:eastAsia="zh-CN"/>
              </w:rPr>
            </w:pPr>
            <w:r>
              <w:rPr>
                <w:rFonts w:hint="eastAsia"/>
                <w:lang w:val="en-US" w:eastAsia="zh-CN"/>
              </w:rPr>
              <w:t>威海市建筑设计院有限公司</w:t>
            </w:r>
          </w:p>
        </w:tc>
      </w:tr>
      <w:tr w14:paraId="1BF0F1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2039" w:type="dxa"/>
            <w:vAlign w:val="center"/>
          </w:tcPr>
          <w:p w14:paraId="49493B10">
            <w:r>
              <w:rPr>
                <w:rFonts w:hint="eastAsia"/>
              </w:rPr>
              <w:t>监理单位</w:t>
            </w:r>
          </w:p>
        </w:tc>
        <w:tc>
          <w:tcPr>
            <w:tcW w:w="3060" w:type="dxa"/>
            <w:vAlign w:val="center"/>
          </w:tcPr>
          <w:p w14:paraId="30DCFF8B"/>
        </w:tc>
        <w:tc>
          <w:tcPr>
            <w:tcW w:w="1390" w:type="dxa"/>
            <w:vAlign w:val="center"/>
          </w:tcPr>
          <w:p w14:paraId="7BB08F3C">
            <w:r>
              <w:rPr>
                <w:rFonts w:hint="eastAsia"/>
              </w:rPr>
              <w:t>质量监督单位</w:t>
            </w:r>
          </w:p>
        </w:tc>
        <w:tc>
          <w:tcPr>
            <w:tcW w:w="3270" w:type="dxa"/>
            <w:vAlign w:val="center"/>
          </w:tcPr>
          <w:p w14:paraId="4FAFD467">
            <w:pPr>
              <w:spacing w:line="240" w:lineRule="auto"/>
              <w:jc w:val="center"/>
              <w:rPr>
                <w:rFonts w:hint="eastAsia" w:ascii="宋体" w:hAnsi="宋体" w:cs="宋体"/>
                <w:szCs w:val="21"/>
                <w:lang w:val="en-US" w:eastAsia="zh-CN"/>
              </w:rPr>
            </w:pPr>
            <w:r>
              <w:rPr>
                <w:rFonts w:hint="eastAsia" w:ascii="宋体" w:hAnsi="宋体" w:cs="宋体"/>
                <w:szCs w:val="21"/>
              </w:rPr>
              <w:t>威海市</w:t>
            </w:r>
            <w:r>
              <w:rPr>
                <w:rFonts w:hint="eastAsia" w:ascii="宋体" w:hAnsi="宋体" w:cs="宋体"/>
                <w:szCs w:val="21"/>
                <w:lang w:val="en-US" w:eastAsia="zh-CN"/>
              </w:rPr>
              <w:t>环翠区建筑工程</w:t>
            </w:r>
          </w:p>
          <w:p w14:paraId="0CBC5BC0">
            <w:pPr>
              <w:jc w:val="center"/>
            </w:pPr>
            <w:r>
              <w:rPr>
                <w:rFonts w:hint="eastAsia" w:ascii="宋体" w:hAnsi="宋体" w:cs="宋体"/>
                <w:szCs w:val="21"/>
                <w:lang w:val="en-US" w:eastAsia="zh-CN"/>
              </w:rPr>
              <w:t>事务服务中心</w:t>
            </w:r>
          </w:p>
        </w:tc>
      </w:tr>
      <w:tr w14:paraId="40B56A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39" w:type="dxa"/>
            <w:vAlign w:val="center"/>
          </w:tcPr>
          <w:p w14:paraId="27D8A7E1">
            <w:r>
              <w:rPr>
                <w:rFonts w:hint="eastAsia"/>
              </w:rPr>
              <w:t>施工总承包单位</w:t>
            </w:r>
          </w:p>
        </w:tc>
        <w:tc>
          <w:tcPr>
            <w:tcW w:w="7720" w:type="dxa"/>
            <w:gridSpan w:val="3"/>
            <w:vAlign w:val="center"/>
          </w:tcPr>
          <w:p w14:paraId="6D6512EE">
            <w:r>
              <w:rPr>
                <w:rFonts w:hint="eastAsia"/>
              </w:rPr>
              <w:t>威海建设集团股份有限公司</w:t>
            </w:r>
          </w:p>
        </w:tc>
      </w:tr>
      <w:tr w14:paraId="1D8899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39" w:type="dxa"/>
            <w:vAlign w:val="center"/>
          </w:tcPr>
          <w:p w14:paraId="5347D0B4">
            <w:r>
              <w:rPr>
                <w:rFonts w:hint="eastAsia"/>
              </w:rPr>
              <w:t>合同承包范围</w:t>
            </w:r>
          </w:p>
        </w:tc>
        <w:tc>
          <w:tcPr>
            <w:tcW w:w="7720" w:type="dxa"/>
            <w:gridSpan w:val="3"/>
            <w:vAlign w:val="center"/>
          </w:tcPr>
          <w:p w14:paraId="40AA5E81">
            <w:pPr>
              <w:rPr>
                <w:highlight w:val="yellow"/>
              </w:rPr>
            </w:pPr>
            <w:r>
              <w:rPr>
                <w:rFonts w:hint="eastAsia"/>
              </w:rPr>
              <w:t>土建、安装等图纸内的工程内容</w:t>
            </w:r>
          </w:p>
        </w:tc>
      </w:tr>
      <w:tr w14:paraId="186D06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39" w:type="dxa"/>
            <w:vAlign w:val="center"/>
          </w:tcPr>
          <w:p w14:paraId="6839846D">
            <w:r>
              <w:rPr>
                <w:rFonts w:hint="eastAsia"/>
              </w:rPr>
              <w:t>合同质量目标</w:t>
            </w:r>
          </w:p>
        </w:tc>
        <w:tc>
          <w:tcPr>
            <w:tcW w:w="7720" w:type="dxa"/>
            <w:gridSpan w:val="3"/>
            <w:vAlign w:val="center"/>
          </w:tcPr>
          <w:p w14:paraId="15F9D40E">
            <w:r>
              <w:rPr>
                <w:rFonts w:hint="eastAsia"/>
              </w:rPr>
              <w:t>合格</w:t>
            </w:r>
          </w:p>
        </w:tc>
      </w:tr>
    </w:tbl>
    <w:p w14:paraId="30072B93">
      <w:pPr>
        <w:ind w:firstLine="420" w:firstLineChars="200"/>
        <w:rPr>
          <w:rFonts w:hint="eastAsia"/>
          <w:color w:val="FF0000"/>
          <w:lang w:val="en-US" w:eastAsia="zh-CN"/>
        </w:rPr>
      </w:pPr>
      <w:r>
        <w:rPr>
          <w:rFonts w:hint="eastAsia" w:ascii="宋体" w:hAnsi="宋体" w:cs="宋体"/>
          <w:sz w:val="21"/>
          <w:szCs w:val="21"/>
          <w:lang w:eastAsia="zh-CN"/>
        </w:rPr>
        <w:t>实验二</w:t>
      </w:r>
      <w:r>
        <w:rPr>
          <w:rFonts w:hint="eastAsia" w:ascii="宋体" w:hAnsi="宋体" w:cs="宋体"/>
          <w:b w:val="0"/>
          <w:bCs w:val="0"/>
          <w:sz w:val="21"/>
          <w:szCs w:val="21"/>
          <w:lang w:eastAsia="zh-CN"/>
        </w:rPr>
        <w:t>中</w:t>
      </w:r>
      <w:r>
        <w:rPr>
          <w:rFonts w:hint="eastAsia" w:ascii="宋体" w:hAnsi="宋体" w:cs="宋体"/>
          <w:b w:val="0"/>
          <w:bCs w:val="0"/>
          <w:sz w:val="21"/>
          <w:szCs w:val="21"/>
          <w:lang w:val="en-US" w:eastAsia="zh-CN"/>
        </w:rPr>
        <w:t>项目</w:t>
      </w:r>
      <w:r>
        <w:rPr>
          <w:rFonts w:hint="eastAsia" w:ascii="宋体" w:hAnsi="宋体" w:cs="宋体"/>
          <w:b w:val="0"/>
          <w:bCs w:val="0"/>
          <w:sz w:val="21"/>
          <w:szCs w:val="21"/>
        </w:rPr>
        <w:t>总建筑面积</w:t>
      </w:r>
      <w:r>
        <w:rPr>
          <w:rFonts w:hint="eastAsia" w:ascii="宋体" w:hAnsi="宋体" w:cs="宋体"/>
          <w:b w:val="0"/>
          <w:bCs w:val="0"/>
          <w:sz w:val="21"/>
          <w:szCs w:val="21"/>
          <w:lang w:val="en-US" w:eastAsia="zh-CN"/>
        </w:rPr>
        <w:t>19670</w:t>
      </w:r>
      <w:r>
        <w:rPr>
          <w:rFonts w:hint="eastAsia" w:ascii="宋体" w:hAnsi="宋体" w:cs="宋体"/>
          <w:b w:val="0"/>
          <w:bCs w:val="0"/>
          <w:sz w:val="21"/>
          <w:szCs w:val="21"/>
        </w:rPr>
        <w:t>㎡，包含</w:t>
      </w:r>
      <w:r>
        <w:rPr>
          <w:rFonts w:hint="eastAsia" w:ascii="宋体" w:hAnsi="宋体" w:cs="宋体"/>
          <w:b w:val="0"/>
          <w:bCs w:val="0"/>
          <w:sz w:val="21"/>
          <w:szCs w:val="21"/>
          <w:lang w:val="en-US" w:eastAsia="zh-CN"/>
        </w:rPr>
        <w:t>4</w:t>
      </w:r>
      <w:r>
        <w:rPr>
          <w:rFonts w:hint="eastAsia" w:ascii="宋体" w:hAnsi="宋体" w:cs="宋体"/>
          <w:b w:val="0"/>
          <w:bCs w:val="0"/>
          <w:sz w:val="21"/>
          <w:szCs w:val="21"/>
        </w:rPr>
        <w:t>栋</w:t>
      </w:r>
      <w:r>
        <w:rPr>
          <w:rFonts w:hint="eastAsia" w:ascii="宋体" w:hAnsi="宋体" w:cs="宋体"/>
          <w:b w:val="0"/>
          <w:bCs w:val="0"/>
          <w:sz w:val="21"/>
          <w:szCs w:val="21"/>
          <w:lang w:val="en-US" w:eastAsia="zh-CN"/>
        </w:rPr>
        <w:t>学生及教职工宿舍</w:t>
      </w:r>
      <w:r>
        <w:rPr>
          <w:rFonts w:hint="eastAsia" w:ascii="宋体" w:hAnsi="宋体" w:cs="宋体"/>
          <w:b w:val="0"/>
          <w:bCs w:val="0"/>
          <w:sz w:val="21"/>
          <w:szCs w:val="21"/>
        </w:rPr>
        <w:t>、1栋</w:t>
      </w:r>
      <w:r>
        <w:rPr>
          <w:rFonts w:hint="eastAsia" w:ascii="宋体" w:hAnsi="宋体" w:cs="宋体"/>
          <w:b w:val="0"/>
          <w:bCs w:val="0"/>
          <w:sz w:val="21"/>
          <w:szCs w:val="21"/>
          <w:lang w:val="en-US" w:eastAsia="zh-CN"/>
        </w:rPr>
        <w:t>门卫及设备用房</w:t>
      </w:r>
      <w:r>
        <w:rPr>
          <w:rFonts w:hint="eastAsia" w:ascii="宋体" w:hAnsi="宋体" w:cs="宋体"/>
          <w:b w:val="0"/>
          <w:bCs w:val="0"/>
          <w:sz w:val="21"/>
          <w:szCs w:val="21"/>
        </w:rPr>
        <w:t>。本工程基础形式为</w:t>
      </w:r>
      <w:r>
        <w:rPr>
          <w:rFonts w:hint="eastAsia" w:ascii="宋体" w:hAnsi="宋体" w:cs="宋体"/>
          <w:b w:val="0"/>
          <w:bCs w:val="0"/>
          <w:sz w:val="21"/>
          <w:szCs w:val="21"/>
          <w:lang w:val="en-US" w:eastAsia="zh-CN"/>
        </w:rPr>
        <w:t>独立基</w:t>
      </w:r>
      <w:r>
        <w:rPr>
          <w:rFonts w:hint="eastAsia" w:ascii="宋体" w:hAnsi="宋体" w:cs="宋体"/>
          <w:b w:val="0"/>
          <w:bCs w:val="0"/>
          <w:sz w:val="21"/>
          <w:szCs w:val="21"/>
        </w:rPr>
        <w:t>础，天然地基</w:t>
      </w:r>
      <w:r>
        <w:rPr>
          <w:rFonts w:hint="eastAsia" w:ascii="宋体" w:hAnsi="宋体" w:cs="宋体"/>
          <w:b w:val="0"/>
          <w:bCs w:val="0"/>
          <w:sz w:val="21"/>
          <w:szCs w:val="21"/>
          <w:lang w:eastAsia="zh-CN"/>
        </w:rPr>
        <w:t>，</w:t>
      </w:r>
      <w:r>
        <w:rPr>
          <w:rFonts w:hint="eastAsia" w:ascii="宋体" w:hAnsi="宋体" w:cs="宋体"/>
          <w:b w:val="0"/>
          <w:bCs w:val="0"/>
          <w:sz w:val="21"/>
          <w:szCs w:val="21"/>
          <w:lang w:val="en-US" w:eastAsia="zh-CN"/>
        </w:rPr>
        <w:t>持力层为强风化片麻岩，承载力特征值不低于400kPa</w:t>
      </w:r>
      <w:r>
        <w:rPr>
          <w:rFonts w:hint="eastAsia" w:ascii="宋体" w:hAnsi="宋体" w:cs="宋体"/>
          <w:b w:val="0"/>
          <w:bCs w:val="0"/>
          <w:sz w:val="21"/>
          <w:szCs w:val="21"/>
        </w:rPr>
        <w:t>。结构形式</w:t>
      </w:r>
      <w:r>
        <w:rPr>
          <w:rFonts w:hint="eastAsia" w:ascii="宋体" w:hAnsi="宋体" w:cs="宋体"/>
          <w:b w:val="0"/>
          <w:bCs w:val="0"/>
          <w:sz w:val="21"/>
          <w:szCs w:val="21"/>
          <w:lang w:val="en-US" w:eastAsia="zh-CN"/>
        </w:rPr>
        <w:t>为</w:t>
      </w:r>
      <w:r>
        <w:rPr>
          <w:rFonts w:hint="eastAsia" w:ascii="宋体" w:hAnsi="宋体" w:cs="宋体"/>
          <w:b w:val="0"/>
          <w:bCs w:val="0"/>
          <w:sz w:val="21"/>
          <w:szCs w:val="21"/>
        </w:rPr>
        <w:t>框</w:t>
      </w:r>
      <w:r>
        <w:rPr>
          <w:rFonts w:hint="eastAsia" w:ascii="宋体" w:hAnsi="宋体" w:cs="宋体"/>
          <w:sz w:val="21"/>
          <w:szCs w:val="21"/>
        </w:rPr>
        <w:t>架结构</w:t>
      </w:r>
      <w:r>
        <w:rPr>
          <w:rFonts w:hint="eastAsia" w:ascii="宋体" w:hAnsi="宋体" w:cs="宋体"/>
          <w:sz w:val="21"/>
          <w:szCs w:val="21"/>
          <w:lang w:eastAsia="zh-CN"/>
        </w:rPr>
        <w:t>，</w:t>
      </w:r>
      <w:r>
        <w:rPr>
          <w:rFonts w:hint="eastAsia" w:ascii="宋体" w:hAnsi="宋体" w:cs="宋体"/>
          <w:sz w:val="21"/>
          <w:szCs w:val="21"/>
          <w:lang w:val="en-US" w:eastAsia="zh-CN"/>
        </w:rPr>
        <w:t>宿舍结构抗震等级：</w:t>
      </w:r>
      <w:r>
        <w:rPr>
          <w:rFonts w:hint="eastAsia" w:ascii="宋体" w:hAnsi="宋体" w:cs="宋体"/>
          <w:sz w:val="21"/>
          <w:szCs w:val="21"/>
        </w:rPr>
        <w:t>二级</w:t>
      </w:r>
      <w:r>
        <w:rPr>
          <w:rFonts w:hint="eastAsia" w:ascii="宋体" w:hAnsi="宋体" w:cs="宋体"/>
          <w:sz w:val="21"/>
          <w:szCs w:val="21"/>
          <w:lang w:eastAsia="zh-CN"/>
        </w:rPr>
        <w:t>；</w:t>
      </w:r>
      <w:r>
        <w:rPr>
          <w:rFonts w:hint="eastAsia" w:ascii="宋体" w:hAnsi="宋体" w:cs="宋体"/>
          <w:sz w:val="21"/>
          <w:szCs w:val="21"/>
          <w:lang w:val="en-US" w:eastAsia="zh-CN"/>
        </w:rPr>
        <w:t>门卫房结构抗震等级：三</w:t>
      </w:r>
      <w:r>
        <w:rPr>
          <w:rFonts w:hint="eastAsia" w:ascii="宋体" w:hAnsi="宋体" w:cs="宋体"/>
          <w:sz w:val="21"/>
          <w:szCs w:val="21"/>
        </w:rPr>
        <w:t>级。混凝土强度等级:垫层为C</w:t>
      </w:r>
      <w:r>
        <w:rPr>
          <w:rFonts w:hint="eastAsia" w:ascii="宋体" w:hAnsi="宋体" w:cs="宋体"/>
          <w:sz w:val="21"/>
          <w:szCs w:val="21"/>
          <w:lang w:val="en-US" w:eastAsia="zh-CN"/>
        </w:rPr>
        <w:t>20</w:t>
      </w:r>
      <w:r>
        <w:rPr>
          <w:rFonts w:hint="eastAsia" w:ascii="宋体" w:hAnsi="宋体" w:cs="宋体"/>
          <w:sz w:val="21"/>
          <w:szCs w:val="21"/>
        </w:rPr>
        <w:t>，独立基础</w:t>
      </w:r>
      <w:r>
        <w:rPr>
          <w:rFonts w:hint="eastAsia" w:ascii="宋体" w:hAnsi="宋体" w:cs="宋体"/>
          <w:sz w:val="21"/>
          <w:szCs w:val="21"/>
          <w:lang w:eastAsia="zh-CN"/>
        </w:rPr>
        <w:t>、</w:t>
      </w:r>
      <w:r>
        <w:rPr>
          <w:rFonts w:hint="eastAsia" w:ascii="宋体" w:hAnsi="宋体" w:cs="宋体"/>
          <w:sz w:val="21"/>
          <w:szCs w:val="21"/>
          <w:lang w:val="en-US" w:eastAsia="zh-CN"/>
        </w:rPr>
        <w:t>短柱、</w:t>
      </w:r>
      <w:r>
        <w:rPr>
          <w:rFonts w:hint="eastAsia" w:ascii="宋体" w:hAnsi="宋体" w:cs="宋体"/>
          <w:sz w:val="21"/>
          <w:szCs w:val="21"/>
        </w:rPr>
        <w:t>基础梁</w:t>
      </w:r>
      <w:r>
        <w:rPr>
          <w:rFonts w:hint="eastAsia" w:ascii="宋体" w:hAnsi="宋体" w:cs="宋体"/>
          <w:sz w:val="21"/>
          <w:szCs w:val="21"/>
          <w:lang w:val="en-US" w:eastAsia="zh-CN"/>
        </w:rPr>
        <w:t>为</w:t>
      </w:r>
      <w:r>
        <w:rPr>
          <w:rFonts w:hint="eastAsia" w:ascii="宋体" w:hAnsi="宋体" w:cs="宋体"/>
          <w:sz w:val="21"/>
          <w:szCs w:val="21"/>
        </w:rPr>
        <w:t>C35</w:t>
      </w:r>
      <w:r>
        <w:rPr>
          <w:rFonts w:hint="eastAsia" w:ascii="宋体" w:hAnsi="宋体" w:cs="宋体"/>
          <w:sz w:val="21"/>
          <w:szCs w:val="21"/>
          <w:lang w:eastAsia="zh-CN"/>
        </w:rPr>
        <w:t>，</w:t>
      </w:r>
      <w:r>
        <w:rPr>
          <w:rFonts w:hint="eastAsia" w:ascii="宋体" w:hAnsi="宋体" w:cs="宋体"/>
          <w:sz w:val="21"/>
          <w:szCs w:val="21"/>
          <w:lang w:val="en-US" w:eastAsia="zh-CN"/>
        </w:rPr>
        <w:t>一层及以上柱梁板为C30，二次结构为C25。本工程三楼宿舍楼及教职工宿舍同时开工交叉施工，流水作业。</w:t>
      </w:r>
    </w:p>
    <w:p w14:paraId="1C9C2F41">
      <w:pPr>
        <w:ind w:firstLine="480" w:firstLineChars="200"/>
        <w:rPr>
          <w:rFonts w:hint="eastAsia"/>
          <w:lang w:val="en-US" w:eastAsia="zh-CN"/>
        </w:rPr>
      </w:pPr>
      <w:r>
        <w:rPr>
          <w:rFonts w:hint="eastAsia"/>
          <w:lang w:val="en-US" w:eastAsia="zh-CN"/>
        </w:rPr>
        <w:t xml:space="preserve">本工程所有作业内容详见下表： </w:t>
      </w:r>
    </w:p>
    <w:tbl>
      <w:tblPr>
        <w:tblStyle w:val="12"/>
        <w:tblW w:w="10252" w:type="dxa"/>
        <w:tblInd w:w="0" w:type="dxa"/>
        <w:tblLayout w:type="fixed"/>
        <w:tblCellMar>
          <w:top w:w="0" w:type="dxa"/>
          <w:left w:w="108" w:type="dxa"/>
          <w:bottom w:w="0" w:type="dxa"/>
          <w:right w:w="108" w:type="dxa"/>
        </w:tblCellMar>
      </w:tblPr>
      <w:tblGrid>
        <w:gridCol w:w="1740"/>
        <w:gridCol w:w="1569"/>
        <w:gridCol w:w="1070"/>
        <w:gridCol w:w="990"/>
        <w:gridCol w:w="1506"/>
        <w:gridCol w:w="1874"/>
        <w:gridCol w:w="1503"/>
      </w:tblGrid>
      <w:tr w14:paraId="1C7748A2">
        <w:tblPrEx>
          <w:tblCellMar>
            <w:top w:w="0" w:type="dxa"/>
            <w:left w:w="108" w:type="dxa"/>
            <w:bottom w:w="0" w:type="dxa"/>
            <w:right w:w="108" w:type="dxa"/>
          </w:tblCellMar>
        </w:tblPrEx>
        <w:trPr>
          <w:trHeight w:val="600" w:hRule="atLeast"/>
        </w:trPr>
        <w:tc>
          <w:tcPr>
            <w:tcW w:w="174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582D73D8">
            <w:pPr>
              <w:spacing w:line="240" w:lineRule="auto"/>
              <w:jc w:val="center"/>
            </w:pPr>
            <w:bookmarkStart w:id="2" w:name="_Hlk168739071"/>
            <w:bookmarkStart w:id="3" w:name="_Hlk168739389"/>
            <w:r>
              <w:rPr>
                <w:rFonts w:hint="eastAsia" w:ascii="宋体" w:hAnsi="宋体" w:cs="宋体"/>
                <w:szCs w:val="21"/>
              </w:rPr>
              <w:t>单体名称</w:t>
            </w:r>
          </w:p>
        </w:tc>
        <w:tc>
          <w:tcPr>
            <w:tcW w:w="1569" w:type="dxa"/>
            <w:vMerge w:val="restart"/>
            <w:tcBorders>
              <w:top w:val="single" w:color="auto" w:sz="4" w:space="0"/>
              <w:left w:val="nil"/>
              <w:bottom w:val="single" w:color="auto" w:sz="4" w:space="0"/>
              <w:right w:val="single" w:color="auto" w:sz="4" w:space="0"/>
            </w:tcBorders>
            <w:shd w:val="clear" w:color="auto" w:fill="auto"/>
            <w:vAlign w:val="center"/>
          </w:tcPr>
          <w:p w14:paraId="016C1024">
            <w:pPr>
              <w:spacing w:line="240" w:lineRule="auto"/>
              <w:jc w:val="center"/>
            </w:pPr>
            <w:r>
              <w:rPr>
                <w:rFonts w:hint="eastAsia" w:ascii="宋体" w:hAnsi="宋体" w:cs="宋体"/>
                <w:szCs w:val="21"/>
              </w:rPr>
              <w:t>单体建筑面积（㎡）</w:t>
            </w:r>
          </w:p>
        </w:tc>
        <w:tc>
          <w:tcPr>
            <w:tcW w:w="2060" w:type="dxa"/>
            <w:gridSpan w:val="2"/>
            <w:tcBorders>
              <w:top w:val="single" w:color="auto" w:sz="4" w:space="0"/>
              <w:left w:val="nil"/>
              <w:bottom w:val="single" w:color="auto" w:sz="4" w:space="0"/>
              <w:right w:val="single" w:color="auto" w:sz="4" w:space="0"/>
            </w:tcBorders>
            <w:shd w:val="clear" w:color="auto" w:fill="auto"/>
            <w:vAlign w:val="center"/>
          </w:tcPr>
          <w:p w14:paraId="082842F4">
            <w:pPr>
              <w:spacing w:line="240" w:lineRule="auto"/>
              <w:jc w:val="center"/>
            </w:pPr>
            <w:r>
              <w:rPr>
                <w:rFonts w:hint="eastAsia" w:ascii="宋体" w:hAnsi="宋体" w:cs="宋体"/>
                <w:szCs w:val="21"/>
              </w:rPr>
              <w:t>建筑层数</w:t>
            </w:r>
          </w:p>
        </w:tc>
        <w:tc>
          <w:tcPr>
            <w:tcW w:w="1506" w:type="dxa"/>
            <w:vMerge w:val="restart"/>
            <w:tcBorders>
              <w:top w:val="single" w:color="auto" w:sz="4" w:space="0"/>
              <w:left w:val="nil"/>
              <w:right w:val="single" w:color="auto" w:sz="4" w:space="0"/>
            </w:tcBorders>
            <w:shd w:val="clear" w:color="auto" w:fill="auto"/>
            <w:vAlign w:val="center"/>
          </w:tcPr>
          <w:p w14:paraId="009DDEAE">
            <w:pPr>
              <w:spacing w:line="240" w:lineRule="auto"/>
              <w:jc w:val="center"/>
            </w:pPr>
            <w:r>
              <w:rPr>
                <w:rFonts w:hint="eastAsia" w:ascii="宋体" w:hAnsi="宋体" w:cs="宋体"/>
                <w:szCs w:val="21"/>
              </w:rPr>
              <w:t>建筑总高度</w:t>
            </w:r>
          </w:p>
        </w:tc>
        <w:tc>
          <w:tcPr>
            <w:tcW w:w="1874" w:type="dxa"/>
            <w:vMerge w:val="restart"/>
            <w:tcBorders>
              <w:top w:val="single" w:color="auto" w:sz="4" w:space="0"/>
              <w:left w:val="nil"/>
              <w:right w:val="single" w:color="auto" w:sz="4" w:space="0"/>
            </w:tcBorders>
            <w:shd w:val="clear" w:color="auto" w:fill="auto"/>
            <w:vAlign w:val="center"/>
          </w:tcPr>
          <w:p w14:paraId="2CD6920A">
            <w:pPr>
              <w:spacing w:line="240" w:lineRule="auto"/>
              <w:jc w:val="center"/>
            </w:pPr>
            <w:r>
              <w:rPr>
                <w:rFonts w:hint="eastAsia" w:ascii="宋体" w:hAnsi="宋体" w:cs="宋体"/>
                <w:szCs w:val="21"/>
                <w:lang w:val="en-US" w:eastAsia="zh-CN"/>
              </w:rPr>
              <w:t>层高</w:t>
            </w:r>
          </w:p>
        </w:tc>
        <w:tc>
          <w:tcPr>
            <w:tcW w:w="1503" w:type="dxa"/>
            <w:vMerge w:val="restart"/>
            <w:tcBorders>
              <w:top w:val="single" w:color="auto" w:sz="4" w:space="0"/>
              <w:left w:val="nil"/>
              <w:right w:val="single" w:color="auto" w:sz="4" w:space="0"/>
            </w:tcBorders>
            <w:shd w:val="clear" w:color="auto" w:fill="auto"/>
            <w:noWrap/>
            <w:vAlign w:val="center"/>
          </w:tcPr>
          <w:p w14:paraId="343AA8DA">
            <w:pPr>
              <w:spacing w:line="240" w:lineRule="auto"/>
              <w:jc w:val="center"/>
            </w:pPr>
            <w:r>
              <w:rPr>
                <w:rFonts w:hint="eastAsia" w:ascii="宋体" w:hAnsi="宋体" w:cs="宋体"/>
                <w:szCs w:val="21"/>
                <w:lang w:val="en-US" w:eastAsia="zh-CN"/>
              </w:rPr>
              <w:t>结构类型</w:t>
            </w:r>
          </w:p>
        </w:tc>
      </w:tr>
      <w:tr w14:paraId="2C7AE23E">
        <w:tblPrEx>
          <w:tblCellMar>
            <w:top w:w="0" w:type="dxa"/>
            <w:left w:w="108" w:type="dxa"/>
            <w:bottom w:w="0" w:type="dxa"/>
            <w:right w:w="108" w:type="dxa"/>
          </w:tblCellMar>
        </w:tblPrEx>
        <w:trPr>
          <w:trHeight w:val="600" w:hRule="atLeast"/>
        </w:trPr>
        <w:tc>
          <w:tcPr>
            <w:tcW w:w="1740" w:type="dxa"/>
            <w:vMerge w:val="continue"/>
            <w:tcBorders>
              <w:top w:val="nil"/>
              <w:left w:val="single" w:color="auto" w:sz="4" w:space="0"/>
              <w:bottom w:val="single" w:color="auto" w:sz="4" w:space="0"/>
              <w:right w:val="single" w:color="auto" w:sz="4" w:space="0"/>
            </w:tcBorders>
            <w:shd w:val="clear" w:color="auto" w:fill="auto"/>
            <w:noWrap/>
            <w:vAlign w:val="center"/>
          </w:tcPr>
          <w:p w14:paraId="541DA1BF">
            <w:pPr>
              <w:spacing w:line="240" w:lineRule="auto"/>
              <w:jc w:val="center"/>
            </w:pPr>
          </w:p>
        </w:tc>
        <w:tc>
          <w:tcPr>
            <w:tcW w:w="1569" w:type="dxa"/>
            <w:vMerge w:val="continue"/>
            <w:tcBorders>
              <w:top w:val="nil"/>
              <w:left w:val="nil"/>
              <w:bottom w:val="single" w:color="auto" w:sz="4" w:space="0"/>
              <w:right w:val="single" w:color="auto" w:sz="4" w:space="0"/>
            </w:tcBorders>
            <w:shd w:val="clear" w:color="auto" w:fill="auto"/>
            <w:noWrap/>
            <w:vAlign w:val="center"/>
          </w:tcPr>
          <w:p w14:paraId="6CE9EA60">
            <w:pPr>
              <w:spacing w:line="240" w:lineRule="auto"/>
              <w:jc w:val="center"/>
              <w:rPr>
                <w:rFonts w:hint="eastAsia" w:eastAsiaTheme="minorEastAsia"/>
                <w:lang w:val="en-US" w:eastAsia="zh-CN"/>
              </w:rPr>
            </w:pPr>
          </w:p>
        </w:tc>
        <w:tc>
          <w:tcPr>
            <w:tcW w:w="1070" w:type="dxa"/>
            <w:tcBorders>
              <w:top w:val="nil"/>
              <w:left w:val="nil"/>
              <w:bottom w:val="single" w:color="auto" w:sz="4" w:space="0"/>
              <w:right w:val="single" w:color="auto" w:sz="4" w:space="0"/>
            </w:tcBorders>
            <w:shd w:val="clear" w:color="auto" w:fill="auto"/>
            <w:noWrap/>
            <w:vAlign w:val="center"/>
          </w:tcPr>
          <w:p w14:paraId="20493AD6">
            <w:pPr>
              <w:spacing w:line="240" w:lineRule="auto"/>
              <w:jc w:val="center"/>
              <w:rPr>
                <w:rFonts w:hint="default" w:eastAsiaTheme="minorEastAsia"/>
                <w:lang w:val="en-US" w:eastAsia="zh-CN"/>
              </w:rPr>
            </w:pPr>
            <w:r>
              <w:rPr>
                <w:rFonts w:hint="eastAsia" w:ascii="宋体" w:hAnsi="宋体" w:cs="宋体"/>
                <w:szCs w:val="21"/>
              </w:rPr>
              <w:t>地下</w:t>
            </w:r>
          </w:p>
        </w:tc>
        <w:tc>
          <w:tcPr>
            <w:tcW w:w="990" w:type="dxa"/>
            <w:tcBorders>
              <w:top w:val="nil"/>
              <w:left w:val="nil"/>
              <w:bottom w:val="single" w:color="auto" w:sz="4" w:space="0"/>
              <w:right w:val="single" w:color="auto" w:sz="4" w:space="0"/>
            </w:tcBorders>
            <w:shd w:val="clear" w:color="auto" w:fill="auto"/>
            <w:noWrap/>
            <w:vAlign w:val="center"/>
          </w:tcPr>
          <w:p w14:paraId="00E01CE9">
            <w:pPr>
              <w:spacing w:line="240" w:lineRule="auto"/>
              <w:jc w:val="center"/>
            </w:pPr>
            <w:r>
              <w:rPr>
                <w:rFonts w:hint="eastAsia" w:ascii="宋体" w:hAnsi="宋体" w:cs="宋体"/>
                <w:szCs w:val="21"/>
              </w:rPr>
              <w:t>地上</w:t>
            </w:r>
          </w:p>
        </w:tc>
        <w:tc>
          <w:tcPr>
            <w:tcW w:w="1506" w:type="dxa"/>
            <w:vMerge w:val="continue"/>
            <w:tcBorders>
              <w:left w:val="nil"/>
              <w:bottom w:val="single" w:color="auto" w:sz="4" w:space="0"/>
              <w:right w:val="single" w:color="auto" w:sz="4" w:space="0"/>
            </w:tcBorders>
            <w:shd w:val="clear" w:color="auto" w:fill="auto"/>
            <w:noWrap/>
            <w:vAlign w:val="center"/>
          </w:tcPr>
          <w:p w14:paraId="06D835A0">
            <w:pPr>
              <w:spacing w:line="240" w:lineRule="auto"/>
              <w:jc w:val="center"/>
            </w:pPr>
          </w:p>
        </w:tc>
        <w:tc>
          <w:tcPr>
            <w:tcW w:w="1874" w:type="dxa"/>
            <w:vMerge w:val="continue"/>
            <w:tcBorders>
              <w:left w:val="nil"/>
              <w:bottom w:val="single" w:color="auto" w:sz="4" w:space="0"/>
              <w:right w:val="single" w:color="auto" w:sz="4" w:space="0"/>
            </w:tcBorders>
            <w:shd w:val="clear" w:color="auto" w:fill="auto"/>
            <w:noWrap/>
            <w:vAlign w:val="center"/>
          </w:tcPr>
          <w:p w14:paraId="3AA4194C">
            <w:pPr>
              <w:spacing w:line="240" w:lineRule="auto"/>
              <w:jc w:val="center"/>
            </w:pPr>
          </w:p>
        </w:tc>
        <w:tc>
          <w:tcPr>
            <w:tcW w:w="1503" w:type="dxa"/>
            <w:vMerge w:val="continue"/>
            <w:tcBorders>
              <w:left w:val="nil"/>
              <w:bottom w:val="single" w:color="auto" w:sz="4" w:space="0"/>
              <w:right w:val="single" w:color="auto" w:sz="4" w:space="0"/>
            </w:tcBorders>
            <w:shd w:val="clear" w:color="auto" w:fill="auto"/>
            <w:noWrap/>
            <w:vAlign w:val="center"/>
          </w:tcPr>
          <w:p w14:paraId="5D24C189">
            <w:pPr>
              <w:spacing w:line="240" w:lineRule="auto"/>
              <w:jc w:val="center"/>
              <w:rPr>
                <w:rFonts w:hint="default" w:eastAsiaTheme="minorEastAsia"/>
                <w:lang w:val="en-US" w:eastAsia="zh-CN"/>
              </w:rPr>
            </w:pPr>
          </w:p>
        </w:tc>
      </w:tr>
      <w:tr w14:paraId="0F4B3428">
        <w:tblPrEx>
          <w:tblCellMar>
            <w:top w:w="0" w:type="dxa"/>
            <w:left w:w="108" w:type="dxa"/>
            <w:bottom w:w="0" w:type="dxa"/>
            <w:right w:w="108" w:type="dxa"/>
          </w:tblCellMar>
        </w:tblPrEx>
        <w:trPr>
          <w:trHeight w:val="600" w:hRule="atLeast"/>
        </w:trPr>
        <w:tc>
          <w:tcPr>
            <w:tcW w:w="1740" w:type="dxa"/>
            <w:tcBorders>
              <w:top w:val="nil"/>
              <w:left w:val="single" w:color="auto" w:sz="4" w:space="0"/>
              <w:bottom w:val="single" w:color="auto" w:sz="4" w:space="0"/>
              <w:right w:val="single" w:color="auto" w:sz="4" w:space="0"/>
            </w:tcBorders>
            <w:shd w:val="clear" w:color="auto" w:fill="auto"/>
            <w:noWrap/>
            <w:vAlign w:val="center"/>
          </w:tcPr>
          <w:p w14:paraId="24FEC2D0">
            <w:pPr>
              <w:spacing w:line="240" w:lineRule="auto"/>
              <w:jc w:val="center"/>
            </w:pPr>
            <w:bookmarkStart w:id="4" w:name="OLE_LINK3" w:colFirst="3" w:colLast="3"/>
            <w:r>
              <w:rPr>
                <w:rFonts w:hint="eastAsia" w:ascii="宋体" w:hAnsi="宋体" w:cs="宋体"/>
                <w:lang w:val="en-US" w:bidi="zh-CN"/>
              </w:rPr>
              <w:t>学生宿舍A</w:t>
            </w:r>
          </w:p>
        </w:tc>
        <w:tc>
          <w:tcPr>
            <w:tcW w:w="1569" w:type="dxa"/>
            <w:tcBorders>
              <w:top w:val="nil"/>
              <w:left w:val="nil"/>
              <w:bottom w:val="single" w:color="auto" w:sz="4" w:space="0"/>
              <w:right w:val="single" w:color="auto" w:sz="4" w:space="0"/>
            </w:tcBorders>
            <w:shd w:val="clear" w:color="auto" w:fill="auto"/>
            <w:noWrap/>
            <w:vAlign w:val="center"/>
          </w:tcPr>
          <w:p w14:paraId="598DE791">
            <w:pPr>
              <w:spacing w:line="240" w:lineRule="auto"/>
              <w:jc w:val="center"/>
              <w:rPr>
                <w:rFonts w:hint="eastAsia" w:eastAsiaTheme="minorEastAsia"/>
                <w:lang w:val="en-US" w:eastAsia="zh-CN"/>
              </w:rPr>
            </w:pPr>
            <w:r>
              <w:rPr>
                <w:rFonts w:hint="eastAsia" w:ascii="宋体" w:hAnsi="宋体" w:cs="宋体"/>
                <w:lang w:val="en-US" w:bidi="zh-CN"/>
              </w:rPr>
              <w:t>5988.47</w:t>
            </w:r>
          </w:p>
        </w:tc>
        <w:tc>
          <w:tcPr>
            <w:tcW w:w="1070" w:type="dxa"/>
            <w:tcBorders>
              <w:top w:val="nil"/>
              <w:left w:val="nil"/>
              <w:bottom w:val="single" w:color="auto" w:sz="4" w:space="0"/>
              <w:right w:val="single" w:color="auto" w:sz="4" w:space="0"/>
            </w:tcBorders>
            <w:shd w:val="clear" w:color="auto" w:fill="auto"/>
            <w:noWrap/>
            <w:vAlign w:val="center"/>
          </w:tcPr>
          <w:p w14:paraId="272D15F2">
            <w:pPr>
              <w:spacing w:line="240" w:lineRule="auto"/>
              <w:jc w:val="center"/>
            </w:pPr>
            <w:r>
              <w:rPr>
                <w:rFonts w:hint="eastAsia" w:ascii="宋体" w:hAnsi="宋体" w:cs="宋体"/>
                <w:szCs w:val="21"/>
                <w:lang w:val="en-US" w:eastAsia="zh-CN"/>
              </w:rPr>
              <w:t>/</w:t>
            </w:r>
          </w:p>
        </w:tc>
        <w:tc>
          <w:tcPr>
            <w:tcW w:w="990" w:type="dxa"/>
            <w:tcBorders>
              <w:top w:val="single" w:color="auto" w:sz="4" w:space="0"/>
              <w:left w:val="nil"/>
              <w:bottom w:val="single" w:color="auto" w:sz="4" w:space="0"/>
              <w:right w:val="single" w:color="auto" w:sz="4" w:space="0"/>
            </w:tcBorders>
            <w:shd w:val="clear" w:color="auto" w:fill="auto"/>
            <w:noWrap/>
            <w:vAlign w:val="center"/>
          </w:tcPr>
          <w:p w14:paraId="448F6B5F">
            <w:pPr>
              <w:spacing w:line="240" w:lineRule="auto"/>
              <w:jc w:val="center"/>
            </w:pPr>
            <w:r>
              <w:rPr>
                <w:rFonts w:hint="eastAsia" w:ascii="宋体" w:hAnsi="宋体" w:cs="宋体"/>
                <w:szCs w:val="21"/>
                <w:lang w:val="en-US" w:eastAsia="zh-CN"/>
              </w:rPr>
              <w:t>5</w:t>
            </w:r>
            <w:r>
              <w:rPr>
                <w:rFonts w:hint="eastAsia" w:ascii="宋体" w:hAnsi="宋体" w:cs="宋体"/>
                <w:szCs w:val="21"/>
              </w:rPr>
              <w:t>层</w:t>
            </w:r>
          </w:p>
        </w:tc>
        <w:tc>
          <w:tcPr>
            <w:tcW w:w="1506" w:type="dxa"/>
            <w:tcBorders>
              <w:top w:val="single" w:color="auto" w:sz="4" w:space="0"/>
              <w:left w:val="nil"/>
              <w:bottom w:val="single" w:color="auto" w:sz="4" w:space="0"/>
              <w:right w:val="single" w:color="auto" w:sz="4" w:space="0"/>
            </w:tcBorders>
            <w:shd w:val="clear" w:color="auto" w:fill="auto"/>
            <w:noWrap/>
            <w:vAlign w:val="center"/>
          </w:tcPr>
          <w:p w14:paraId="6033D5D1">
            <w:pPr>
              <w:spacing w:line="240" w:lineRule="auto"/>
              <w:jc w:val="center"/>
            </w:pPr>
            <w:r>
              <w:rPr>
                <w:rFonts w:hint="eastAsia" w:ascii="宋体" w:hAnsi="宋体" w:cs="宋体"/>
                <w:szCs w:val="21"/>
                <w:lang w:val="en-US" w:eastAsia="zh-CN"/>
              </w:rPr>
              <w:t>19.7m</w:t>
            </w:r>
          </w:p>
        </w:tc>
        <w:tc>
          <w:tcPr>
            <w:tcW w:w="1874" w:type="dxa"/>
            <w:tcBorders>
              <w:top w:val="single" w:color="auto" w:sz="4" w:space="0"/>
              <w:left w:val="nil"/>
              <w:bottom w:val="single" w:color="auto" w:sz="4" w:space="0"/>
              <w:right w:val="single" w:color="auto" w:sz="4" w:space="0"/>
            </w:tcBorders>
            <w:shd w:val="clear" w:color="auto" w:fill="auto"/>
            <w:noWrap/>
            <w:vAlign w:val="center"/>
          </w:tcPr>
          <w:p w14:paraId="203EA11B">
            <w:pPr>
              <w:spacing w:line="240" w:lineRule="auto"/>
              <w:jc w:val="center"/>
            </w:pPr>
            <w:r>
              <w:rPr>
                <w:rFonts w:hint="eastAsia" w:ascii="宋体" w:hAnsi="宋体" w:cs="宋体"/>
                <w:szCs w:val="21"/>
                <w:lang w:val="en-US" w:eastAsia="zh-CN"/>
              </w:rPr>
              <w:t>3.8m</w:t>
            </w:r>
          </w:p>
        </w:tc>
        <w:tc>
          <w:tcPr>
            <w:tcW w:w="1503" w:type="dxa"/>
            <w:tcBorders>
              <w:top w:val="single" w:color="auto" w:sz="4" w:space="0"/>
              <w:left w:val="nil"/>
              <w:bottom w:val="single" w:color="auto" w:sz="4" w:space="0"/>
              <w:right w:val="single" w:color="auto" w:sz="4" w:space="0"/>
            </w:tcBorders>
            <w:shd w:val="clear" w:color="auto" w:fill="auto"/>
            <w:noWrap/>
            <w:vAlign w:val="center"/>
          </w:tcPr>
          <w:p w14:paraId="7C64EFFE">
            <w:pPr>
              <w:spacing w:line="240" w:lineRule="auto"/>
              <w:jc w:val="center"/>
              <w:rPr>
                <w:rFonts w:hint="default" w:eastAsiaTheme="minorEastAsia"/>
                <w:lang w:val="en-US" w:eastAsia="zh-CN"/>
              </w:rPr>
            </w:pPr>
            <w:r>
              <w:rPr>
                <w:rFonts w:hint="eastAsia" w:ascii="宋体" w:hAnsi="宋体" w:cs="宋体"/>
                <w:szCs w:val="21"/>
                <w:lang w:val="en-US" w:eastAsia="zh-CN"/>
              </w:rPr>
              <w:t>框架结构</w:t>
            </w:r>
          </w:p>
        </w:tc>
      </w:tr>
      <w:tr w14:paraId="173BAD8A">
        <w:tblPrEx>
          <w:tblCellMar>
            <w:top w:w="0" w:type="dxa"/>
            <w:left w:w="108" w:type="dxa"/>
            <w:bottom w:w="0" w:type="dxa"/>
            <w:right w:w="108" w:type="dxa"/>
          </w:tblCellMar>
        </w:tblPrEx>
        <w:trPr>
          <w:trHeight w:val="600" w:hRule="atLeast"/>
        </w:trPr>
        <w:tc>
          <w:tcPr>
            <w:tcW w:w="1740" w:type="dxa"/>
            <w:tcBorders>
              <w:top w:val="nil"/>
              <w:left w:val="single" w:color="auto" w:sz="4" w:space="0"/>
              <w:bottom w:val="single" w:color="auto" w:sz="4" w:space="0"/>
              <w:right w:val="single" w:color="auto" w:sz="4" w:space="0"/>
            </w:tcBorders>
            <w:shd w:val="clear" w:color="auto" w:fill="auto"/>
            <w:noWrap/>
            <w:vAlign w:val="center"/>
          </w:tcPr>
          <w:p w14:paraId="33029F1F">
            <w:pPr>
              <w:spacing w:line="240" w:lineRule="auto"/>
              <w:jc w:val="center"/>
            </w:pPr>
            <w:r>
              <w:rPr>
                <w:rFonts w:hint="eastAsia" w:ascii="宋体" w:hAnsi="宋体" w:cs="宋体"/>
                <w:lang w:val="en-US" w:bidi="zh-CN"/>
              </w:rPr>
              <w:t>学生宿舍B</w:t>
            </w:r>
          </w:p>
        </w:tc>
        <w:tc>
          <w:tcPr>
            <w:tcW w:w="1569" w:type="dxa"/>
            <w:tcBorders>
              <w:top w:val="nil"/>
              <w:left w:val="nil"/>
              <w:bottom w:val="single" w:color="auto" w:sz="4" w:space="0"/>
              <w:right w:val="single" w:color="auto" w:sz="4" w:space="0"/>
            </w:tcBorders>
            <w:shd w:val="clear" w:color="auto" w:fill="auto"/>
            <w:noWrap/>
            <w:vAlign w:val="center"/>
          </w:tcPr>
          <w:p w14:paraId="40D3060B">
            <w:pPr>
              <w:spacing w:line="240" w:lineRule="auto"/>
              <w:jc w:val="center"/>
              <w:rPr>
                <w:rFonts w:hint="eastAsia" w:eastAsiaTheme="minorEastAsia"/>
                <w:lang w:val="en-US" w:eastAsia="zh-CN"/>
              </w:rPr>
            </w:pPr>
            <w:r>
              <w:rPr>
                <w:rFonts w:hint="eastAsia" w:ascii="宋体" w:hAnsi="宋体" w:cs="宋体"/>
                <w:lang w:val="en-US" w:bidi="zh-CN"/>
              </w:rPr>
              <w:t>5988.47</w:t>
            </w:r>
          </w:p>
        </w:tc>
        <w:tc>
          <w:tcPr>
            <w:tcW w:w="1070" w:type="dxa"/>
            <w:tcBorders>
              <w:top w:val="nil"/>
              <w:left w:val="nil"/>
              <w:bottom w:val="single" w:color="auto" w:sz="4" w:space="0"/>
              <w:right w:val="single" w:color="auto" w:sz="4" w:space="0"/>
            </w:tcBorders>
            <w:shd w:val="clear" w:color="auto" w:fill="auto"/>
            <w:noWrap/>
            <w:vAlign w:val="center"/>
          </w:tcPr>
          <w:p w14:paraId="46B164A7">
            <w:pPr>
              <w:spacing w:line="240" w:lineRule="auto"/>
              <w:jc w:val="center"/>
              <w:rPr>
                <w:rFonts w:hint="eastAsia" w:eastAsiaTheme="minorEastAsia"/>
                <w:lang w:eastAsia="zh-CN"/>
              </w:rPr>
            </w:pPr>
            <w:r>
              <w:rPr>
                <w:rFonts w:hint="eastAsia" w:ascii="宋体" w:hAnsi="宋体" w:cs="宋体"/>
                <w:szCs w:val="21"/>
                <w:lang w:val="en-US" w:eastAsia="zh-CN"/>
              </w:rPr>
              <w:t>/</w:t>
            </w:r>
          </w:p>
        </w:tc>
        <w:tc>
          <w:tcPr>
            <w:tcW w:w="990" w:type="dxa"/>
            <w:tcBorders>
              <w:top w:val="nil"/>
              <w:left w:val="nil"/>
              <w:bottom w:val="single" w:color="auto" w:sz="4" w:space="0"/>
              <w:right w:val="single" w:color="auto" w:sz="4" w:space="0"/>
            </w:tcBorders>
            <w:shd w:val="clear" w:color="auto" w:fill="auto"/>
            <w:noWrap/>
            <w:vAlign w:val="center"/>
          </w:tcPr>
          <w:p w14:paraId="499E08FA">
            <w:pPr>
              <w:spacing w:line="240" w:lineRule="auto"/>
              <w:jc w:val="center"/>
            </w:pPr>
            <w:r>
              <w:rPr>
                <w:rFonts w:hint="eastAsia" w:ascii="宋体" w:hAnsi="宋体" w:cs="宋体"/>
                <w:szCs w:val="21"/>
                <w:lang w:val="en-US" w:eastAsia="zh-CN"/>
              </w:rPr>
              <w:t>5</w:t>
            </w:r>
            <w:r>
              <w:rPr>
                <w:rFonts w:hint="eastAsia" w:ascii="宋体" w:hAnsi="宋体" w:cs="宋体"/>
                <w:szCs w:val="21"/>
              </w:rPr>
              <w:t>层</w:t>
            </w:r>
          </w:p>
        </w:tc>
        <w:tc>
          <w:tcPr>
            <w:tcW w:w="1506" w:type="dxa"/>
            <w:tcBorders>
              <w:top w:val="nil"/>
              <w:left w:val="nil"/>
              <w:bottom w:val="single" w:color="auto" w:sz="4" w:space="0"/>
              <w:right w:val="single" w:color="auto" w:sz="4" w:space="0"/>
            </w:tcBorders>
            <w:shd w:val="clear" w:color="auto" w:fill="auto"/>
            <w:noWrap/>
            <w:vAlign w:val="center"/>
          </w:tcPr>
          <w:p w14:paraId="2270EC11">
            <w:pPr>
              <w:spacing w:line="240" w:lineRule="auto"/>
              <w:jc w:val="center"/>
            </w:pPr>
            <w:r>
              <w:rPr>
                <w:rFonts w:hint="eastAsia" w:ascii="宋体" w:hAnsi="宋体" w:cs="宋体"/>
                <w:szCs w:val="21"/>
                <w:lang w:val="en-US" w:eastAsia="zh-CN"/>
              </w:rPr>
              <w:t>19.7m</w:t>
            </w:r>
          </w:p>
        </w:tc>
        <w:tc>
          <w:tcPr>
            <w:tcW w:w="1874" w:type="dxa"/>
            <w:tcBorders>
              <w:top w:val="nil"/>
              <w:left w:val="nil"/>
              <w:bottom w:val="single" w:color="auto" w:sz="4" w:space="0"/>
              <w:right w:val="single" w:color="auto" w:sz="4" w:space="0"/>
            </w:tcBorders>
            <w:shd w:val="clear" w:color="auto" w:fill="auto"/>
            <w:noWrap/>
            <w:vAlign w:val="center"/>
          </w:tcPr>
          <w:p w14:paraId="7D60561F">
            <w:pPr>
              <w:spacing w:line="240" w:lineRule="auto"/>
              <w:jc w:val="center"/>
            </w:pPr>
            <w:r>
              <w:rPr>
                <w:rFonts w:hint="eastAsia" w:ascii="宋体" w:hAnsi="宋体" w:cs="宋体"/>
                <w:szCs w:val="21"/>
                <w:lang w:val="en-US" w:eastAsia="zh-CN"/>
              </w:rPr>
              <w:t>3.8m</w:t>
            </w:r>
          </w:p>
        </w:tc>
        <w:tc>
          <w:tcPr>
            <w:tcW w:w="1503" w:type="dxa"/>
            <w:tcBorders>
              <w:top w:val="nil"/>
              <w:left w:val="nil"/>
              <w:bottom w:val="single" w:color="auto" w:sz="4" w:space="0"/>
              <w:right w:val="single" w:color="auto" w:sz="4" w:space="0"/>
            </w:tcBorders>
            <w:shd w:val="clear" w:color="auto" w:fill="auto"/>
            <w:noWrap/>
            <w:vAlign w:val="center"/>
          </w:tcPr>
          <w:p w14:paraId="3BE32800">
            <w:pPr>
              <w:spacing w:line="240" w:lineRule="auto"/>
              <w:jc w:val="center"/>
              <w:rPr>
                <w:rFonts w:hint="default" w:eastAsiaTheme="minorEastAsia"/>
                <w:lang w:val="en-US" w:eastAsia="zh-CN"/>
              </w:rPr>
            </w:pPr>
            <w:r>
              <w:rPr>
                <w:rFonts w:hint="eastAsia" w:ascii="宋体" w:hAnsi="宋体" w:cs="宋体"/>
                <w:szCs w:val="21"/>
                <w:lang w:val="en-US" w:eastAsia="zh-CN"/>
              </w:rPr>
              <w:t>框架结构</w:t>
            </w:r>
          </w:p>
        </w:tc>
      </w:tr>
      <w:tr w14:paraId="49A52892">
        <w:tblPrEx>
          <w:tblCellMar>
            <w:top w:w="0" w:type="dxa"/>
            <w:left w:w="108" w:type="dxa"/>
            <w:bottom w:w="0" w:type="dxa"/>
            <w:right w:w="108" w:type="dxa"/>
          </w:tblCellMar>
        </w:tblPrEx>
        <w:trPr>
          <w:trHeight w:val="600" w:hRule="atLeast"/>
        </w:trPr>
        <w:tc>
          <w:tcPr>
            <w:tcW w:w="1740" w:type="dxa"/>
            <w:tcBorders>
              <w:top w:val="nil"/>
              <w:left w:val="single" w:color="auto" w:sz="4" w:space="0"/>
              <w:bottom w:val="single" w:color="auto" w:sz="4" w:space="0"/>
              <w:right w:val="single" w:color="auto" w:sz="4" w:space="0"/>
            </w:tcBorders>
            <w:shd w:val="clear" w:color="auto" w:fill="auto"/>
            <w:noWrap/>
            <w:vAlign w:val="center"/>
          </w:tcPr>
          <w:p w14:paraId="2A285B63">
            <w:pPr>
              <w:spacing w:line="240" w:lineRule="auto"/>
              <w:jc w:val="center"/>
            </w:pPr>
            <w:r>
              <w:rPr>
                <w:rFonts w:hint="eastAsia" w:ascii="宋体" w:hAnsi="宋体" w:cs="宋体"/>
                <w:lang w:val="en-US" w:bidi="zh-CN"/>
              </w:rPr>
              <w:t>学生宿舍C</w:t>
            </w:r>
          </w:p>
        </w:tc>
        <w:tc>
          <w:tcPr>
            <w:tcW w:w="1569" w:type="dxa"/>
            <w:tcBorders>
              <w:top w:val="nil"/>
              <w:left w:val="nil"/>
              <w:bottom w:val="single" w:color="auto" w:sz="4" w:space="0"/>
              <w:right w:val="single" w:color="auto" w:sz="4" w:space="0"/>
            </w:tcBorders>
            <w:shd w:val="clear" w:color="auto" w:fill="auto"/>
            <w:noWrap/>
            <w:vAlign w:val="center"/>
          </w:tcPr>
          <w:p w14:paraId="55ADC143">
            <w:pPr>
              <w:spacing w:line="240" w:lineRule="auto"/>
              <w:jc w:val="center"/>
              <w:rPr>
                <w:rFonts w:hint="default" w:eastAsiaTheme="minorEastAsia"/>
                <w:lang w:val="en-US" w:eastAsia="zh-CN"/>
              </w:rPr>
            </w:pPr>
            <w:r>
              <w:rPr>
                <w:rFonts w:hint="eastAsia" w:ascii="宋体" w:hAnsi="宋体" w:cs="宋体"/>
                <w:lang w:val="en-US" w:bidi="zh-CN"/>
              </w:rPr>
              <w:t>6039.5</w:t>
            </w:r>
          </w:p>
        </w:tc>
        <w:tc>
          <w:tcPr>
            <w:tcW w:w="1070" w:type="dxa"/>
            <w:tcBorders>
              <w:top w:val="nil"/>
              <w:left w:val="nil"/>
              <w:bottom w:val="single" w:color="auto" w:sz="4" w:space="0"/>
              <w:right w:val="single" w:color="auto" w:sz="4" w:space="0"/>
            </w:tcBorders>
            <w:shd w:val="clear" w:color="auto" w:fill="auto"/>
            <w:noWrap/>
            <w:vAlign w:val="center"/>
          </w:tcPr>
          <w:p w14:paraId="4DE21739">
            <w:pPr>
              <w:spacing w:line="240" w:lineRule="auto"/>
              <w:jc w:val="center"/>
              <w:rPr>
                <w:rFonts w:hint="eastAsia" w:eastAsiaTheme="minorEastAsia"/>
                <w:lang w:eastAsia="zh-CN"/>
              </w:rPr>
            </w:pPr>
            <w:r>
              <w:rPr>
                <w:rFonts w:hint="eastAsia" w:ascii="宋体" w:hAnsi="宋体" w:cs="宋体"/>
                <w:szCs w:val="21"/>
                <w:lang w:val="en-US" w:eastAsia="zh-CN"/>
              </w:rPr>
              <w:t>/</w:t>
            </w:r>
          </w:p>
        </w:tc>
        <w:tc>
          <w:tcPr>
            <w:tcW w:w="990" w:type="dxa"/>
            <w:tcBorders>
              <w:top w:val="nil"/>
              <w:left w:val="nil"/>
              <w:bottom w:val="single" w:color="auto" w:sz="4" w:space="0"/>
              <w:right w:val="single" w:color="auto" w:sz="4" w:space="0"/>
            </w:tcBorders>
            <w:shd w:val="clear" w:color="auto" w:fill="auto"/>
            <w:noWrap/>
            <w:vAlign w:val="center"/>
          </w:tcPr>
          <w:p w14:paraId="589777AF">
            <w:pPr>
              <w:spacing w:line="240" w:lineRule="auto"/>
              <w:jc w:val="center"/>
            </w:pPr>
            <w:r>
              <w:rPr>
                <w:rFonts w:hint="eastAsia" w:ascii="宋体" w:hAnsi="宋体" w:cs="宋体"/>
                <w:szCs w:val="21"/>
                <w:lang w:val="en-US" w:eastAsia="zh-CN"/>
              </w:rPr>
              <w:t>5</w:t>
            </w:r>
            <w:r>
              <w:rPr>
                <w:rFonts w:hint="eastAsia" w:ascii="宋体" w:hAnsi="宋体" w:cs="宋体"/>
                <w:szCs w:val="21"/>
              </w:rPr>
              <w:t>层</w:t>
            </w:r>
          </w:p>
        </w:tc>
        <w:tc>
          <w:tcPr>
            <w:tcW w:w="1506" w:type="dxa"/>
            <w:tcBorders>
              <w:top w:val="nil"/>
              <w:left w:val="nil"/>
              <w:bottom w:val="single" w:color="auto" w:sz="4" w:space="0"/>
              <w:right w:val="single" w:color="auto" w:sz="4" w:space="0"/>
            </w:tcBorders>
            <w:shd w:val="clear" w:color="auto" w:fill="auto"/>
            <w:noWrap/>
            <w:vAlign w:val="center"/>
          </w:tcPr>
          <w:p w14:paraId="18ACA204">
            <w:pPr>
              <w:spacing w:line="240" w:lineRule="auto"/>
              <w:jc w:val="center"/>
            </w:pPr>
            <w:r>
              <w:rPr>
                <w:rFonts w:hint="eastAsia" w:ascii="宋体" w:hAnsi="宋体" w:cs="宋体"/>
                <w:szCs w:val="21"/>
                <w:lang w:val="en-US" w:eastAsia="zh-CN"/>
              </w:rPr>
              <w:t>19.7m</w:t>
            </w:r>
          </w:p>
        </w:tc>
        <w:tc>
          <w:tcPr>
            <w:tcW w:w="1874" w:type="dxa"/>
            <w:tcBorders>
              <w:top w:val="nil"/>
              <w:left w:val="nil"/>
              <w:bottom w:val="single" w:color="auto" w:sz="4" w:space="0"/>
              <w:right w:val="single" w:color="auto" w:sz="4" w:space="0"/>
            </w:tcBorders>
            <w:shd w:val="clear" w:color="auto" w:fill="auto"/>
            <w:noWrap/>
            <w:vAlign w:val="center"/>
          </w:tcPr>
          <w:p w14:paraId="765DDBA9">
            <w:pPr>
              <w:spacing w:line="240" w:lineRule="auto"/>
              <w:jc w:val="center"/>
            </w:pPr>
            <w:r>
              <w:rPr>
                <w:rFonts w:hint="eastAsia" w:ascii="宋体" w:hAnsi="宋体" w:cs="宋体"/>
                <w:szCs w:val="21"/>
                <w:lang w:val="en-US" w:eastAsia="zh-CN"/>
              </w:rPr>
              <w:t>3.8m</w:t>
            </w:r>
          </w:p>
        </w:tc>
        <w:tc>
          <w:tcPr>
            <w:tcW w:w="1503" w:type="dxa"/>
            <w:tcBorders>
              <w:top w:val="nil"/>
              <w:left w:val="nil"/>
              <w:bottom w:val="single" w:color="auto" w:sz="4" w:space="0"/>
              <w:right w:val="single" w:color="auto" w:sz="4" w:space="0"/>
            </w:tcBorders>
            <w:shd w:val="clear" w:color="auto" w:fill="auto"/>
            <w:noWrap/>
            <w:vAlign w:val="center"/>
          </w:tcPr>
          <w:p w14:paraId="1DC9A830">
            <w:pPr>
              <w:spacing w:line="240" w:lineRule="auto"/>
              <w:jc w:val="center"/>
              <w:rPr>
                <w:rFonts w:hint="default" w:eastAsiaTheme="minorEastAsia"/>
                <w:lang w:val="en-US" w:eastAsia="zh-CN"/>
              </w:rPr>
            </w:pPr>
            <w:r>
              <w:rPr>
                <w:rFonts w:hint="eastAsia" w:ascii="宋体" w:hAnsi="宋体" w:cs="宋体"/>
                <w:szCs w:val="21"/>
                <w:lang w:val="en-US" w:eastAsia="zh-CN"/>
              </w:rPr>
              <w:t>框架结构</w:t>
            </w:r>
          </w:p>
        </w:tc>
      </w:tr>
      <w:tr w14:paraId="12A5546A">
        <w:tblPrEx>
          <w:tblCellMar>
            <w:top w:w="0" w:type="dxa"/>
            <w:left w:w="108" w:type="dxa"/>
            <w:bottom w:w="0" w:type="dxa"/>
            <w:right w:w="108" w:type="dxa"/>
          </w:tblCellMar>
        </w:tblPrEx>
        <w:trPr>
          <w:trHeight w:val="600" w:hRule="atLeast"/>
        </w:trPr>
        <w:tc>
          <w:tcPr>
            <w:tcW w:w="1740" w:type="dxa"/>
            <w:tcBorders>
              <w:top w:val="nil"/>
              <w:left w:val="single" w:color="auto" w:sz="4" w:space="0"/>
              <w:bottom w:val="single" w:color="auto" w:sz="4" w:space="0"/>
              <w:right w:val="single" w:color="auto" w:sz="4" w:space="0"/>
            </w:tcBorders>
            <w:shd w:val="clear" w:color="auto" w:fill="auto"/>
            <w:noWrap/>
            <w:vAlign w:val="center"/>
          </w:tcPr>
          <w:p w14:paraId="75B15599">
            <w:pPr>
              <w:spacing w:line="240" w:lineRule="auto"/>
              <w:jc w:val="center"/>
              <w:rPr>
                <w:rFonts w:hint="eastAsia" w:ascii="宋体" w:hAnsi="宋体" w:cs="宋体" w:eastAsiaTheme="minorEastAsia"/>
                <w:kern w:val="3"/>
                <w:sz w:val="24"/>
                <w:szCs w:val="24"/>
                <w:lang w:val="en-US" w:eastAsia="zh-CN" w:bidi="zh-CN"/>
              </w:rPr>
            </w:pPr>
            <w:r>
              <w:rPr>
                <w:rFonts w:hint="eastAsia" w:ascii="宋体" w:hAnsi="宋体" w:cs="宋体"/>
                <w:lang w:val="en-US" w:bidi="zh-CN"/>
              </w:rPr>
              <w:t>教职工宿舍</w:t>
            </w:r>
          </w:p>
        </w:tc>
        <w:tc>
          <w:tcPr>
            <w:tcW w:w="1569" w:type="dxa"/>
            <w:tcBorders>
              <w:top w:val="nil"/>
              <w:left w:val="nil"/>
              <w:bottom w:val="single" w:color="auto" w:sz="4" w:space="0"/>
              <w:right w:val="single" w:color="auto" w:sz="4" w:space="0"/>
            </w:tcBorders>
            <w:shd w:val="clear" w:color="auto" w:fill="auto"/>
            <w:noWrap/>
            <w:vAlign w:val="center"/>
          </w:tcPr>
          <w:p w14:paraId="68656659">
            <w:pPr>
              <w:spacing w:line="240" w:lineRule="auto"/>
              <w:jc w:val="center"/>
              <w:rPr>
                <w:rFonts w:hint="eastAsia" w:ascii="宋体" w:hAnsi="宋体" w:cs="宋体" w:eastAsiaTheme="minorEastAsia"/>
                <w:kern w:val="3"/>
                <w:sz w:val="24"/>
                <w:szCs w:val="24"/>
                <w:lang w:val="en-US" w:eastAsia="zh-CN" w:bidi="zh-CN"/>
              </w:rPr>
            </w:pPr>
            <w:r>
              <w:rPr>
                <w:rFonts w:hint="eastAsia" w:ascii="宋体" w:hAnsi="宋体" w:cs="宋体"/>
                <w:lang w:val="en-US" w:bidi="zh-CN"/>
              </w:rPr>
              <w:t>1475.48</w:t>
            </w:r>
          </w:p>
        </w:tc>
        <w:tc>
          <w:tcPr>
            <w:tcW w:w="1070" w:type="dxa"/>
            <w:tcBorders>
              <w:top w:val="nil"/>
              <w:left w:val="nil"/>
              <w:bottom w:val="single" w:color="auto" w:sz="4" w:space="0"/>
              <w:right w:val="single" w:color="auto" w:sz="4" w:space="0"/>
            </w:tcBorders>
            <w:shd w:val="clear" w:color="auto" w:fill="auto"/>
            <w:noWrap/>
            <w:vAlign w:val="center"/>
          </w:tcPr>
          <w:p w14:paraId="6F999E4E">
            <w:pPr>
              <w:spacing w:line="240" w:lineRule="auto"/>
              <w:jc w:val="center"/>
              <w:rPr>
                <w:rFonts w:hint="eastAsia" w:ascii="宋体" w:hAnsi="宋体" w:cs="宋体" w:eastAsiaTheme="minorEastAsia"/>
                <w:kern w:val="3"/>
                <w:sz w:val="24"/>
                <w:szCs w:val="21"/>
                <w:lang w:val="en-US" w:eastAsia="zh-CN" w:bidi="ar-SA"/>
              </w:rPr>
            </w:pPr>
            <w:r>
              <w:rPr>
                <w:rFonts w:hint="eastAsia" w:ascii="宋体" w:hAnsi="宋体" w:cs="宋体"/>
                <w:szCs w:val="21"/>
                <w:lang w:val="en-US" w:eastAsia="zh-CN"/>
              </w:rPr>
              <w:t>/</w:t>
            </w:r>
          </w:p>
        </w:tc>
        <w:tc>
          <w:tcPr>
            <w:tcW w:w="990" w:type="dxa"/>
            <w:tcBorders>
              <w:top w:val="nil"/>
              <w:left w:val="nil"/>
              <w:bottom w:val="single" w:color="auto" w:sz="4" w:space="0"/>
              <w:right w:val="single" w:color="auto" w:sz="4" w:space="0"/>
            </w:tcBorders>
            <w:shd w:val="clear" w:color="auto" w:fill="auto"/>
            <w:noWrap/>
            <w:vAlign w:val="center"/>
          </w:tcPr>
          <w:p w14:paraId="3A91F202">
            <w:pPr>
              <w:spacing w:line="240" w:lineRule="auto"/>
              <w:jc w:val="center"/>
              <w:rPr>
                <w:rFonts w:hint="eastAsia" w:ascii="宋体" w:hAnsi="宋体" w:cs="宋体" w:eastAsiaTheme="minorEastAsia"/>
                <w:kern w:val="3"/>
                <w:sz w:val="24"/>
                <w:szCs w:val="21"/>
                <w:lang w:val="en-US" w:eastAsia="zh-CN" w:bidi="ar-SA"/>
              </w:rPr>
            </w:pPr>
            <w:r>
              <w:rPr>
                <w:rFonts w:hint="eastAsia" w:ascii="宋体" w:hAnsi="宋体" w:cs="宋体"/>
                <w:szCs w:val="21"/>
                <w:lang w:val="en-US" w:eastAsia="zh-CN"/>
              </w:rPr>
              <w:t>2</w:t>
            </w:r>
            <w:r>
              <w:rPr>
                <w:rFonts w:hint="eastAsia" w:ascii="宋体" w:hAnsi="宋体" w:cs="宋体"/>
                <w:szCs w:val="21"/>
              </w:rPr>
              <w:t>层</w:t>
            </w:r>
          </w:p>
        </w:tc>
        <w:tc>
          <w:tcPr>
            <w:tcW w:w="1506" w:type="dxa"/>
            <w:tcBorders>
              <w:top w:val="nil"/>
              <w:left w:val="nil"/>
              <w:bottom w:val="single" w:color="auto" w:sz="4" w:space="0"/>
              <w:right w:val="single" w:color="auto" w:sz="4" w:space="0"/>
            </w:tcBorders>
            <w:shd w:val="clear" w:color="auto" w:fill="auto"/>
            <w:noWrap/>
            <w:vAlign w:val="center"/>
          </w:tcPr>
          <w:p w14:paraId="5F2F27B3">
            <w:pPr>
              <w:spacing w:line="240" w:lineRule="auto"/>
              <w:jc w:val="center"/>
              <w:rPr>
                <w:rFonts w:hint="eastAsia" w:ascii="宋体" w:hAnsi="宋体" w:cs="宋体" w:eastAsiaTheme="minorEastAsia"/>
                <w:kern w:val="3"/>
                <w:sz w:val="24"/>
                <w:szCs w:val="21"/>
                <w:lang w:val="en-US" w:eastAsia="zh-CN" w:bidi="ar-SA"/>
              </w:rPr>
            </w:pPr>
            <w:r>
              <w:rPr>
                <w:rFonts w:hint="eastAsia" w:ascii="宋体" w:hAnsi="宋体" w:cs="宋体"/>
                <w:szCs w:val="21"/>
                <w:lang w:val="en-US" w:eastAsia="zh-CN"/>
              </w:rPr>
              <w:t>8.3m</w:t>
            </w:r>
          </w:p>
        </w:tc>
        <w:tc>
          <w:tcPr>
            <w:tcW w:w="1874" w:type="dxa"/>
            <w:tcBorders>
              <w:top w:val="nil"/>
              <w:left w:val="nil"/>
              <w:bottom w:val="single" w:color="auto" w:sz="4" w:space="0"/>
              <w:right w:val="single" w:color="auto" w:sz="4" w:space="0"/>
            </w:tcBorders>
            <w:shd w:val="clear" w:color="auto" w:fill="auto"/>
            <w:noWrap/>
            <w:vAlign w:val="center"/>
          </w:tcPr>
          <w:p w14:paraId="48A7F1FD">
            <w:pPr>
              <w:spacing w:line="240" w:lineRule="auto"/>
              <w:jc w:val="center"/>
              <w:rPr>
                <w:rFonts w:hint="eastAsia" w:ascii="宋体" w:hAnsi="宋体" w:cs="宋体" w:eastAsiaTheme="minorEastAsia"/>
                <w:kern w:val="3"/>
                <w:sz w:val="24"/>
                <w:szCs w:val="21"/>
                <w:lang w:val="en-US" w:eastAsia="zh-CN" w:bidi="ar-SA"/>
              </w:rPr>
            </w:pPr>
            <w:r>
              <w:rPr>
                <w:rFonts w:hint="eastAsia" w:ascii="宋体" w:hAnsi="宋体" w:cs="宋体"/>
                <w:szCs w:val="21"/>
                <w:lang w:val="en-US" w:eastAsia="zh-CN"/>
              </w:rPr>
              <w:t>3.8m</w:t>
            </w:r>
          </w:p>
        </w:tc>
        <w:tc>
          <w:tcPr>
            <w:tcW w:w="1503" w:type="dxa"/>
            <w:tcBorders>
              <w:top w:val="nil"/>
              <w:left w:val="nil"/>
              <w:bottom w:val="single" w:color="auto" w:sz="4" w:space="0"/>
              <w:right w:val="single" w:color="auto" w:sz="4" w:space="0"/>
            </w:tcBorders>
            <w:shd w:val="clear" w:color="auto" w:fill="auto"/>
            <w:noWrap/>
            <w:vAlign w:val="center"/>
          </w:tcPr>
          <w:p w14:paraId="63352A2E">
            <w:pPr>
              <w:spacing w:line="240" w:lineRule="auto"/>
              <w:jc w:val="center"/>
              <w:rPr>
                <w:rFonts w:hint="eastAsia" w:ascii="宋体" w:hAnsi="宋体" w:cs="宋体" w:eastAsiaTheme="minorEastAsia"/>
                <w:kern w:val="3"/>
                <w:sz w:val="24"/>
                <w:szCs w:val="21"/>
                <w:lang w:val="en-US" w:eastAsia="zh-CN" w:bidi="ar-SA"/>
              </w:rPr>
            </w:pPr>
            <w:r>
              <w:rPr>
                <w:rFonts w:hint="eastAsia" w:ascii="宋体" w:hAnsi="宋体" w:cs="宋体"/>
                <w:szCs w:val="21"/>
                <w:lang w:val="en-US" w:eastAsia="zh-CN"/>
              </w:rPr>
              <w:t>框架结构</w:t>
            </w:r>
          </w:p>
        </w:tc>
      </w:tr>
      <w:tr w14:paraId="6AE24F5A">
        <w:tblPrEx>
          <w:tblCellMar>
            <w:top w:w="0" w:type="dxa"/>
            <w:left w:w="108" w:type="dxa"/>
            <w:bottom w:w="0" w:type="dxa"/>
            <w:right w:w="108" w:type="dxa"/>
          </w:tblCellMar>
        </w:tblPrEx>
        <w:trPr>
          <w:trHeight w:val="600" w:hRule="atLeast"/>
        </w:trPr>
        <w:tc>
          <w:tcPr>
            <w:tcW w:w="1740" w:type="dxa"/>
            <w:tcBorders>
              <w:top w:val="nil"/>
              <w:left w:val="single" w:color="auto" w:sz="4" w:space="0"/>
              <w:bottom w:val="single" w:color="auto" w:sz="4" w:space="0"/>
              <w:right w:val="single" w:color="auto" w:sz="4" w:space="0"/>
            </w:tcBorders>
            <w:shd w:val="clear" w:color="auto" w:fill="auto"/>
            <w:noWrap/>
            <w:vAlign w:val="center"/>
          </w:tcPr>
          <w:p w14:paraId="35611254">
            <w:pPr>
              <w:spacing w:line="240" w:lineRule="auto"/>
              <w:jc w:val="center"/>
              <w:rPr>
                <w:rFonts w:hint="eastAsia" w:ascii="宋体" w:hAnsi="宋体" w:cs="宋体"/>
                <w:lang w:val="en-US" w:bidi="zh-CN"/>
              </w:rPr>
            </w:pPr>
            <w:r>
              <w:rPr>
                <w:rFonts w:hint="eastAsia" w:ascii="宋体" w:hAnsi="宋体" w:cs="宋体"/>
                <w:lang w:val="en-US" w:bidi="zh-CN"/>
              </w:rPr>
              <w:t>门卫及</w:t>
            </w:r>
          </w:p>
          <w:p w14:paraId="31508D0F">
            <w:pPr>
              <w:spacing w:line="240" w:lineRule="auto"/>
              <w:jc w:val="center"/>
              <w:rPr>
                <w:rFonts w:hint="eastAsia" w:ascii="宋体" w:hAnsi="宋体" w:cs="宋体" w:eastAsiaTheme="minorEastAsia"/>
                <w:kern w:val="3"/>
                <w:sz w:val="24"/>
                <w:szCs w:val="24"/>
                <w:lang w:val="en-US" w:eastAsia="zh-CN" w:bidi="zh-CN"/>
              </w:rPr>
            </w:pPr>
            <w:r>
              <w:rPr>
                <w:rFonts w:hint="eastAsia" w:ascii="宋体" w:hAnsi="宋体" w:cs="宋体"/>
                <w:lang w:val="en-US" w:bidi="zh-CN"/>
              </w:rPr>
              <w:t>设备用房</w:t>
            </w:r>
          </w:p>
        </w:tc>
        <w:tc>
          <w:tcPr>
            <w:tcW w:w="1569" w:type="dxa"/>
            <w:tcBorders>
              <w:top w:val="nil"/>
              <w:left w:val="nil"/>
              <w:bottom w:val="single" w:color="auto" w:sz="4" w:space="0"/>
              <w:right w:val="single" w:color="auto" w:sz="4" w:space="0"/>
            </w:tcBorders>
            <w:shd w:val="clear" w:color="auto" w:fill="auto"/>
            <w:noWrap/>
            <w:vAlign w:val="center"/>
          </w:tcPr>
          <w:p w14:paraId="13DBBA5B">
            <w:pPr>
              <w:spacing w:line="240" w:lineRule="auto"/>
              <w:jc w:val="center"/>
              <w:rPr>
                <w:rFonts w:hint="eastAsia" w:ascii="宋体" w:hAnsi="宋体" w:cs="宋体" w:eastAsiaTheme="minorEastAsia"/>
                <w:kern w:val="3"/>
                <w:sz w:val="24"/>
                <w:szCs w:val="24"/>
                <w:lang w:val="en-US" w:eastAsia="zh-CN" w:bidi="zh-CN"/>
              </w:rPr>
            </w:pPr>
            <w:r>
              <w:rPr>
                <w:rFonts w:hint="eastAsia" w:ascii="宋体" w:hAnsi="宋体" w:cs="宋体"/>
                <w:lang w:val="en-US" w:bidi="zh-CN"/>
              </w:rPr>
              <w:t>178.08</w:t>
            </w:r>
          </w:p>
        </w:tc>
        <w:tc>
          <w:tcPr>
            <w:tcW w:w="1070" w:type="dxa"/>
            <w:tcBorders>
              <w:top w:val="nil"/>
              <w:left w:val="nil"/>
              <w:bottom w:val="single" w:color="auto" w:sz="4" w:space="0"/>
              <w:right w:val="single" w:color="auto" w:sz="4" w:space="0"/>
            </w:tcBorders>
            <w:shd w:val="clear" w:color="auto" w:fill="auto"/>
            <w:noWrap/>
            <w:vAlign w:val="center"/>
          </w:tcPr>
          <w:p w14:paraId="4F20F78C">
            <w:pPr>
              <w:spacing w:line="240" w:lineRule="auto"/>
              <w:jc w:val="center"/>
              <w:rPr>
                <w:rFonts w:hint="eastAsia" w:ascii="宋体" w:hAnsi="宋体" w:cs="宋体" w:eastAsiaTheme="minorEastAsia"/>
                <w:kern w:val="3"/>
                <w:sz w:val="24"/>
                <w:szCs w:val="21"/>
                <w:lang w:val="en-US" w:eastAsia="zh-CN" w:bidi="ar-SA"/>
              </w:rPr>
            </w:pPr>
            <w:r>
              <w:rPr>
                <w:rFonts w:hint="eastAsia" w:ascii="宋体" w:hAnsi="宋体" w:cs="宋体"/>
                <w:szCs w:val="21"/>
                <w:lang w:val="en-US" w:eastAsia="zh-CN"/>
              </w:rPr>
              <w:t>/</w:t>
            </w:r>
          </w:p>
        </w:tc>
        <w:tc>
          <w:tcPr>
            <w:tcW w:w="990" w:type="dxa"/>
            <w:tcBorders>
              <w:top w:val="nil"/>
              <w:left w:val="nil"/>
              <w:bottom w:val="single" w:color="auto" w:sz="4" w:space="0"/>
              <w:right w:val="single" w:color="auto" w:sz="4" w:space="0"/>
            </w:tcBorders>
            <w:shd w:val="clear" w:color="auto" w:fill="auto"/>
            <w:noWrap/>
            <w:vAlign w:val="center"/>
          </w:tcPr>
          <w:p w14:paraId="121C7187">
            <w:pPr>
              <w:spacing w:line="240" w:lineRule="auto"/>
              <w:jc w:val="center"/>
              <w:rPr>
                <w:rFonts w:hint="eastAsia" w:ascii="宋体" w:hAnsi="宋体" w:cs="宋体" w:eastAsiaTheme="minorEastAsia"/>
                <w:kern w:val="3"/>
                <w:sz w:val="24"/>
                <w:szCs w:val="21"/>
                <w:lang w:val="en-US" w:eastAsia="zh-CN" w:bidi="ar-SA"/>
              </w:rPr>
            </w:pPr>
            <w:r>
              <w:rPr>
                <w:rFonts w:hint="eastAsia" w:ascii="宋体" w:hAnsi="宋体" w:cs="宋体"/>
                <w:szCs w:val="21"/>
                <w:lang w:val="en-US" w:eastAsia="zh-CN"/>
              </w:rPr>
              <w:t>1</w:t>
            </w:r>
            <w:r>
              <w:rPr>
                <w:rFonts w:hint="eastAsia" w:ascii="宋体" w:hAnsi="宋体" w:cs="宋体"/>
                <w:szCs w:val="21"/>
              </w:rPr>
              <w:t>层</w:t>
            </w:r>
          </w:p>
        </w:tc>
        <w:tc>
          <w:tcPr>
            <w:tcW w:w="1506" w:type="dxa"/>
            <w:tcBorders>
              <w:top w:val="nil"/>
              <w:left w:val="nil"/>
              <w:bottom w:val="single" w:color="auto" w:sz="4" w:space="0"/>
              <w:right w:val="single" w:color="auto" w:sz="4" w:space="0"/>
            </w:tcBorders>
            <w:shd w:val="clear" w:color="auto" w:fill="auto"/>
            <w:noWrap/>
            <w:vAlign w:val="center"/>
          </w:tcPr>
          <w:p w14:paraId="286959B5">
            <w:pPr>
              <w:spacing w:line="240" w:lineRule="auto"/>
              <w:jc w:val="center"/>
              <w:rPr>
                <w:rFonts w:hint="eastAsia" w:ascii="宋体" w:hAnsi="宋体" w:eastAsia="宋体" w:cs="宋体"/>
                <w:kern w:val="3"/>
                <w:sz w:val="24"/>
                <w:szCs w:val="21"/>
                <w:lang w:val="en-US" w:eastAsia="zh-CN" w:bidi="ar-SA"/>
              </w:rPr>
            </w:pPr>
            <w:r>
              <w:rPr>
                <w:rFonts w:hint="eastAsia" w:ascii="宋体" w:hAnsi="宋体" w:cs="宋体"/>
                <w:szCs w:val="21"/>
                <w:lang w:val="en-US" w:eastAsia="zh-CN"/>
              </w:rPr>
              <w:t>4.5m</w:t>
            </w:r>
          </w:p>
        </w:tc>
        <w:tc>
          <w:tcPr>
            <w:tcW w:w="1874" w:type="dxa"/>
            <w:tcBorders>
              <w:top w:val="nil"/>
              <w:left w:val="nil"/>
              <w:bottom w:val="single" w:color="auto" w:sz="4" w:space="0"/>
              <w:right w:val="single" w:color="auto" w:sz="4" w:space="0"/>
            </w:tcBorders>
            <w:shd w:val="clear" w:color="auto" w:fill="auto"/>
            <w:noWrap/>
            <w:vAlign w:val="center"/>
          </w:tcPr>
          <w:p w14:paraId="170C874C">
            <w:pPr>
              <w:spacing w:line="240" w:lineRule="auto"/>
              <w:jc w:val="center"/>
              <w:rPr>
                <w:rFonts w:hint="eastAsia" w:ascii="宋体" w:hAnsi="宋体" w:eastAsia="宋体" w:cs="宋体"/>
                <w:kern w:val="3"/>
                <w:sz w:val="24"/>
                <w:szCs w:val="21"/>
                <w:lang w:val="en-US" w:eastAsia="zh-CN" w:bidi="ar-SA"/>
              </w:rPr>
            </w:pPr>
            <w:r>
              <w:rPr>
                <w:rFonts w:hint="eastAsia" w:ascii="宋体" w:hAnsi="宋体" w:cs="宋体"/>
                <w:szCs w:val="21"/>
                <w:lang w:val="en-US" w:eastAsia="zh-CN"/>
              </w:rPr>
              <w:t>4.2m</w:t>
            </w:r>
          </w:p>
        </w:tc>
        <w:tc>
          <w:tcPr>
            <w:tcW w:w="1503" w:type="dxa"/>
            <w:tcBorders>
              <w:top w:val="nil"/>
              <w:left w:val="nil"/>
              <w:bottom w:val="single" w:color="auto" w:sz="4" w:space="0"/>
              <w:right w:val="single" w:color="auto" w:sz="4" w:space="0"/>
            </w:tcBorders>
            <w:shd w:val="clear" w:color="auto" w:fill="auto"/>
            <w:noWrap/>
            <w:vAlign w:val="center"/>
          </w:tcPr>
          <w:p w14:paraId="3B9E5FD7">
            <w:pPr>
              <w:spacing w:line="240" w:lineRule="auto"/>
              <w:jc w:val="center"/>
              <w:rPr>
                <w:rFonts w:hint="eastAsia" w:ascii="宋体" w:hAnsi="宋体" w:cs="宋体" w:eastAsiaTheme="minorEastAsia"/>
                <w:kern w:val="3"/>
                <w:sz w:val="24"/>
                <w:szCs w:val="21"/>
                <w:lang w:val="en-US" w:eastAsia="zh-CN" w:bidi="ar-SA"/>
              </w:rPr>
            </w:pPr>
            <w:r>
              <w:rPr>
                <w:rFonts w:hint="eastAsia" w:ascii="宋体" w:hAnsi="宋体" w:cs="宋体"/>
                <w:szCs w:val="21"/>
                <w:lang w:val="en-US" w:eastAsia="zh-CN"/>
              </w:rPr>
              <w:t>框架结构</w:t>
            </w:r>
          </w:p>
        </w:tc>
      </w:tr>
      <w:bookmarkEnd w:id="4"/>
      <w:tr w14:paraId="26575AC7">
        <w:tblPrEx>
          <w:tblCellMar>
            <w:top w:w="0" w:type="dxa"/>
            <w:left w:w="108" w:type="dxa"/>
            <w:bottom w:w="0" w:type="dxa"/>
            <w:right w:w="108" w:type="dxa"/>
          </w:tblCellMar>
        </w:tblPrEx>
        <w:trPr>
          <w:trHeight w:val="600" w:hRule="atLeast"/>
        </w:trPr>
        <w:tc>
          <w:tcPr>
            <w:tcW w:w="8749" w:type="dxa"/>
            <w:gridSpan w:val="6"/>
            <w:tcBorders>
              <w:top w:val="single" w:color="auto" w:sz="4" w:space="0"/>
              <w:left w:val="single" w:color="auto" w:sz="4" w:space="0"/>
              <w:bottom w:val="single" w:color="auto" w:sz="4" w:space="0"/>
              <w:right w:val="single" w:color="auto" w:sz="4" w:space="0"/>
            </w:tcBorders>
            <w:shd w:val="clear" w:color="auto" w:fill="auto"/>
            <w:vAlign w:val="center"/>
          </w:tcPr>
          <w:p w14:paraId="6FD4024A">
            <w:pPr>
              <w:jc w:val="center"/>
              <w:rPr>
                <w:rFonts w:hint="eastAsia" w:eastAsiaTheme="minorEastAsia"/>
                <w:lang w:eastAsia="zh-CN"/>
              </w:rPr>
            </w:pPr>
            <w:r>
              <w:rPr>
                <w:rFonts w:hint="eastAsia"/>
              </w:rPr>
              <w:t>建筑面积合计</w:t>
            </w:r>
            <w:r>
              <w:rPr>
                <w:rFonts w:hint="eastAsia"/>
                <w:lang w:eastAsia="zh-CN"/>
              </w:rPr>
              <w:t>：</w:t>
            </w:r>
            <w:r>
              <w:rPr>
                <w:rFonts w:hint="eastAsia"/>
                <w:lang w:val="en-US" w:eastAsia="zh-CN"/>
              </w:rPr>
              <w:t>19670平方</w:t>
            </w:r>
          </w:p>
        </w:tc>
        <w:tc>
          <w:tcPr>
            <w:tcW w:w="1503" w:type="dxa"/>
            <w:tcBorders>
              <w:top w:val="nil"/>
              <w:left w:val="nil"/>
              <w:bottom w:val="single" w:color="auto" w:sz="4" w:space="0"/>
              <w:right w:val="single" w:color="auto" w:sz="4" w:space="0"/>
            </w:tcBorders>
            <w:shd w:val="clear" w:color="auto" w:fill="auto"/>
            <w:noWrap/>
            <w:vAlign w:val="center"/>
          </w:tcPr>
          <w:p w14:paraId="6603DBC6">
            <w:pPr>
              <w:jc w:val="center"/>
              <w:rPr>
                <w:rFonts w:hint="default" w:eastAsiaTheme="minorEastAsia"/>
                <w:lang w:val="en-US" w:eastAsia="zh-CN"/>
              </w:rPr>
            </w:pPr>
          </w:p>
        </w:tc>
      </w:tr>
      <w:bookmarkEnd w:id="2"/>
      <w:bookmarkEnd w:id="3"/>
    </w:tbl>
    <w:p w14:paraId="7CF62EC1">
      <w:pPr>
        <w:ind w:firstLine="480" w:firstLineChars="200"/>
        <w:rPr>
          <w:rFonts w:hint="eastAsia" w:eastAsiaTheme="minorEastAsia"/>
          <w:lang w:eastAsia="zh-CN"/>
        </w:rPr>
      </w:pPr>
      <w:r>
        <w:rPr>
          <w:rFonts w:hint="eastAsia"/>
        </w:rPr>
        <w:t>注：</w:t>
      </w:r>
      <w:r>
        <w:rPr>
          <w:rFonts w:hint="eastAsia"/>
          <w:color w:val="auto"/>
        </w:rPr>
        <w:t>施工时各标段范围内的地下</w:t>
      </w:r>
      <w:r>
        <w:rPr>
          <w:rFonts w:hint="eastAsia"/>
          <w:color w:val="auto"/>
          <w:lang w:eastAsia="zh-CN"/>
        </w:rPr>
        <w:t>地下</w:t>
      </w:r>
      <w:r>
        <w:rPr>
          <w:rFonts w:hint="eastAsia"/>
          <w:color w:val="auto"/>
        </w:rPr>
        <w:t>及</w:t>
      </w:r>
      <w:r>
        <w:rPr>
          <w:rFonts w:hint="eastAsia"/>
          <w:color w:val="auto"/>
          <w:lang w:eastAsia="zh-CN"/>
        </w:rPr>
        <w:t>室外</w:t>
      </w:r>
      <w:r>
        <w:rPr>
          <w:rFonts w:hint="eastAsia"/>
          <w:color w:val="auto"/>
        </w:rPr>
        <w:t>需全部施工，具体划分待中标人进场后具体划分，后期工程不再进行招标，招标人将根据前期现场中标人施工情况另行安排</w:t>
      </w:r>
      <w:r>
        <w:rPr>
          <w:rFonts w:hint="eastAsia"/>
          <w:color w:val="auto"/>
          <w:lang w:eastAsia="zh-CN"/>
        </w:rPr>
        <w:t>。</w:t>
      </w:r>
    </w:p>
    <w:p w14:paraId="586DA500">
      <w:pPr>
        <w:pStyle w:val="26"/>
        <w:numPr>
          <w:ilvl w:val="0"/>
          <w:numId w:val="1"/>
        </w:numPr>
        <w:ind w:firstLineChars="0"/>
      </w:pPr>
      <w:r>
        <w:rPr>
          <w:rFonts w:hint="eastAsia"/>
        </w:rPr>
        <w:t>工期要求：</w:t>
      </w:r>
    </w:p>
    <w:p w14:paraId="413CF479">
      <w:pPr>
        <w:pStyle w:val="2"/>
        <w:ind w:firstLine="560"/>
        <w:rPr>
          <w:rFonts w:hint="eastAsia" w:eastAsia="楷体_GB2312"/>
          <w:u w:val="single"/>
          <w:lang w:eastAsia="zh-CN"/>
        </w:rPr>
      </w:pPr>
      <w:r>
        <w:rPr>
          <w:rFonts w:hint="eastAsia"/>
        </w:rPr>
        <w:t>开工日期暂定</w:t>
      </w:r>
      <w:r>
        <w:rPr>
          <w:rFonts w:hint="eastAsia"/>
          <w:u w:val="single"/>
        </w:rPr>
        <w:t xml:space="preserve"> </w:t>
      </w:r>
      <w:r>
        <w:rPr>
          <w:rFonts w:hint="eastAsia"/>
          <w:u w:val="single"/>
          <w:lang w:eastAsia="zh-CN"/>
        </w:rPr>
        <w:t>根据土方实际情况而定</w:t>
      </w:r>
    </w:p>
    <w:p w14:paraId="36B29A7C">
      <w:pPr>
        <w:ind w:firstLine="480" w:firstLineChars="200"/>
        <w:rPr>
          <w:rFonts w:hint="eastAsia"/>
        </w:rPr>
      </w:pPr>
    </w:p>
    <w:p w14:paraId="04F62076">
      <w:pPr>
        <w:ind w:firstLine="480" w:firstLineChars="200"/>
        <w:rPr>
          <w:rFonts w:hint="eastAsia" w:eastAsiaTheme="minorEastAsia"/>
          <w:lang w:eastAsia="zh-CN"/>
        </w:rPr>
      </w:pPr>
      <w:r>
        <w:rPr>
          <w:rFonts w:hint="eastAsia"/>
          <w:lang w:eastAsia="zh-CN"/>
        </w:rPr>
        <w:t>工期以实际进场时间为准，</w:t>
      </w:r>
      <w:r>
        <w:rPr>
          <w:rFonts w:hint="eastAsia"/>
        </w:rPr>
        <w:t>具体时间后期项目部将根据现场情况另行确定。</w:t>
      </w:r>
      <w:r>
        <w:rPr>
          <w:rFonts w:hint="eastAsia"/>
          <w:b/>
          <w:bCs/>
          <w:color w:val="FF0000"/>
          <w:lang w:eastAsia="zh-CN"/>
        </w:rPr>
        <w:t>暂定计划每栋楼基础独立承台</w:t>
      </w:r>
      <w:r>
        <w:rPr>
          <w:rFonts w:hint="eastAsia"/>
          <w:b/>
          <w:bCs/>
          <w:color w:val="FF0000"/>
          <w:lang w:val="en-US" w:eastAsia="zh-CN"/>
        </w:rPr>
        <w:t>5天完成（含清理材料）、基础梁4天完成（含清理材料）、</w:t>
      </w:r>
      <w:r>
        <w:rPr>
          <w:rFonts w:hint="eastAsia"/>
          <w:b/>
          <w:bCs/>
          <w:color w:val="FF0000"/>
          <w:lang w:eastAsia="zh-CN"/>
        </w:rPr>
        <w:t>地上主体</w:t>
      </w:r>
      <w:r>
        <w:rPr>
          <w:rFonts w:hint="eastAsia"/>
          <w:b/>
          <w:bCs/>
          <w:color w:val="FF0000"/>
          <w:lang w:val="en-US" w:eastAsia="zh-CN"/>
        </w:rPr>
        <w:t>4天一层、屋面炮楼7完成，主体封顶14天内材料清理完毕；室外砼挡土墙分三段：每段基础3天完、每段挡墙7天完（含拆模清料）。</w:t>
      </w:r>
      <w:r>
        <w:rPr>
          <w:rFonts w:hint="eastAsia"/>
          <w:lang w:val="en-US" w:eastAsia="zh-CN"/>
        </w:rPr>
        <w:t>宿舍B西2跨塔吊覆盖不到，挡土墙大部分塔吊覆盖不到位需要自行考虑倒运费材料的费用（项目部提供设备）。</w:t>
      </w:r>
      <w:r>
        <w:rPr>
          <w:rFonts w:hint="eastAsia"/>
        </w:rPr>
        <w:t>工程完工后，分包单位需办理工程完工手续，双方签字确认，分包人每延期一天承担合同价格1‰的违约金。按上述节点工期要求逾期考核，考核罚款标准为2000/天，设两个累计考核节点（基础和主体为节点），考核当月兑现（具体时间以实际开工时间为准，工期相应顺延</w:t>
      </w:r>
      <w:r>
        <w:rPr>
          <w:rFonts w:hint="eastAsia"/>
          <w:lang w:eastAsia="zh-CN"/>
        </w:rPr>
        <w:t>）。</w:t>
      </w:r>
    </w:p>
    <w:p w14:paraId="58B79678">
      <w:pPr>
        <w:ind w:firstLine="480" w:firstLineChars="200"/>
      </w:pPr>
      <w:r>
        <w:rPr>
          <w:rFonts w:hint="eastAsia"/>
        </w:rPr>
        <w:t>分包人无正当理由连续停工 15 日或累计停工 30 日以上的，承包人有权解除分包合同，分包人承担工程总造价5%的违约金。</w:t>
      </w:r>
    </w:p>
    <w:p w14:paraId="67E9F973">
      <w:pPr>
        <w:ind w:firstLine="482" w:firstLineChars="200"/>
        <w:rPr>
          <w:b/>
          <w:bCs/>
        </w:rPr>
      </w:pPr>
      <w:r>
        <w:rPr>
          <w:rFonts w:hint="eastAsia"/>
          <w:b/>
          <w:bCs/>
        </w:rPr>
        <w:t>以上每区段节点工期均要求劳务公司在保证安全、质量的前提下满足工期要求。</w:t>
      </w:r>
    </w:p>
    <w:p w14:paraId="002F2481">
      <w:pPr>
        <w:ind w:firstLine="480" w:firstLineChars="200"/>
        <w:rPr>
          <w:color w:val="000000"/>
          <w:kern w:val="0"/>
        </w:rPr>
      </w:pPr>
      <w:r>
        <w:rPr>
          <w:rFonts w:hint="eastAsia"/>
        </w:rPr>
        <w:t>三、招标范围</w:t>
      </w:r>
    </w:p>
    <w:p w14:paraId="2C87D37C">
      <w:pPr>
        <w:ind w:firstLine="480" w:firstLineChars="200"/>
        <w:rPr>
          <w:color w:val="000000" w:themeColor="text1"/>
          <w14:textFill>
            <w14:solidFill>
              <w14:schemeClr w14:val="tx1"/>
            </w14:solidFill>
          </w14:textFill>
        </w:rPr>
      </w:pPr>
      <w:r>
        <w:rPr>
          <w:rFonts w:hint="eastAsia"/>
        </w:rPr>
        <w:t>本次招标范围主要包括以下内容：以结施图、建施图、设计变更单、业主单位下发的工作联系单等为准，主体框架工程包括基础、钢筋工程、模板及其支撑工程、混凝土工程、原蓝图要求的及二次设计优化增加的构造柱及砼造型构件等；配合总包完成总包合同内的其他相应工作等所有定额、清单规定的工作内容，直至达到验收交工条件。</w:t>
      </w:r>
      <w:r>
        <w:rPr>
          <w:rFonts w:hint="eastAsia"/>
          <w:b/>
          <w:color w:val="000000" w:themeColor="text1"/>
          <w14:textFill>
            <w14:solidFill>
              <w14:schemeClr w14:val="tx1"/>
            </w14:solidFill>
          </w14:textFill>
        </w:rPr>
        <w:t>外脚手架</w:t>
      </w:r>
      <w:r>
        <w:rPr>
          <w:rFonts w:hint="eastAsia"/>
          <w:b/>
          <w:color w:val="000000" w:themeColor="text1"/>
          <w:lang w:eastAsia="zh-CN"/>
          <w14:textFill>
            <w14:solidFill>
              <w14:schemeClr w14:val="tx1"/>
            </w14:solidFill>
          </w14:textFill>
        </w:rPr>
        <w:t>盘扣钢板网</w:t>
      </w:r>
      <w:r>
        <w:rPr>
          <w:rFonts w:hint="eastAsia"/>
          <w:b/>
          <w:color w:val="000000" w:themeColor="text1"/>
          <w14:textFill>
            <w14:solidFill>
              <w14:schemeClr w14:val="tx1"/>
            </w14:solidFill>
          </w14:textFill>
        </w:rPr>
        <w:t>由总包单位单独分包</w:t>
      </w:r>
      <w:r>
        <w:rPr>
          <w:rFonts w:hint="eastAsia"/>
          <w:b/>
          <w:color w:val="000000" w:themeColor="text1"/>
          <w:lang w:eastAsia="zh-CN"/>
          <w14:textFill>
            <w14:solidFill>
              <w14:schemeClr w14:val="tx1"/>
            </w14:solidFill>
          </w14:textFill>
        </w:rPr>
        <w:t>，内架子</w:t>
      </w:r>
      <w:r>
        <w:rPr>
          <w:rFonts w:hint="eastAsia"/>
          <w:b/>
          <w:color w:val="000000" w:themeColor="text1"/>
          <w14:textFill>
            <w14:solidFill>
              <w14:schemeClr w14:val="tx1"/>
            </w14:solidFill>
          </w14:textFill>
        </w:rPr>
        <w:t>。</w:t>
      </w:r>
    </w:p>
    <w:p w14:paraId="4770B636">
      <w:pPr>
        <w:ind w:firstLine="480" w:firstLineChars="200"/>
      </w:pPr>
      <w:r>
        <w:rPr>
          <w:rFonts w:hint="eastAsia"/>
        </w:rPr>
        <w:t>四、招投标时间</w:t>
      </w:r>
    </w:p>
    <w:tbl>
      <w:tblPr>
        <w:tblStyle w:val="12"/>
        <w:tblW w:w="9214" w:type="dxa"/>
        <w:tblInd w:w="108" w:type="dxa"/>
        <w:tblLayout w:type="fixed"/>
        <w:tblCellMar>
          <w:top w:w="0" w:type="dxa"/>
          <w:left w:w="10" w:type="dxa"/>
          <w:bottom w:w="0" w:type="dxa"/>
          <w:right w:w="10" w:type="dxa"/>
        </w:tblCellMar>
      </w:tblPr>
      <w:tblGrid>
        <w:gridCol w:w="9214"/>
      </w:tblGrid>
      <w:tr w14:paraId="6D2EC623">
        <w:tblPrEx>
          <w:tblCellMar>
            <w:top w:w="0" w:type="dxa"/>
            <w:left w:w="10" w:type="dxa"/>
            <w:bottom w:w="0" w:type="dxa"/>
            <w:right w:w="10" w:type="dxa"/>
          </w:tblCellMar>
        </w:tblPrEx>
        <w:trPr>
          <w:trHeight w:val="680" w:hRule="atLeast"/>
        </w:trPr>
        <w:tc>
          <w:tcPr>
            <w:tcW w:w="9214"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14:paraId="65DC1FC9">
            <w:pPr>
              <w:rPr>
                <w:highlight w:val="none"/>
              </w:rPr>
            </w:pPr>
            <w:r>
              <w:rPr>
                <w:rFonts w:hint="eastAsia"/>
                <w:highlight w:val="none"/>
              </w:rPr>
              <w:t>领取投标文件截止时间：202</w:t>
            </w:r>
            <w:r>
              <w:rPr>
                <w:rFonts w:hint="eastAsia"/>
                <w:highlight w:val="none"/>
                <w:lang w:val="en-US" w:eastAsia="zh-CN"/>
              </w:rPr>
              <w:t>5</w:t>
            </w:r>
            <w:r>
              <w:rPr>
                <w:rFonts w:hint="eastAsia"/>
                <w:highlight w:val="none"/>
              </w:rPr>
              <w:t xml:space="preserve">年 </w:t>
            </w:r>
            <w:r>
              <w:rPr>
                <w:rFonts w:hint="eastAsia"/>
                <w:highlight w:val="none"/>
                <w:lang w:val="en-US" w:eastAsia="zh-CN"/>
              </w:rPr>
              <w:t>12</w:t>
            </w:r>
            <w:r>
              <w:rPr>
                <w:rFonts w:hint="eastAsia"/>
                <w:highlight w:val="none"/>
              </w:rPr>
              <w:t>月</w:t>
            </w:r>
            <w:r>
              <w:rPr>
                <w:rFonts w:hint="eastAsia"/>
                <w:highlight w:val="none"/>
                <w:lang w:val="en-US" w:eastAsia="zh-CN"/>
              </w:rPr>
              <w:t>10</w:t>
            </w:r>
            <w:r>
              <w:rPr>
                <w:rFonts w:hint="eastAsia"/>
                <w:highlight w:val="none"/>
              </w:rPr>
              <w:t xml:space="preserve">日  </w:t>
            </w:r>
            <w:r>
              <w:rPr>
                <w:rFonts w:hint="eastAsia"/>
                <w:highlight w:val="none"/>
                <w:lang w:val="en-US" w:eastAsia="zh-CN"/>
              </w:rPr>
              <w:t>8</w:t>
            </w:r>
            <w:r>
              <w:rPr>
                <w:rFonts w:hint="eastAsia"/>
                <w:highlight w:val="none"/>
              </w:rPr>
              <w:t xml:space="preserve"> 时 00 分</w:t>
            </w:r>
          </w:p>
          <w:p w14:paraId="49773037">
            <w:pPr>
              <w:rPr>
                <w:highlight w:val="none"/>
              </w:rPr>
            </w:pPr>
            <w:r>
              <w:rPr>
                <w:rFonts w:hint="eastAsia"/>
                <w:highlight w:val="none"/>
              </w:rPr>
              <w:t>地点：威建集团一公司生产安全部</w:t>
            </w:r>
          </w:p>
        </w:tc>
      </w:tr>
      <w:tr w14:paraId="04DF1E5A">
        <w:tblPrEx>
          <w:tblCellMar>
            <w:top w:w="0" w:type="dxa"/>
            <w:left w:w="10" w:type="dxa"/>
            <w:bottom w:w="0" w:type="dxa"/>
            <w:right w:w="10" w:type="dxa"/>
          </w:tblCellMar>
        </w:tblPrEx>
        <w:trPr>
          <w:trHeight w:val="567" w:hRule="exact"/>
        </w:trPr>
        <w:tc>
          <w:tcPr>
            <w:tcW w:w="9214"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14:paraId="53058EE7">
            <w:r>
              <w:rPr>
                <w:rFonts w:hint="eastAsia"/>
              </w:rPr>
              <w:t>投标文件递交至：威建集团一公司生产安全部</w:t>
            </w:r>
          </w:p>
        </w:tc>
      </w:tr>
      <w:tr w14:paraId="01D4066E">
        <w:tblPrEx>
          <w:tblCellMar>
            <w:top w:w="0" w:type="dxa"/>
            <w:left w:w="10" w:type="dxa"/>
            <w:bottom w:w="0" w:type="dxa"/>
            <w:right w:w="10" w:type="dxa"/>
          </w:tblCellMar>
        </w:tblPrEx>
        <w:trPr>
          <w:trHeight w:val="567" w:hRule="exact"/>
        </w:trPr>
        <w:tc>
          <w:tcPr>
            <w:tcW w:w="9214"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14:paraId="7C45911B">
            <w:pPr>
              <w:rPr>
                <w:highlight w:val="none"/>
              </w:rPr>
            </w:pPr>
            <w:r>
              <w:rPr>
                <w:rFonts w:hint="eastAsia"/>
                <w:highlight w:val="none"/>
              </w:rPr>
              <w:t>投标截止日期：202</w:t>
            </w:r>
            <w:r>
              <w:rPr>
                <w:rFonts w:hint="eastAsia"/>
                <w:highlight w:val="none"/>
                <w:lang w:val="en-US" w:eastAsia="zh-CN"/>
              </w:rPr>
              <w:t>5</w:t>
            </w:r>
            <w:r>
              <w:rPr>
                <w:rFonts w:hint="eastAsia"/>
                <w:highlight w:val="none"/>
              </w:rPr>
              <w:t xml:space="preserve"> 年</w:t>
            </w:r>
            <w:r>
              <w:rPr>
                <w:rFonts w:hint="eastAsia"/>
                <w:highlight w:val="none"/>
                <w:lang w:val="en-US" w:eastAsia="zh-CN"/>
              </w:rPr>
              <w:t>12</w:t>
            </w:r>
            <w:r>
              <w:rPr>
                <w:rFonts w:hint="eastAsia"/>
                <w:highlight w:val="none"/>
              </w:rPr>
              <w:t xml:space="preserve"> 月 </w:t>
            </w:r>
            <w:r>
              <w:rPr>
                <w:rFonts w:hint="eastAsia"/>
                <w:highlight w:val="none"/>
                <w:lang w:val="en-US" w:eastAsia="zh-CN"/>
              </w:rPr>
              <w:t>10</w:t>
            </w:r>
            <w:r>
              <w:rPr>
                <w:rFonts w:hint="eastAsia"/>
                <w:highlight w:val="none"/>
              </w:rPr>
              <w:t xml:space="preserve">日  </w:t>
            </w:r>
            <w:r>
              <w:rPr>
                <w:rFonts w:hint="eastAsia"/>
                <w:highlight w:val="none"/>
                <w:lang w:val="en-US" w:eastAsia="zh-CN"/>
              </w:rPr>
              <w:t>8</w:t>
            </w:r>
            <w:r>
              <w:rPr>
                <w:rFonts w:hint="eastAsia"/>
                <w:highlight w:val="none"/>
              </w:rPr>
              <w:t xml:space="preserve">  时（ </w:t>
            </w:r>
            <w:r>
              <w:rPr>
                <w:rFonts w:hint="eastAsia"/>
                <w:highlight w:val="none"/>
                <w:lang w:val="en-US" w:eastAsia="zh-CN"/>
              </w:rPr>
              <w:t>8</w:t>
            </w:r>
            <w:r>
              <w:rPr>
                <w:rFonts w:hint="eastAsia"/>
                <w:highlight w:val="none"/>
              </w:rPr>
              <w:t xml:space="preserve"> 时之后标书送到的直接废标）</w:t>
            </w:r>
          </w:p>
        </w:tc>
      </w:tr>
      <w:tr w14:paraId="46D8E817">
        <w:tblPrEx>
          <w:tblCellMar>
            <w:top w:w="0" w:type="dxa"/>
            <w:left w:w="10" w:type="dxa"/>
            <w:bottom w:w="0" w:type="dxa"/>
            <w:right w:w="10" w:type="dxa"/>
          </w:tblCellMar>
        </w:tblPrEx>
        <w:trPr>
          <w:trHeight w:val="680" w:hRule="atLeast"/>
        </w:trPr>
        <w:tc>
          <w:tcPr>
            <w:tcW w:w="9214"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14:paraId="7AFFA49E">
            <w:pPr>
              <w:rPr>
                <w:highlight w:val="none"/>
              </w:rPr>
            </w:pPr>
            <w:r>
              <w:rPr>
                <w:rFonts w:hint="eastAsia"/>
                <w:highlight w:val="none"/>
              </w:rPr>
              <w:t>开标时间：202</w:t>
            </w:r>
            <w:r>
              <w:rPr>
                <w:rFonts w:hint="eastAsia"/>
                <w:highlight w:val="none"/>
                <w:lang w:val="en-US" w:eastAsia="zh-CN"/>
              </w:rPr>
              <w:t>5</w:t>
            </w:r>
            <w:r>
              <w:rPr>
                <w:rFonts w:hint="eastAsia"/>
                <w:highlight w:val="none"/>
              </w:rPr>
              <w:t xml:space="preserve"> 年 </w:t>
            </w:r>
            <w:r>
              <w:rPr>
                <w:rFonts w:hint="eastAsia"/>
                <w:highlight w:val="none"/>
                <w:lang w:val="en-US" w:eastAsia="zh-CN"/>
              </w:rPr>
              <w:t>12</w:t>
            </w:r>
            <w:r>
              <w:rPr>
                <w:rFonts w:hint="eastAsia"/>
                <w:highlight w:val="none"/>
              </w:rPr>
              <w:t xml:space="preserve"> 月 </w:t>
            </w:r>
            <w:r>
              <w:rPr>
                <w:rFonts w:hint="eastAsia"/>
                <w:highlight w:val="none"/>
                <w:lang w:val="en-US" w:eastAsia="zh-CN"/>
              </w:rPr>
              <w:t>10</w:t>
            </w:r>
            <w:r>
              <w:rPr>
                <w:rFonts w:hint="eastAsia"/>
                <w:highlight w:val="none"/>
              </w:rPr>
              <w:t xml:space="preserve"> 日 </w:t>
            </w:r>
            <w:r>
              <w:rPr>
                <w:rFonts w:hint="eastAsia"/>
                <w:highlight w:val="none"/>
                <w:lang w:val="en-US" w:eastAsia="zh-CN"/>
              </w:rPr>
              <w:t>8</w:t>
            </w:r>
            <w:r>
              <w:rPr>
                <w:rFonts w:hint="eastAsia"/>
                <w:highlight w:val="none"/>
              </w:rPr>
              <w:t xml:space="preserve"> 时（ </w:t>
            </w:r>
            <w:r>
              <w:rPr>
                <w:rFonts w:hint="eastAsia"/>
                <w:highlight w:val="none"/>
                <w:lang w:val="en-US" w:eastAsia="zh-CN"/>
              </w:rPr>
              <w:t>8</w:t>
            </w:r>
            <w:r>
              <w:rPr>
                <w:rFonts w:hint="eastAsia"/>
                <w:highlight w:val="none"/>
              </w:rPr>
              <w:t xml:space="preserve"> 时之后标书送到的直接废标）</w:t>
            </w:r>
          </w:p>
          <w:p w14:paraId="283982DB">
            <w:pPr>
              <w:rPr>
                <w:highlight w:val="none"/>
              </w:rPr>
            </w:pPr>
            <w:r>
              <w:rPr>
                <w:rFonts w:hint="eastAsia"/>
                <w:highlight w:val="none"/>
              </w:rPr>
              <w:t>地点：威建集团一公司会议室</w:t>
            </w:r>
          </w:p>
        </w:tc>
      </w:tr>
      <w:tr w14:paraId="6186EF2C">
        <w:tblPrEx>
          <w:tblCellMar>
            <w:top w:w="0" w:type="dxa"/>
            <w:left w:w="10" w:type="dxa"/>
            <w:bottom w:w="0" w:type="dxa"/>
            <w:right w:w="10" w:type="dxa"/>
          </w:tblCellMar>
        </w:tblPrEx>
        <w:trPr>
          <w:trHeight w:val="680" w:hRule="atLeast"/>
        </w:trPr>
        <w:tc>
          <w:tcPr>
            <w:tcW w:w="9214"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14:paraId="2DBB66AB">
            <w:pPr>
              <w:rPr>
                <w:rFonts w:hint="eastAsia"/>
                <w:highlight w:val="none"/>
              </w:rPr>
            </w:pPr>
          </w:p>
        </w:tc>
      </w:tr>
    </w:tbl>
    <w:p w14:paraId="395EEBE9">
      <w:pPr>
        <w:ind w:firstLine="480" w:firstLineChars="200"/>
      </w:pPr>
      <w:r>
        <w:rPr>
          <w:rFonts w:hint="eastAsia"/>
        </w:rPr>
        <w:t xml:space="preserve">五、质量标准 </w:t>
      </w:r>
    </w:p>
    <w:p w14:paraId="68AE00CE">
      <w:pPr>
        <w:ind w:firstLine="480" w:firstLineChars="200"/>
        <w:rPr>
          <w:rFonts w:hint="eastAsia"/>
        </w:rPr>
      </w:pPr>
      <w:r>
        <w:rPr>
          <w:rFonts w:hint="eastAsia"/>
        </w:rPr>
        <w:t>本工程的质量评定等级为</w:t>
      </w:r>
      <w:r>
        <w:rPr>
          <w:rFonts w:hint="eastAsia"/>
          <w:color w:val="FF0000"/>
          <w:u w:val="single"/>
        </w:rPr>
        <w:t>合格</w:t>
      </w:r>
      <w:r>
        <w:rPr>
          <w:rFonts w:hint="eastAsia"/>
        </w:rPr>
        <w:t>, 质量等级经质监站、监理单位、建设单位验评后达不到合同规定标准、由分包方无偿返修达到合同规定的质量等级后方可交工。由此发生的一切费用及延误的工期损失由分包方负责。</w:t>
      </w:r>
    </w:p>
    <w:p w14:paraId="1F023712">
      <w:pPr>
        <w:pStyle w:val="2"/>
        <w:ind w:firstLine="560"/>
      </w:pPr>
      <w:r>
        <w:rPr>
          <w:rFonts w:hint="eastAsia"/>
          <w:lang w:eastAsia="zh-CN"/>
        </w:rPr>
        <w:t>本工程为教育局工程</w:t>
      </w:r>
      <w:r>
        <w:rPr>
          <w:rFonts w:hint="eastAsia"/>
        </w:rPr>
        <w:t>需要评奖及观摩分包人配合施工的部分，分包人需无条件配合，所发生的费用单独办理签证；</w:t>
      </w:r>
    </w:p>
    <w:p w14:paraId="54B512CD">
      <w:pPr>
        <w:numPr>
          <w:ilvl w:val="0"/>
          <w:numId w:val="2"/>
        </w:numPr>
        <w:ind w:firstLine="480" w:firstLineChars="200"/>
      </w:pPr>
      <w:r>
        <w:rPr>
          <w:rFonts w:hint="eastAsia"/>
        </w:rPr>
        <w:t>施工现场平面布置图</w:t>
      </w:r>
    </w:p>
    <w:p w14:paraId="6B562F0F">
      <w:pPr>
        <w:pStyle w:val="26"/>
        <w:widowControl w:val="0"/>
        <w:numPr>
          <w:ilvl w:val="0"/>
          <w:numId w:val="0"/>
        </w:numPr>
        <w:suppressAutoHyphens/>
        <w:autoSpaceDN w:val="0"/>
        <w:spacing w:line="440" w:lineRule="exact"/>
        <w:textAlignment w:val="baseline"/>
        <w:rPr>
          <w:bCs/>
          <w:sz w:val="28"/>
          <w:szCs w:val="28"/>
          <w:highlight w:val="yellow"/>
        </w:rPr>
        <w:sectPr>
          <w:headerReference r:id="rId5" w:type="default"/>
          <w:footerReference r:id="rId6" w:type="default"/>
          <w:pgSz w:w="11906" w:h="16838"/>
          <w:pgMar w:top="851" w:right="1077" w:bottom="1440" w:left="1077" w:header="851" w:footer="567" w:gutter="0"/>
          <w:pgNumType w:fmt="decimalFullWidth"/>
          <w:cols w:space="720" w:num="1"/>
          <w:docGrid w:linePitch="286" w:charSpace="0"/>
        </w:sectPr>
      </w:pPr>
      <w:r>
        <w:drawing>
          <wp:anchor distT="0" distB="0" distL="114300" distR="114300" simplePos="0" relativeHeight="251663360" behindDoc="0" locked="0" layoutInCell="1" allowOverlap="1">
            <wp:simplePos x="0" y="0"/>
            <wp:positionH relativeFrom="column">
              <wp:posOffset>469900</wp:posOffset>
            </wp:positionH>
            <wp:positionV relativeFrom="paragraph">
              <wp:posOffset>333375</wp:posOffset>
            </wp:positionV>
            <wp:extent cx="5568950" cy="7288530"/>
            <wp:effectExtent l="0" t="0" r="8890" b="11430"/>
            <wp:wrapNone/>
            <wp:docPr id="2" name="图片 1"/>
            <wp:cNvGraphicFramePr/>
            <a:graphic xmlns:a="http://schemas.openxmlformats.org/drawingml/2006/main">
              <a:graphicData uri="http://schemas.openxmlformats.org/drawingml/2006/picture">
                <pic:pic xmlns:pic="http://schemas.openxmlformats.org/drawingml/2006/picture">
                  <pic:nvPicPr>
                    <pic:cNvPr id="2" name="图片 1"/>
                    <pic:cNvPicPr/>
                  </pic:nvPicPr>
                  <pic:blipFill>
                    <a:blip r:embed="rId15"/>
                    <a:stretch>
                      <a:fillRect/>
                    </a:stretch>
                  </pic:blipFill>
                  <pic:spPr>
                    <a:xfrm>
                      <a:off x="0" y="0"/>
                      <a:ext cx="5568950" cy="7288530"/>
                    </a:xfrm>
                    <a:prstGeom prst="rect">
                      <a:avLst/>
                    </a:prstGeom>
                    <a:noFill/>
                    <a:ln>
                      <a:noFill/>
                    </a:ln>
                  </pic:spPr>
                </pic:pic>
              </a:graphicData>
            </a:graphic>
          </wp:anchor>
        </w:drawing>
      </w:r>
    </w:p>
    <w:p w14:paraId="62694620"/>
    <w:p w14:paraId="0BA9BDD8">
      <w:pPr>
        <w:ind w:firstLine="480" w:firstLineChars="200"/>
      </w:pPr>
      <w:r>
        <w:rPr>
          <w:rFonts w:hint="eastAsia"/>
        </w:rPr>
        <w:t>七、人工费结算方式：</w:t>
      </w:r>
    </w:p>
    <w:p w14:paraId="682ADCB8">
      <w:pPr>
        <w:ind w:firstLine="480" w:firstLineChars="200"/>
      </w:pPr>
      <w:r>
        <w:rPr>
          <w:rFonts w:hint="eastAsia"/>
        </w:rPr>
        <w:t>按照不同工作成果的计件单价(以合同签订为准)按实计算。</w:t>
      </w:r>
    </w:p>
    <w:p w14:paraId="3C15F5F7">
      <w:pPr>
        <w:ind w:firstLine="480" w:firstLineChars="200"/>
      </w:pPr>
      <w:r>
        <w:rPr>
          <w:rFonts w:hint="eastAsia"/>
        </w:rPr>
        <w:t>八、付款条件：</w:t>
      </w:r>
    </w:p>
    <w:p w14:paraId="6DBB8EF5">
      <w:pPr>
        <w:ind w:firstLine="480" w:firstLineChars="200"/>
      </w:pPr>
      <w:r>
        <w:rPr>
          <w:rFonts w:hint="eastAsia"/>
        </w:rPr>
        <w:t>劳务分包人应在每月15日前，自行填写已完工程量结算申请核查表，标明已完工程部位并联系项目部各职能管理人员检查并签字确认，如有奖罚等情况，必须在结算单上汇总体现，签字齐全后方可联系经济师开具结算。劳务分包退场前，必须办理已完工程结算手续，联系项目部各职能管理人员检查并签字确认，确保工程内容、工程质量、材料回收、文明施工等工作均无问题，签字齐全后方可联系施工员进行退场并联系经济师结清剩余工程量。</w:t>
      </w:r>
    </w:p>
    <w:p w14:paraId="7D131808">
      <w:r>
        <w:rPr>
          <w:rFonts w:hint="eastAsia"/>
        </w:rPr>
        <w:t>在发包人按《建设工程施工合同》约定的付款比例完全支付工程承包人工程款的前提下，工程承包人支付给分包人进度工程款的8</w:t>
      </w:r>
      <w:r>
        <w:rPr>
          <w:rFonts w:hint="eastAsia"/>
          <w:lang w:val="en-US" w:eastAsia="zh-CN"/>
        </w:rPr>
        <w:t>5</w:t>
      </w:r>
      <w:r>
        <w:rPr>
          <w:rFonts w:hint="eastAsia"/>
        </w:rPr>
        <w:t>%，双方共同确认的本项目最后一笔结算日期或双方共同确认的本项目最终结算单日期后，三年内付至90%，余款以房屋或物资（包括但不限于车辆、酒、购物卡等）抵顶付至100%。分包人承诺若发包人未能按合同约定比例支付给承包人时，承包人可按发包人支付的付款比例支付给劳务分包人，分包人不能以工程款支付不到位为由唆使工人到建管处及上级主管部门闹事或到承包人项目部及公司闹事，或给予工程停工等。</w:t>
      </w:r>
    </w:p>
    <w:p w14:paraId="14A17A9F">
      <w:pPr>
        <w:ind w:firstLine="480" w:firstLineChars="200"/>
      </w:pPr>
      <w:r>
        <w:t>关于付款及质量保修期等约定如下：</w:t>
      </w:r>
    </w:p>
    <w:p w14:paraId="0401B48A">
      <w:pPr>
        <w:ind w:firstLine="480" w:firstLineChars="200"/>
      </w:pPr>
      <w:r>
        <w:rPr>
          <w:rFonts w:hint="eastAsia"/>
        </w:rPr>
        <w:t>1、合同履行中实际抵顶金额超过合同约定比例的，按结算金额扣除抵顶金额后剩余部分全额支付。</w:t>
      </w:r>
    </w:p>
    <w:p w14:paraId="6A0ABD3B">
      <w:pPr>
        <w:ind w:firstLine="480" w:firstLineChars="200"/>
      </w:pPr>
      <w:r>
        <w:rPr>
          <w:rFonts w:hint="eastAsia"/>
        </w:rPr>
        <w:t>2、分包人在合同履行过程中应及时完成</w:t>
      </w:r>
      <w:r>
        <w:t>抵顶</w:t>
      </w:r>
      <w:r>
        <w:rPr>
          <w:rFonts w:hint="eastAsia"/>
        </w:rPr>
        <w:t>事宜</w:t>
      </w:r>
      <w:r>
        <w:t>，</w:t>
      </w:r>
      <w:r>
        <w:rPr>
          <w:rFonts w:hint="eastAsia"/>
        </w:rPr>
        <w:t>若自工程竣工之日起满</w:t>
      </w:r>
      <w:r>
        <w:t>2年</w:t>
      </w:r>
      <w:r>
        <w:rPr>
          <w:rFonts w:hint="eastAsia"/>
        </w:rPr>
        <w:t>，分包人尚有部分抵顶未予完成，视为分包人同意放弃未抵顶部分的</w:t>
      </w:r>
      <w:r>
        <w:t>债权</w:t>
      </w:r>
      <w:r>
        <w:rPr>
          <w:rFonts w:hint="eastAsia"/>
        </w:rPr>
        <w:t>，即分包人无权再向发包人主张该部分债权对应数额的工程款</w:t>
      </w:r>
      <w:r>
        <w:t>，</w:t>
      </w:r>
      <w:r>
        <w:rPr>
          <w:rFonts w:hint="eastAsia"/>
        </w:rPr>
        <w:t>也</w:t>
      </w:r>
      <w:r>
        <w:t>不可再以任何方式</w:t>
      </w:r>
      <w:r>
        <w:rPr>
          <w:rFonts w:hint="eastAsia"/>
        </w:rPr>
        <w:t>向承包人索要</w:t>
      </w:r>
      <w:r>
        <w:t>此部分工程款。</w:t>
      </w:r>
    </w:p>
    <w:p w14:paraId="1AD9894E">
      <w:pPr>
        <w:ind w:firstLine="480" w:firstLineChars="200"/>
      </w:pPr>
      <w:r>
        <w:rPr>
          <w:rFonts w:hint="eastAsia"/>
        </w:rPr>
        <w:t>3、质量保修期根据《山东省住房和城乡建设厅关于调整新建住宅工程质量保修期的指导意见》和威海市住房和城乡建设局《关于全面调整新建住宅工程质量保修期的实施意见》的通知执行。质量保修期内，出现分包范围内质量问题，分包人应当在接到通知之日起3天内派人保修，且必须开展实质性维修措施，维修后及时与业主（发包人、承包方）沟通，在业主（发包人、承包方）认可的合理工期内修复完毕。因分包人未及时履行保修义务，导致建筑物毁损或者造成人身、财产损害的，分包人应当承担赔偿责任。因分包人的过错造成分包工程质量不符合约定，分包人拒绝修理、返工，承包人可减少支付工程价款。分包人不在约定期限内派人保修的，承包人可以委托他人修理。承包人据实审核修复费用，分包人按承包人要求一次性支付修复费用给第三方。分包人承担自行修复或第三方修复部位的保修责任。由于分包工程缺陷维修导致其他总包分项工程返修所造成的损失，费用及造成的直接或间接损失均由分包人承担。分包工程竣工验收合格并不意味着分包人免除应承担的质量责任。</w:t>
      </w:r>
    </w:p>
    <w:p w14:paraId="541E75FE">
      <w:pPr>
        <w:ind w:firstLine="480" w:firstLineChars="200"/>
      </w:pPr>
      <w:r>
        <w:rPr>
          <w:rFonts w:hint="eastAsia"/>
        </w:rPr>
        <w:t>4、工程施工中出现设计变更、工程内容增减、补充签证等情况，乙方应积极协助承包人备好相关资料，及时与建设方进行协商沟通，分包人不得以签证变更未办理完成、甲方拖欠工程款等任何理由进行停工。如出现因拖欠农民工工资引发不良后果的，发包人将从工程款中扣除所欠农民工工资金额两倍或两倍以上罚金且分包人承担由此产生的一切后果（包括但不限于合同违约金、向业主支付因延误交楼的赔偿金、为业主代付的物业管理费、与业主和解的赔偿费、为业主支付房费、代付生活费、延误交楼导致发包人名誉损失、相应的法律责任等）。代付款、违约金、罚款等应扣款项，承包人有权从未支付的工程款（或保证金）内直接扣除。</w:t>
      </w:r>
    </w:p>
    <w:p w14:paraId="742026FD">
      <w:pPr>
        <w:ind w:firstLine="480" w:firstLineChars="200"/>
      </w:pPr>
      <w:r>
        <w:rPr>
          <w:rFonts w:hint="eastAsia"/>
        </w:rPr>
        <w:t>5、本合同约定单价为抵顶房屋或物资的价格，若不按照原合同约定条款履行抵顶事宜，分包人同意将所有合同单价下浮</w:t>
      </w:r>
      <w:r>
        <w:rPr>
          <w:rFonts w:hint="eastAsia"/>
          <w:lang w:val="en-US" w:eastAsia="zh-CN"/>
        </w:rPr>
        <w:t>40</w:t>
      </w:r>
      <w:r>
        <w:rPr>
          <w:rFonts w:hint="eastAsia"/>
        </w:rPr>
        <w:t>%（包括已付款项经重新核算后），承包人以承兑汇票、现金、转账支票等来支付。</w:t>
      </w:r>
    </w:p>
    <w:p w14:paraId="28EE547E">
      <w:pPr>
        <w:ind w:firstLine="480" w:firstLineChars="200"/>
      </w:pPr>
      <w:r>
        <w:rPr>
          <w:rFonts w:hint="eastAsia"/>
        </w:rPr>
        <w:t>九、招标要求及报价说明</w:t>
      </w:r>
    </w:p>
    <w:p w14:paraId="2E08060D">
      <w:pPr>
        <w:ind w:firstLine="480" w:firstLineChars="200"/>
      </w:pPr>
      <w:r>
        <w:rPr>
          <w:rFonts w:hint="eastAsia"/>
        </w:rPr>
        <w:t>（一）参加投标者需携带以下资料</w:t>
      </w:r>
    </w:p>
    <w:p w14:paraId="6DB72EAE">
      <w:pPr>
        <w:ind w:firstLine="480" w:firstLineChars="200"/>
      </w:pPr>
      <w:r>
        <w:rPr>
          <w:rFonts w:hint="eastAsia"/>
        </w:rPr>
        <w:t>1、参加投标公司劳务资质及营业执照原件。</w:t>
      </w:r>
    </w:p>
    <w:p w14:paraId="652A8922">
      <w:pPr>
        <w:ind w:firstLine="480" w:firstLineChars="200"/>
      </w:pPr>
      <w:r>
        <w:rPr>
          <w:rFonts w:hint="eastAsia"/>
        </w:rPr>
        <w:t>2、投标书、报价明细表及资质、营业执照、各种需要资料的复印件，并加盖公章和法定代表人签字。须密封后并加盖公章和法定代表人印章。</w:t>
      </w:r>
    </w:p>
    <w:p w14:paraId="51D7CA3D">
      <w:pPr>
        <w:ind w:firstLine="480" w:firstLineChars="200"/>
      </w:pPr>
      <w:r>
        <w:rPr>
          <w:rFonts w:hint="eastAsia"/>
        </w:rPr>
        <w:t>（二）投标文件的编制说明：</w:t>
      </w:r>
    </w:p>
    <w:p w14:paraId="310C0868">
      <w:pPr>
        <w:ind w:firstLine="480" w:firstLineChars="200"/>
      </w:pPr>
      <w:r>
        <w:rPr>
          <w:rFonts w:hint="eastAsia"/>
        </w:rPr>
        <w:t>1、投标文件目录（标明页码）</w:t>
      </w:r>
    </w:p>
    <w:p w14:paraId="31518C3F">
      <w:pPr>
        <w:ind w:firstLine="480" w:firstLineChars="200"/>
      </w:pPr>
      <w:r>
        <w:rPr>
          <w:rFonts w:hint="eastAsia"/>
        </w:rPr>
        <w:t>2、投标报价表及管理人员附件（详见附件一）</w:t>
      </w:r>
    </w:p>
    <w:p w14:paraId="4FB59B90">
      <w:pPr>
        <w:ind w:firstLine="480" w:firstLineChars="200"/>
      </w:pPr>
      <w:r>
        <w:rPr>
          <w:rFonts w:hint="eastAsia"/>
        </w:rPr>
        <w:t>3、承诺书（详见附件二）</w:t>
      </w:r>
    </w:p>
    <w:p w14:paraId="63C9B690">
      <w:pPr>
        <w:ind w:firstLine="480" w:firstLineChars="200"/>
      </w:pPr>
      <w:r>
        <w:rPr>
          <w:rFonts w:hint="eastAsia"/>
        </w:rPr>
        <w:t>4、工期承诺书（详见附件三）</w:t>
      </w:r>
    </w:p>
    <w:p w14:paraId="1FF067CE">
      <w:pPr>
        <w:ind w:firstLine="480" w:firstLineChars="200"/>
      </w:pPr>
      <w:r>
        <w:rPr>
          <w:rFonts w:hint="eastAsia"/>
        </w:rPr>
        <w:t>5、劳务公司各班组汇总表（详见附件四）</w:t>
      </w:r>
    </w:p>
    <w:p w14:paraId="073B2AE1">
      <w:pPr>
        <w:ind w:firstLine="480" w:firstLineChars="200"/>
      </w:pPr>
      <w:r>
        <w:rPr>
          <w:rFonts w:hint="eastAsia"/>
        </w:rPr>
        <w:t>6、营业执照副本复印件</w:t>
      </w:r>
    </w:p>
    <w:p w14:paraId="6CE20136">
      <w:pPr>
        <w:ind w:firstLine="480" w:firstLineChars="200"/>
      </w:pPr>
      <w:r>
        <w:rPr>
          <w:rFonts w:hint="eastAsia"/>
        </w:rPr>
        <w:t>7、资质等级证书副本复印件</w:t>
      </w:r>
    </w:p>
    <w:p w14:paraId="780FEBF5">
      <w:pPr>
        <w:ind w:firstLine="480" w:firstLineChars="200"/>
      </w:pPr>
      <w:r>
        <w:rPr>
          <w:rFonts w:hint="eastAsia"/>
        </w:rPr>
        <w:t>8、法定代表人资格证书（附法定代表人身份证复印件）</w:t>
      </w:r>
    </w:p>
    <w:p w14:paraId="4C5FD4BC">
      <w:pPr>
        <w:ind w:firstLine="480" w:firstLineChars="200"/>
      </w:pPr>
      <w:r>
        <w:rPr>
          <w:rFonts w:hint="eastAsia"/>
        </w:rPr>
        <w:t>9、授权委托书（附被委托人身份证复印件）</w:t>
      </w:r>
    </w:p>
    <w:p w14:paraId="2873B6EC">
      <w:pPr>
        <w:ind w:firstLine="480" w:firstLineChars="200"/>
      </w:pPr>
      <w:r>
        <w:rPr>
          <w:rFonts w:hint="eastAsia"/>
        </w:rPr>
        <w:t>10、辅助资料表</w:t>
      </w:r>
    </w:p>
    <w:p w14:paraId="141149FC">
      <w:pPr>
        <w:ind w:firstLine="480" w:firstLineChars="200"/>
      </w:pPr>
      <w:r>
        <w:rPr>
          <w:rFonts w:hint="eastAsia"/>
        </w:rPr>
        <w:t>11、按本招标文件及评分方法规定提交的其他资料</w:t>
      </w:r>
    </w:p>
    <w:p w14:paraId="6E208AD4">
      <w:pPr>
        <w:ind w:firstLine="480" w:firstLineChars="200"/>
      </w:pPr>
      <w:r>
        <w:rPr>
          <w:rFonts w:hint="eastAsia"/>
        </w:rPr>
        <w:t>（三）报价说明</w:t>
      </w:r>
    </w:p>
    <w:p w14:paraId="3D717EA9">
      <w:pPr>
        <w:ind w:firstLine="240" w:firstLineChars="100"/>
      </w:pPr>
      <w:r>
        <w:rPr>
          <w:rFonts w:hint="eastAsia"/>
        </w:rPr>
        <w:t xml:space="preserve">   1、材料的取用：</w:t>
      </w:r>
    </w:p>
    <w:p w14:paraId="0632695C">
      <w:pPr>
        <w:ind w:firstLine="480" w:firstLineChars="200"/>
      </w:pPr>
      <w:r>
        <w:rPr>
          <w:rFonts w:hint="eastAsia"/>
        </w:rPr>
        <w:t>承包人已按现场实际情况布置塔吊，并保证最大限度覆盖全场，对于现场垂直运输设备够不到或场地内堆料偏远部位等的场内倒料，由总包单位提供拖拉机等运输设备，由分包单位进行倒料，分包单位报价需包含该部分费用，分包单位不得以此为借口另外要求增加费用；</w:t>
      </w:r>
    </w:p>
    <w:p w14:paraId="64D1E318">
      <w:pPr>
        <w:pStyle w:val="2"/>
        <w:ind w:firstLine="560" w:firstLineChars="200"/>
        <w:rPr>
          <w:rFonts w:eastAsiaTheme="minorEastAsia"/>
          <w:sz w:val="24"/>
        </w:rPr>
      </w:pPr>
      <w:r>
        <w:rPr>
          <w:rFonts w:hint="eastAsia"/>
        </w:rPr>
        <w:t>2</w:t>
      </w:r>
      <w:r>
        <w:rPr>
          <w:rFonts w:hint="eastAsia" w:eastAsiaTheme="minorEastAsia"/>
          <w:sz w:val="24"/>
        </w:rPr>
        <w:t>、施工设备及小五金</w:t>
      </w:r>
    </w:p>
    <w:p w14:paraId="078B22D8">
      <w:pPr>
        <w:ind w:firstLine="480" w:firstLineChars="200"/>
      </w:pPr>
      <w:r>
        <w:rPr>
          <w:rFonts w:hint="eastAsia"/>
        </w:rPr>
        <w:t>分包人报价中包含的</w:t>
      </w:r>
      <w:r>
        <w:t>施工设备</w:t>
      </w:r>
      <w:r>
        <w:rPr>
          <w:rFonts w:hint="eastAsia"/>
        </w:rPr>
        <w:t>（分包自带）：木工</w:t>
      </w:r>
      <w:r>
        <w:t>裁板机</w:t>
      </w:r>
      <w:r>
        <w:rPr>
          <w:rFonts w:hint="eastAsia"/>
        </w:rPr>
        <w:t>（不得使用圆盘锯）</w:t>
      </w:r>
      <w:r>
        <w:t>、</w:t>
      </w:r>
      <w:r>
        <w:rPr>
          <w:rFonts w:hint="eastAsia" w:ascii="宋体" w:hAnsi="宋体" w:cs="宋体"/>
        </w:rPr>
        <w:t>振动棒、插入电机等振捣设备、</w:t>
      </w:r>
      <w:r>
        <w:rPr>
          <w:rFonts w:hint="eastAsia"/>
        </w:rPr>
        <w:t>电动刨子、</w:t>
      </w:r>
      <w:r>
        <w:t>手提锯</w:t>
      </w:r>
      <w:r>
        <w:rPr>
          <w:rFonts w:hint="eastAsia"/>
        </w:rPr>
        <w:t>、射钉枪、电镐（花锤及花锤镐头）、墨线仪、电动扳手等</w:t>
      </w:r>
      <w:r>
        <w:t>及小五金费用、材料场内运输费用均在劳务单价中包含，不得单独开具</w:t>
      </w:r>
      <w:r>
        <w:rPr>
          <w:rFonts w:hint="eastAsia"/>
        </w:rPr>
        <w:t>费用</w:t>
      </w:r>
      <w:r>
        <w:t>。塔吊范围以外的材料场内运输，项目部提供拖拉机及司机配合运料，其余由</w:t>
      </w:r>
      <w:r>
        <w:rPr>
          <w:rFonts w:hint="eastAsia"/>
        </w:rPr>
        <w:t>分包人</w:t>
      </w:r>
      <w:r>
        <w:t>负责。</w:t>
      </w:r>
      <w:r>
        <w:rPr>
          <w:rFonts w:hint="eastAsia"/>
          <w:b/>
          <w:bCs/>
          <w:lang w:val="en-US" w:eastAsia="zh-CN"/>
        </w:rPr>
        <w:t>主体</w:t>
      </w:r>
      <w:r>
        <w:rPr>
          <w:rFonts w:hint="eastAsia"/>
          <w:b/>
          <w:bCs/>
        </w:rPr>
        <w:t>作业时分包自带梁夹具、模板锁</w:t>
      </w:r>
      <w:r>
        <w:rPr>
          <w:rFonts w:hint="eastAsia"/>
          <w:b/>
          <w:bCs/>
          <w:lang w:eastAsia="zh-CN"/>
        </w:rPr>
        <w:t>、方柱扣</w:t>
      </w:r>
      <w:r>
        <w:rPr>
          <w:rFonts w:hint="eastAsia"/>
          <w:b/>
          <w:bCs/>
        </w:rPr>
        <w:t>等</w:t>
      </w:r>
      <w:r>
        <w:rPr>
          <w:rFonts w:hint="eastAsia"/>
        </w:rPr>
        <w:t>。</w:t>
      </w:r>
      <w:r>
        <w:rPr>
          <w:b/>
          <w:bCs/>
        </w:rPr>
        <w:t>特别注意</w:t>
      </w:r>
      <w:r>
        <w:t>：主体辅材小五金主要包括但不限于：对拉螺母、元宝垫、KT板、铁钉、钢钉、铁丝、pvc 管、</w:t>
      </w:r>
      <w:r>
        <w:rPr>
          <w:rFonts w:hint="eastAsia" w:ascii="宋体" w:hAnsi="宋体" w:cs="宋体"/>
        </w:rPr>
        <w:t>钢筋绑扎铅丝、</w:t>
      </w:r>
      <w:r>
        <w:t>电焊条、木工锯片、无齿锯片、</w:t>
      </w:r>
      <w:r>
        <w:rPr>
          <w:rFonts w:hint="eastAsia"/>
        </w:rPr>
        <w:t>塑料膜</w:t>
      </w:r>
      <w:r>
        <w:t>及照明灯具、笤帚、扫帚、施工线、双面胶带、安全帽、安全带、对讲机及其电池、口哨、信号旗等现场通讯对讲联络器材、凿子、铁锤、铁锨、铁镐、水鞋、石笔、粉笔、毛笔、</w:t>
      </w:r>
      <w:r>
        <w:rPr>
          <w:rFonts w:hint="eastAsia" w:ascii="宋体" w:hAnsi="宋体" w:cs="宋体"/>
        </w:rPr>
        <w:t>红蓝铅笔、</w:t>
      </w:r>
      <w:r>
        <w:t>手电筒及其电池、多用插座、插头、开关、麻绳、油麻、雨衣、电焊手套、蛇皮管、水带、水带接头、门锁、墨汁、墨斗、</w:t>
      </w:r>
      <w:r>
        <w:rPr>
          <w:rFonts w:hint="eastAsia" w:ascii="宋体" w:hAnsi="宋体" w:cs="宋体"/>
        </w:rPr>
        <w:t>钢筋钳子、</w:t>
      </w:r>
      <w:r>
        <w:t>水平管、线坠、电锤及钻头、钢丝刷、拖把</w:t>
      </w:r>
      <w:r>
        <w:rPr>
          <w:rFonts w:hint="eastAsia"/>
        </w:rPr>
        <w:t>、黄胶带、山形卡、</w:t>
      </w:r>
      <w:r>
        <w:rPr>
          <w:rFonts w:hint="eastAsia"/>
          <w:b/>
          <w:bCs/>
        </w:rPr>
        <w:t>对拉螺栓、套筒、水泥垫块、水泥支撑</w:t>
      </w:r>
      <w:r>
        <w:rPr>
          <w:rFonts w:hint="eastAsia"/>
        </w:rPr>
        <w:t>、</w:t>
      </w:r>
      <w:r>
        <w:rPr>
          <w:rFonts w:hint="eastAsia" w:ascii="宋体" w:hAnsi="宋体" w:cs="宋体"/>
        </w:rPr>
        <w:t>钢筋垫、</w:t>
      </w:r>
      <w:r>
        <w:rPr>
          <w:rFonts w:hint="eastAsia"/>
        </w:rPr>
        <w:t>油漆、防锈漆、脱模剂、后浇带及分隔缝处快易收口网、</w:t>
      </w:r>
      <w:r>
        <w:rPr>
          <w:rFonts w:hint="eastAsia" w:ascii="宋体" w:hAnsi="宋体" w:cs="宋体"/>
        </w:rPr>
        <w:t>不同标号砼交界处封堵材料、</w:t>
      </w:r>
      <w:r>
        <w:rPr>
          <w:rFonts w:hint="eastAsia"/>
        </w:rPr>
        <w:t>耐候胶（模板拼缝不严的地方用）、钢丝绳及配套的花篮螺栓（斜拉对顶用）、模板眼堵帽、角铁和泡沫纸（底部封浆用）、绿色马甲及</w:t>
      </w:r>
      <w:r>
        <w:t>各种低值易耗品等所有辅材等应考虑在综合单价中，不再单独计费。</w:t>
      </w:r>
    </w:p>
    <w:p w14:paraId="032C2189">
      <w:pPr>
        <w:ind w:firstLine="480" w:firstLineChars="200"/>
      </w:pPr>
      <w:r>
        <w:rPr>
          <w:rFonts w:hint="eastAsia"/>
        </w:rPr>
        <w:t>3、钢筋工程：</w:t>
      </w:r>
    </w:p>
    <w:p w14:paraId="52A76553">
      <w:pPr>
        <w:ind w:firstLine="480" w:firstLineChars="200"/>
        <w:rPr>
          <w:rFonts w:eastAsia="宋体"/>
        </w:rPr>
      </w:pPr>
      <w:r>
        <w:rPr>
          <w:rFonts w:hint="eastAsia"/>
        </w:rPr>
        <w:t>（1）±0.000以下部分的基础（承台、筏板、基础梁）、主体框架等钢筋按吨位报价，±0.000以上主体钢筋按吨位报价。钢筋单价含钢筋的卸车（人工接吊、堆放），场内运输、整理堆放、钢筋加工制作、安装绑扎、限位、钢筋连接、马凳筋制作、二次结构钢筋制作、废料回收堆放等工作内容。</w:t>
      </w:r>
    </w:p>
    <w:p w14:paraId="51A3C8A3">
      <w:pPr>
        <w:ind w:firstLine="480" w:firstLineChars="200"/>
      </w:pPr>
      <w:r>
        <w:rPr>
          <w:rFonts w:hint="eastAsia"/>
        </w:rPr>
        <w:t>（2）</w:t>
      </w:r>
      <w:r>
        <w:t>钢筋班组施工队伍</w:t>
      </w:r>
      <w:r>
        <w:rPr>
          <w:rFonts w:hint="eastAsia"/>
        </w:rPr>
        <w:t>采购</w:t>
      </w:r>
      <w:r>
        <w:t>小五金费用、材料场内运输费用均在劳务单价中包含，不得单独开具</w:t>
      </w:r>
      <w:r>
        <w:rPr>
          <w:rFonts w:hint="eastAsia"/>
        </w:rPr>
        <w:t>费用和</w:t>
      </w:r>
      <w:r>
        <w:t>零工。钢筋班组应负责钢筋马镫制作、二次结构钢筋</w:t>
      </w:r>
      <w:r>
        <w:rPr>
          <w:rFonts w:hint="eastAsia"/>
        </w:rPr>
        <w:t>、预埋件、吊钩、零星构件、试化验取样等</w:t>
      </w:r>
      <w:r>
        <w:t>。（特别注意：钢筋工程按照实际工程量计算，钢筋单价中含有闪光对焊或直螺纹套筒（割丝及连接）等钢筋连接，钢筋连接已包括在单价内，不再单独计算。需直螺纹连接的钢筋必须用割丝机上自带的切割锯切割（切割片由劳务单位自购），或用无齿锯切割）。</w:t>
      </w:r>
    </w:p>
    <w:p w14:paraId="2589E4A2">
      <w:pPr>
        <w:ind w:firstLine="480" w:firstLineChars="200"/>
      </w:pPr>
      <w:r>
        <w:rPr>
          <w:rFonts w:hint="eastAsia"/>
        </w:rPr>
        <w:t>（3）</w:t>
      </w:r>
      <w:r>
        <w:t>楼内的材料运输，均由钢筋班组队伍负责。</w:t>
      </w:r>
      <w:r>
        <w:rPr>
          <w:rFonts w:hint="eastAsia"/>
        </w:rPr>
        <w:t>塔吊、施工升降机等设备基础钢筋的绑扎、焊接及预埋件安装均由靠近楼座的施工班组负责施工，其费用计算按照基础钢筋吨位单价进行结算。钢筋制作台面由相应班组自行负责，项目部只负责钢筋棚制作安装、防护栏杆安装、料场原材分隔档安装及场地硬化。</w:t>
      </w:r>
    </w:p>
    <w:p w14:paraId="5EFD8903">
      <w:pPr>
        <w:ind w:firstLine="480" w:firstLineChars="200"/>
      </w:pPr>
      <w:r>
        <w:t>（</w:t>
      </w:r>
      <w:r>
        <w:rPr>
          <w:rFonts w:hint="eastAsia"/>
        </w:rPr>
        <w:t>4）</w:t>
      </w:r>
      <w:r>
        <w:t>钢筋班组应保持楼层各施工作业面及钢筋加工场地的施工规范、材料规整，文明施工卫生清理等，如钢筋班组劳务达不到规范或公司要求，项目部两次督促通知劳务分包人仍不按要求整改，项目部有权自主找劳务队伍施工、修复、规整、清理等（每个零工400 元/天），其所发生的费用将从劳务月结算中扣除。</w:t>
      </w:r>
    </w:p>
    <w:p w14:paraId="5663265C">
      <w:pPr>
        <w:ind w:firstLine="480" w:firstLineChars="200"/>
      </w:pPr>
      <w:r>
        <w:t>（</w:t>
      </w:r>
      <w:r>
        <w:rPr>
          <w:rFonts w:hint="eastAsia"/>
        </w:rPr>
        <w:t>5）</w:t>
      </w:r>
      <w:r>
        <w:t>材料使用后剩余后废料，必须按项目部现场规划要求运送至指定地点存放，必须保证每天作业面工完料尽场地清，保证钢筋加工区的规整，清洁。</w:t>
      </w:r>
    </w:p>
    <w:p w14:paraId="2701B157">
      <w:pPr>
        <w:ind w:firstLine="480" w:firstLineChars="200"/>
      </w:pPr>
      <w:r>
        <w:t>（</w:t>
      </w:r>
      <w:r>
        <w:rPr>
          <w:rFonts w:hint="eastAsia"/>
        </w:rPr>
        <w:t>6）</w:t>
      </w:r>
      <w:r>
        <w:t>钢筋班组负责现场所有钢筋加工机具设备的日常保养和清理工作，要求每天下班前对所有钢筋机具设备进行清洗及打油保养，且应满足公司的管理标准，如若保养或清理不及时，项目部有权安排其他劳务完善，所用费用从钢筋班组劳务双倍扣除。</w:t>
      </w:r>
    </w:p>
    <w:p w14:paraId="24C857FD">
      <w:pPr>
        <w:ind w:firstLine="480" w:firstLineChars="200"/>
      </w:pPr>
      <w:r>
        <w:t>（</w:t>
      </w:r>
      <w:r>
        <w:rPr>
          <w:rFonts w:hint="eastAsia"/>
        </w:rPr>
        <w:t>7）</w:t>
      </w:r>
      <w:r>
        <w:t>劳务施工人员统一佩戴符合安全生产规定的黄色安全帽，劳务管理人员佩戴蓝色的安全帽，安全帽必须在保质期限内。所有劳务人员统一着装绿色马甲。</w:t>
      </w:r>
      <w:r>
        <w:rPr>
          <w:rFonts w:hint="eastAsia"/>
        </w:rPr>
        <w:t>（以上费用均由投标劳务自行负责）。</w:t>
      </w:r>
    </w:p>
    <w:p w14:paraId="21DD8EBF">
      <w:pPr>
        <w:ind w:firstLine="480" w:firstLineChars="200"/>
      </w:pPr>
      <w:r>
        <w:t>（</w:t>
      </w:r>
      <w:r>
        <w:rPr>
          <w:rFonts w:hint="eastAsia"/>
        </w:rPr>
        <w:t>8）</w:t>
      </w:r>
      <w:r>
        <w:t>如劳务达不到公司要求，项目部两次督促通知劳务分包人仍不按要求整改，项目部有权自主找劳务队伍规整、清理、维修等（每个零工400元/天），其所发生的费用将从劳务月结算中扣除。</w:t>
      </w:r>
    </w:p>
    <w:p w14:paraId="276B0258">
      <w:pPr>
        <w:ind w:firstLine="480" w:firstLineChars="200"/>
      </w:pPr>
      <w:r>
        <w:rPr>
          <w:rFonts w:hint="eastAsia"/>
        </w:rPr>
        <w:t>（9</w:t>
      </w:r>
      <w:r>
        <w:t>）</w:t>
      </w:r>
      <w:r>
        <w:rPr>
          <w:rFonts w:hint="eastAsia"/>
        </w:rPr>
        <w:t>对钢筋原材料及半成品进行抽取样配合送检所有钢筋连接已包括在单价内，不再单独计算。阳台、空调板、下挂梁、卫生间上返梁、屋面女儿墙、栏板及机房等小型构件钢筋绑扎、后浇带钢筋的修整绑扎单价不单独计算，均包含在此报价中。另：柱及剪力墙钢筋采用电渣压力焊，单价需进行报价；止水钢板场内运输、安装焊接，需进行单价报价。</w:t>
      </w:r>
    </w:p>
    <w:p w14:paraId="79233EE8">
      <w:pPr>
        <w:ind w:firstLine="480" w:firstLineChars="200"/>
      </w:pPr>
      <w:r>
        <w:rPr>
          <w:rFonts w:hint="eastAsia"/>
        </w:rPr>
        <w:t>（10</w:t>
      </w:r>
      <w:r>
        <w:t>）</w:t>
      </w:r>
      <w:r>
        <w:rPr>
          <w:rFonts w:hint="eastAsia"/>
        </w:rPr>
        <w:t>需分包人自行提供钢筋加工制作所需所有机械设备包含但不限于每个钢筋加工区平口钢筋切断机、无齿锯（包括使用的无齿锯片）、钢筋调直机、弯箍机等钢筋加工设备。此部分钢筋加工设备考虑在综合单价内，项目不再单独计费。</w:t>
      </w:r>
    </w:p>
    <w:p w14:paraId="7A5FC2B1">
      <w:pPr>
        <w:ind w:firstLine="480" w:firstLineChars="200"/>
      </w:pPr>
      <w:r>
        <w:rPr>
          <w:rFonts w:hint="eastAsia"/>
        </w:rPr>
        <w:t>（11</w:t>
      </w:r>
      <w:r>
        <w:t>）</w:t>
      </w:r>
      <w:r>
        <w:rPr>
          <w:rFonts w:hint="eastAsia"/>
        </w:rPr>
        <w:t>施工班组人员进场后，如出现作业质量差、安全意识差或不服从项目部管理的现象，项目部有权要求退场换人。在场内正常作业的班组人员，劳务不得私自外调调整，若被项目部发现未经项目部审批私自外调人员，视情况给予每次处罚2000~10000元。</w:t>
      </w:r>
    </w:p>
    <w:p w14:paraId="3CD99A99">
      <w:pPr>
        <w:ind w:firstLine="480" w:firstLineChars="200"/>
      </w:pPr>
      <w:r>
        <w:rPr>
          <w:rFonts w:hint="eastAsia"/>
        </w:rPr>
        <w:t>（12）制作完的成品钢筋按照项目部的指定位置整齐堆放，如达不到项目部要求，劳务投标人负责重新整理或移位；主体完工后外漏的钢筋，由相应班组负责切除并涂刷防锈漆（根据项目部的具体要求进行整改）。</w:t>
      </w:r>
    </w:p>
    <w:p w14:paraId="0AFFA449">
      <w:pPr>
        <w:ind w:firstLine="480" w:firstLineChars="200"/>
      </w:pPr>
      <w:r>
        <w:rPr>
          <w:rFonts w:hint="eastAsia"/>
        </w:rPr>
        <w:t>（13）安全、环保、技术质量等应尽事宜执行公司各级管理制度及项目部管理制度。</w:t>
      </w:r>
    </w:p>
    <w:p w14:paraId="0649312E">
      <w:pPr>
        <w:ind w:firstLine="480" w:firstLineChars="200"/>
      </w:pPr>
      <w:r>
        <w:rPr>
          <w:rFonts w:hint="eastAsia"/>
        </w:rPr>
        <w:t>（14）钢筋班组进场后，应严格按照项目部的钢筋技术交底的要求施工。</w:t>
      </w:r>
    </w:p>
    <w:p w14:paraId="4EB1446F">
      <w:pPr>
        <w:ind w:firstLine="480" w:firstLineChars="200"/>
      </w:pPr>
      <w:r>
        <w:rPr>
          <w:rFonts w:hint="eastAsia"/>
        </w:rPr>
        <w:t>（15）所有措施筋，包括马镫筋、梁垫铁、剪力墙梯子筋、基础定位筋等以及木工和架子工等工种使用的其他措施筋，型号尺寸数量等必须经过项目部审批签字确认后，方可按需加工，不可私自加工，否则每发现一次罚款5000元。若有其他班组乱用钢筋，每发现一次除处罚其他班组外，罚钢筋班组1000-2000元。</w:t>
      </w:r>
    </w:p>
    <w:p w14:paraId="4BAD0B22">
      <w:pPr>
        <w:ind w:firstLine="480" w:firstLineChars="200"/>
      </w:pPr>
      <w:r>
        <w:rPr>
          <w:rFonts w:hint="eastAsia"/>
        </w:rPr>
        <w:t>（16）钢筋制作严格按照公司要求的标准进行制作，对剩余的短钢筋及多余箍筋或其他作废钢筋，应分类堆放整齐并及时利用，不得有过多剩余箍筋和其他钢筋，否则予以考核。</w:t>
      </w:r>
    </w:p>
    <w:p w14:paraId="7DB9692A">
      <w:pPr>
        <w:ind w:firstLine="480" w:firstLineChars="200"/>
      </w:pPr>
      <w:r>
        <w:rPr>
          <w:rFonts w:hint="eastAsia"/>
        </w:rPr>
        <w:t>（17）要协助项目部做好钢筋签证、创新等方面的工作，例如选取某一楼层做好马镫的布置、钢筋连接方式等重要的钢筋签证，此费用计入钢筋综合单价内，不再单独计费。</w:t>
      </w:r>
    </w:p>
    <w:p w14:paraId="75BDC15B">
      <w:pPr>
        <w:ind w:firstLine="480" w:firstLineChars="200"/>
      </w:pPr>
      <w:r>
        <w:rPr>
          <w:rFonts w:hint="eastAsia"/>
        </w:rPr>
        <w:t>（18）</w:t>
      </w:r>
      <w:r>
        <w:rPr>
          <w:rFonts w:hint="eastAsia"/>
          <w:b/>
          <w:bCs/>
        </w:rPr>
        <w:t>在规范允许的范围内尽可能优化料单、节约钢材，每个钢筋加工区的钢筋损耗率都要控制在1.</w:t>
      </w:r>
      <w:r>
        <w:rPr>
          <w:rFonts w:hint="eastAsia"/>
          <w:b/>
          <w:bCs/>
          <w:lang w:val="en-US" w:eastAsia="zh-CN"/>
        </w:rPr>
        <w:t>3</w:t>
      </w:r>
      <w:r>
        <w:rPr>
          <w:rFonts w:hint="eastAsia"/>
          <w:b/>
          <w:bCs/>
        </w:rPr>
        <w:t>%以内，若废品率超出此范围（1.</w:t>
      </w:r>
      <w:r>
        <w:rPr>
          <w:rFonts w:hint="eastAsia"/>
          <w:b/>
          <w:bCs/>
          <w:lang w:val="en-US" w:eastAsia="zh-CN"/>
        </w:rPr>
        <w:t>3</w:t>
      </w:r>
      <w:r>
        <w:rPr>
          <w:rFonts w:hint="eastAsia"/>
          <w:b/>
          <w:bCs/>
        </w:rPr>
        <w:t>%），则超出部分的废品量按每吨</w:t>
      </w:r>
      <w:r>
        <w:rPr>
          <w:rFonts w:hint="eastAsia"/>
          <w:b/>
          <w:bCs/>
          <w:lang w:val="en-US" w:eastAsia="zh-CN"/>
        </w:rPr>
        <w:t>38</w:t>
      </w:r>
      <w:r>
        <w:rPr>
          <w:rFonts w:hint="eastAsia"/>
          <w:b/>
          <w:bCs/>
        </w:rPr>
        <w:t>00元，直接在班组的结算中扣除。</w:t>
      </w:r>
    </w:p>
    <w:p w14:paraId="01DDFDE7">
      <w:pPr>
        <w:ind w:firstLine="480" w:firstLineChars="200"/>
      </w:pPr>
      <w:r>
        <w:rPr>
          <w:rFonts w:hint="eastAsia"/>
        </w:rPr>
        <w:t>（19）现场钢筋间距及保护层扫描的实测实量必须达到公司标准，否则予以考核。</w:t>
      </w:r>
    </w:p>
    <w:p w14:paraId="457969B5">
      <w:pPr>
        <w:ind w:firstLine="480" w:firstLineChars="200"/>
      </w:pPr>
      <w:r>
        <w:rPr>
          <w:rFonts w:hint="eastAsia"/>
        </w:rPr>
        <w:t>（20）所有钢筋工程不符合规范和图纸要求，钢筋机械连接试件不合格造成的返工、重复试验费、材料浪费等均由钢筋班组赔偿经济损失及其后果，并按公司和项目部有关规定进行处罚。</w:t>
      </w:r>
    </w:p>
    <w:p w14:paraId="59E23619">
      <w:pPr>
        <w:ind w:firstLine="480" w:firstLineChars="200"/>
      </w:pPr>
      <w:r>
        <w:rPr>
          <w:rFonts w:hint="eastAsia"/>
        </w:rPr>
        <w:t>（21）</w:t>
      </w:r>
      <w:r>
        <w:rPr>
          <w:rFonts w:hint="eastAsia"/>
          <w:lang w:eastAsia="zh-CN"/>
        </w:rPr>
        <w:t>钢筋如</w:t>
      </w:r>
      <w:r>
        <w:rPr>
          <w:rFonts w:hint="eastAsia"/>
        </w:rPr>
        <w:t>需</w:t>
      </w:r>
      <w:r>
        <w:rPr>
          <w:rFonts w:hint="eastAsia"/>
          <w:lang w:eastAsia="zh-CN"/>
        </w:rPr>
        <w:t>要有</w:t>
      </w:r>
      <w:r>
        <w:rPr>
          <w:rFonts w:hint="eastAsia"/>
        </w:rPr>
        <w:t>增加定位撑并加固，单价综合考虑；</w:t>
      </w:r>
    </w:p>
    <w:p w14:paraId="794097FE">
      <w:pPr>
        <w:ind w:firstLine="480" w:firstLineChars="200"/>
      </w:pPr>
      <w:r>
        <w:rPr>
          <w:rFonts w:hint="eastAsia"/>
        </w:rPr>
        <w:t>4、模板及支撑工程：</w:t>
      </w:r>
    </w:p>
    <w:p w14:paraId="0BE87974">
      <w:pPr>
        <w:ind w:firstLine="480" w:firstLineChars="200"/>
      </w:pPr>
      <w:r>
        <w:t>（</w:t>
      </w:r>
      <w:r>
        <w:rPr>
          <w:rFonts w:hint="eastAsia"/>
        </w:rPr>
        <w:t>1</w:t>
      </w:r>
      <w:r>
        <w:t>）楼内的材料运输，均由木工队伍负责。</w:t>
      </w:r>
      <w:r>
        <w:rPr>
          <w:rFonts w:hint="eastAsia"/>
        </w:rPr>
        <w:t>塔吊、施工升降机等设备基础模板的制作、安装、加固（对拉丝杆制作）、拆除均由靠接楼座的施工班组负责施工，其费用计算基础模板的平方单价进行结算。</w:t>
      </w:r>
    </w:p>
    <w:p w14:paraId="0823895F">
      <w:pPr>
        <w:ind w:firstLine="480" w:firstLineChars="200"/>
      </w:pPr>
      <w:r>
        <w:t>（</w:t>
      </w:r>
      <w:r>
        <w:rPr>
          <w:rFonts w:hint="eastAsia"/>
        </w:rPr>
        <w:t>2）地下室后浇带按距楼距离就近原则归属于相应楼座施工。</w:t>
      </w:r>
      <w:r>
        <w:t>后浇带满堂架</w:t>
      </w:r>
      <w:r>
        <w:rPr>
          <w:rFonts w:hint="eastAsia"/>
        </w:rPr>
        <w:t>单独搭设，按要求</w:t>
      </w:r>
      <w:r>
        <w:t>预留或拆改门洞</w:t>
      </w:r>
      <w:r>
        <w:rPr>
          <w:rFonts w:hint="eastAsia"/>
        </w:rPr>
        <w:t>，后浇带报价包含后浇带部位的模板、脚手架搭设、砼二次浇筑前盖密目网、封板、二次清理垃圾等的费用。</w:t>
      </w:r>
    </w:p>
    <w:p w14:paraId="65641FD9">
      <w:pPr>
        <w:ind w:firstLine="480" w:firstLineChars="200"/>
      </w:pPr>
      <w:r>
        <w:t>（</w:t>
      </w:r>
      <w:r>
        <w:rPr>
          <w:rFonts w:hint="eastAsia"/>
        </w:rPr>
        <w:t>3）</w:t>
      </w:r>
      <w:r>
        <w:t>模板拆除后（地上主体5日内，地下车库10日内），架管、扣件、顶托、模板（含清理）、木方、钢木方等按项目部要求分别运输至指定位置（特别注意：包含模板制作、材料器材运输、安装、拆除，包含钢管、扣件分离，钢管按长度分类，模板、木方、钢木方要求分开存放，半张及以上模板、木方、钢木方起钉，归整、运至指定料场）</w:t>
      </w:r>
      <w:r>
        <w:rPr>
          <w:rFonts w:hint="eastAsia"/>
        </w:rPr>
        <w:t>。拆除后</w:t>
      </w:r>
      <w:r>
        <w:rPr>
          <w:rFonts w:hint="eastAsia"/>
          <w:lang w:eastAsia="zh-CN"/>
        </w:rPr>
        <w:t>砼</w:t>
      </w:r>
      <w:r>
        <w:rPr>
          <w:rFonts w:hint="eastAsia"/>
        </w:rPr>
        <w:t>的钉、不平、错台、漏浆、套管周围不平等需进行修补。拆模后止水丝杆处模板垫片扣除、止水丝杆切割、涂刷防锈漆、抹水泥砂浆等工作内容也由相应班组施工，不再单独记取费用，应包含在模板单价中。</w:t>
      </w:r>
    </w:p>
    <w:p w14:paraId="5A849ECB">
      <w:pPr>
        <w:ind w:firstLine="720" w:firstLineChars="300"/>
      </w:pPr>
      <w:r>
        <w:t>如分包人拒绝，项目部有权自行组织人员施工，费用在劳务结算中双倍扣除。</w:t>
      </w:r>
    </w:p>
    <w:p w14:paraId="5EF03A89">
      <w:pPr>
        <w:ind w:firstLine="480" w:firstLineChars="200"/>
      </w:pPr>
      <w:r>
        <w:t>（</w:t>
      </w:r>
      <w:r>
        <w:rPr>
          <w:rFonts w:hint="eastAsia"/>
        </w:rPr>
        <w:t>4）</w:t>
      </w:r>
      <w:r>
        <w:t>现场安全文明施工中应由主体劳务承担的施工内容，必须按现行规范及分公司要求实施落实(例如高模板支架的安全平网防护等）。</w:t>
      </w:r>
    </w:p>
    <w:p w14:paraId="665B412E">
      <w:pPr>
        <w:ind w:firstLine="480" w:firstLineChars="200"/>
      </w:pPr>
      <w:r>
        <w:t>（</w:t>
      </w:r>
      <w:r>
        <w:rPr>
          <w:rFonts w:hint="eastAsia"/>
        </w:rPr>
        <w:t>5）</w:t>
      </w:r>
      <w:r>
        <w:t>材料使用完后，必须按项目部现场规划要求运送至指定地点存放，必须保证木工所用扣件上的丝杆及螺帽齐全</w:t>
      </w:r>
      <w:r>
        <w:rPr>
          <w:rFonts w:hint="eastAsia"/>
        </w:rPr>
        <w:t>，劳务负责对损坏及不能使用的扣件的维修</w:t>
      </w:r>
      <w:r>
        <w:t>（扣件断裂损坏不用维修，</w:t>
      </w:r>
      <w:r>
        <w:rPr>
          <w:rFonts w:hint="eastAsia"/>
        </w:rPr>
        <w:t>折价赔偿，对拉丝杆弯曲变形、</w:t>
      </w:r>
      <w:r>
        <w:t>扣件配件</w:t>
      </w:r>
      <w:r>
        <w:rPr>
          <w:rFonts w:hint="eastAsia"/>
        </w:rPr>
        <w:t>如丝杆、螺帽、铁板卡子头，</w:t>
      </w:r>
      <w:r>
        <w:t>不完整需要补充恢复</w:t>
      </w:r>
      <w:r>
        <w:rPr>
          <w:rFonts w:hint="eastAsia"/>
        </w:rPr>
        <w:t>及赔偿</w:t>
      </w:r>
      <w:r>
        <w:t>），必须保证每天作业面工完料尽场地清，保证木工加工区的整洁。</w:t>
      </w:r>
    </w:p>
    <w:p w14:paraId="5774FDF1">
      <w:pPr>
        <w:ind w:firstLine="480" w:firstLineChars="200"/>
      </w:pPr>
      <w:r>
        <w:t>（</w:t>
      </w:r>
      <w:r>
        <w:rPr>
          <w:rFonts w:hint="eastAsia"/>
        </w:rPr>
        <w:t>6）</w:t>
      </w:r>
      <w:r>
        <w:t>生活区劳务宿舍的卫生，物品摆放整齐，被褥规整等。</w:t>
      </w:r>
    </w:p>
    <w:p w14:paraId="5D835E06">
      <w:pPr>
        <w:ind w:firstLine="480" w:firstLineChars="200"/>
      </w:pPr>
      <w:r>
        <w:t>（</w:t>
      </w:r>
      <w:r>
        <w:rPr>
          <w:rFonts w:hint="eastAsia"/>
        </w:rPr>
        <w:t>7）</w:t>
      </w:r>
      <w:r>
        <w:t>劳务施工人员统一佩戴符合安全生产规定的黄色安全帽，劳务管理人员佩戴蓝色的安全帽，安全帽必须在保质期限内，所有劳务人员统一着装绿色马甲。</w:t>
      </w:r>
    </w:p>
    <w:p w14:paraId="26366992">
      <w:pPr>
        <w:ind w:firstLine="480" w:firstLineChars="200"/>
      </w:pPr>
      <w:r>
        <w:t>（</w:t>
      </w:r>
      <w:r>
        <w:rPr>
          <w:rFonts w:hint="eastAsia"/>
        </w:rPr>
        <w:t>8）</w:t>
      </w:r>
      <w:r>
        <w:t>不同标号砼浇筑前的封堵，后浇带部位</w:t>
      </w:r>
      <w:r>
        <w:rPr>
          <w:rFonts w:hint="eastAsia"/>
        </w:rPr>
        <w:t>的</w:t>
      </w:r>
      <w:r>
        <w:t>架体</w:t>
      </w:r>
      <w:r>
        <w:rPr>
          <w:rFonts w:hint="eastAsia"/>
        </w:rPr>
        <w:t>修正</w:t>
      </w:r>
      <w:r>
        <w:t>及模板二次施工（含在后浇带单价中，工程量以现场实际发生为准）。</w:t>
      </w:r>
    </w:p>
    <w:p w14:paraId="7DC52098">
      <w:pPr>
        <w:ind w:firstLine="480" w:firstLineChars="200"/>
      </w:pPr>
      <w:r>
        <w:t>（</w:t>
      </w:r>
      <w:r>
        <w:rPr>
          <w:rFonts w:hint="eastAsia"/>
        </w:rPr>
        <w:t>9</w:t>
      </w:r>
      <w:r>
        <w:t>）如劳务达不到公司要求，项目部两次督促通知劳务分包人仍不按要求整改，项目部有权自主找劳务队伍规整、清理、维修等（每个零工400元/天），其所发生的费用将从劳务月结算中扣除。</w:t>
      </w:r>
    </w:p>
    <w:p w14:paraId="3FC496B7">
      <w:pPr>
        <w:ind w:firstLine="480" w:firstLineChars="200"/>
      </w:pPr>
      <w:r>
        <w:rPr>
          <w:rFonts w:hint="eastAsia"/>
        </w:rPr>
        <w:t>（10</w:t>
      </w:r>
      <w:r>
        <w:t>）</w:t>
      </w:r>
      <w:r>
        <w:rPr>
          <w:rFonts w:hint="eastAsia"/>
        </w:rPr>
        <w:t>模板单价含墙、板、柱、梁、阳台、凸窗、飘板、楼梯、造型等模板。塔吊、施工电梯、提升机埋件安装；支、拆、倒运和模板架子搭设、拆除、收集堆码；架空层、裙房等所有模板支撑体系脚手架的搭拆、场内周转、材料堆整及日常保养；剪力墙、梁</w:t>
      </w:r>
      <w:r>
        <w:rPr>
          <w:rFonts w:hint="eastAsia"/>
          <w:lang w:eastAsia="zh-CN"/>
        </w:rPr>
        <w:t>、板</w:t>
      </w:r>
      <w:r>
        <w:rPr>
          <w:rFonts w:hint="eastAsia"/>
        </w:rPr>
        <w:t>管道安装完毕后封堵；</w:t>
      </w:r>
    </w:p>
    <w:p w14:paraId="38DE08EF">
      <w:pPr>
        <w:ind w:firstLine="480" w:firstLineChars="200"/>
      </w:pPr>
      <w:r>
        <w:rPr>
          <w:rFonts w:hint="eastAsia"/>
        </w:rPr>
        <w:t xml:space="preserve">自备木工机械（自带大型裁板锯至少一台）； </w:t>
      </w:r>
    </w:p>
    <w:p w14:paraId="1B326369">
      <w:pPr>
        <w:ind w:firstLine="480" w:firstLineChars="200"/>
      </w:pPr>
      <w:r>
        <w:rPr>
          <w:rFonts w:hint="eastAsia"/>
        </w:rPr>
        <w:t>楼内的材料运输，均由木工队伍负责；总包方仅提供电源。</w:t>
      </w:r>
    </w:p>
    <w:p w14:paraId="641D71FC">
      <w:pPr>
        <w:ind w:firstLine="480" w:firstLineChars="200"/>
      </w:pPr>
      <w:r>
        <w:rPr>
          <w:rFonts w:hint="eastAsia"/>
        </w:rPr>
        <w:t>（11</w:t>
      </w:r>
      <w:r>
        <w:t>）</w:t>
      </w:r>
      <w:r>
        <w:rPr>
          <w:rFonts w:hint="eastAsia"/>
        </w:rPr>
        <w:t>模板单价中含有公司规定及施工方案要求需要挂平网的部位的铺设及拆除，施工图纸中及需要预留的所有洞口（包括安装施工需要的洞口）的预留、拆除、封堵，施工中不同混凝土标号浇筑部位的封堵、拆除，因施工要求留设的施工缝封堵、拆除，模板定位钢筋打眼、安装、焊接。</w:t>
      </w:r>
    </w:p>
    <w:p w14:paraId="40D0940E">
      <w:pPr>
        <w:ind w:firstLine="480" w:firstLineChars="200"/>
      </w:pPr>
      <w:r>
        <w:rPr>
          <w:rFonts w:hint="eastAsia"/>
        </w:rPr>
        <w:t>（12</w:t>
      </w:r>
      <w:r>
        <w:t>）</w:t>
      </w:r>
      <w:r>
        <w:rPr>
          <w:rFonts w:hint="eastAsia"/>
        </w:rPr>
        <w:t>模板支撑，搭设质量必须达到技术交底要求、分公司安全、技术质量管理部门的管理要求及专家论证要求，并施放墙体200mm控制线。若不能满足验收要求的，项目部有权自行组织人员搭设，并在劳务结算扣除此部分费用的双倍金额。</w:t>
      </w:r>
    </w:p>
    <w:p w14:paraId="7C2C5C9A">
      <w:pPr>
        <w:ind w:firstLine="480" w:firstLineChars="200"/>
      </w:pPr>
      <w:r>
        <w:rPr>
          <w:rFonts w:hint="eastAsia"/>
        </w:rPr>
        <w:t>（13</w:t>
      </w:r>
      <w:r>
        <w:t>）</w:t>
      </w:r>
      <w:r>
        <w:rPr>
          <w:rFonts w:hint="eastAsia"/>
        </w:rPr>
        <w:t>工程有圆柱、弧形梁等施工难度较大的部位，以及存在梁柱节点混凝土标号不同，需要封堵的部位，布料机区域脚手架的单独加密处理，各个分项的报价均应综合考虑此部分情况，或施工需要留后浇带及施工缝时需封堵的部位，不再计取其他费用。</w:t>
      </w:r>
    </w:p>
    <w:p w14:paraId="6837B1E0">
      <w:pPr>
        <w:ind w:firstLine="480" w:firstLineChars="200"/>
      </w:pPr>
      <w:r>
        <w:t>（</w:t>
      </w:r>
      <w:r>
        <w:rPr>
          <w:rFonts w:hint="eastAsia"/>
        </w:rPr>
        <w:t>14</w:t>
      </w:r>
      <w:r>
        <w:t>）安全、环保、技术质量等应尽事宜执行公司各级管理制度及项目部管理制度。</w:t>
      </w:r>
    </w:p>
    <w:p w14:paraId="21CEF851">
      <w:pPr>
        <w:ind w:firstLine="480" w:firstLineChars="200"/>
      </w:pPr>
      <w:r>
        <w:rPr>
          <w:rFonts w:hint="eastAsia"/>
        </w:rPr>
        <w:t>（15）楼梯需焊土字支撑（包括其他吊模需用处），项目部技术只负责放楼层H型控制线（班组必须提供1~2人协助测放），其余部分由班组自行放线，项目技术校核。水平点每层提供5个。</w:t>
      </w:r>
    </w:p>
    <w:p w14:paraId="4D1A0550">
      <w:pPr>
        <w:ind w:firstLine="480" w:firstLineChars="200"/>
        <w:rPr>
          <w:b/>
          <w:bCs/>
        </w:rPr>
      </w:pPr>
      <w:r>
        <w:rPr>
          <w:rFonts w:hint="eastAsia"/>
        </w:rPr>
        <w:t xml:space="preserve"> （16）与主体连接砌体≤100mm墙垛，由木工班组一体带出，价格按照模板单价计取（此项工作在班组施工前项目部再做详细策划）。</w:t>
      </w:r>
    </w:p>
    <w:p w14:paraId="588DC67B">
      <w:pPr>
        <w:ind w:firstLine="480" w:firstLineChars="200"/>
      </w:pPr>
      <w:r>
        <w:rPr>
          <w:rFonts w:hint="eastAsia"/>
        </w:rPr>
        <w:t>（17）木方、木胶板实行限额领料，领料后由劳务自行保管使用，使用后分包人要计划使用，严禁乱截乱割，归还时模板的整板率不低于20%，木方的完整率不低于60%，模板超出规定整板率一个平方扣减40元，木方超出完整率1立方扣减2800元。</w:t>
      </w:r>
    </w:p>
    <w:p w14:paraId="27BFBC56">
      <w:pPr>
        <w:ind w:firstLine="480" w:firstLineChars="200"/>
      </w:pPr>
      <w:r>
        <w:rPr>
          <w:rFonts w:hint="eastAsia"/>
        </w:rPr>
        <w:t>（18）木工用措施筋，基础、剪力墙定位筋等措施筋不得随意取用，必须经过项目部审批签字确认后，方可按需加工，不可私自加工，否则每发现一次罚款5000-10000元。</w:t>
      </w:r>
    </w:p>
    <w:p w14:paraId="5F754D54">
      <w:pPr>
        <w:ind w:firstLine="480" w:firstLineChars="200"/>
      </w:pPr>
      <w:r>
        <w:rPr>
          <w:rFonts w:hint="eastAsia"/>
        </w:rPr>
        <w:t>（19）剪力墙用U型加固件不允许使用现场钢筋制作，分包人确要使用，必须自带，否则一经发现使用项目部钢筋，除没收制作的U型件外，按现场浪费钢筋的双倍进行罚款；</w:t>
      </w:r>
    </w:p>
    <w:p w14:paraId="684AC03D">
      <w:pPr>
        <w:ind w:firstLine="480" w:firstLineChars="200"/>
      </w:pPr>
      <w:r>
        <w:rPr>
          <w:rFonts w:hint="eastAsia"/>
        </w:rPr>
        <w:t>（20）现场木方及模板要求劳务在端头部位刷红色油漆封边，模板每次拆除后，必须清理表面杂物，涂刷脱模剂（油漆、脱模剂由劳务自行购买，在小五金中包含）。</w:t>
      </w:r>
    </w:p>
    <w:p w14:paraId="3CC44B0E">
      <w:pPr>
        <w:ind w:firstLine="480" w:firstLineChars="200"/>
      </w:pPr>
      <w:r>
        <w:rPr>
          <w:rFonts w:hint="eastAsia"/>
        </w:rPr>
        <w:t>（21）承包人提供给分包人的模板加固、支撑的材料为公司现有材料，能满足分包人施工需要，若分包人想使用更先进的加固材料等，需报项目部，经项目部同意后方可使用，但需要分包人自带材料，项目部不承担该费用；</w:t>
      </w:r>
    </w:p>
    <w:p w14:paraId="14F0CB53">
      <w:pPr>
        <w:ind w:firstLine="480" w:firstLineChars="200"/>
      </w:pPr>
      <w:r>
        <w:rPr>
          <w:rFonts w:hint="eastAsia"/>
        </w:rPr>
        <w:t>（22）除基础定位线外，总包单位只给分包单位提供主轴线，其他控制线等全部为分包单位自己负责，若总包单位放线不及时、偏差、错误等，分包单位有义务进行配合放线、纠偏等，分包人在保价中应综合考虑，不能以此为由要求承包人额外支付费用或开具零工；</w:t>
      </w:r>
    </w:p>
    <w:p w14:paraId="5A5A923D">
      <w:pPr>
        <w:ind w:firstLine="480" w:firstLineChars="200"/>
      </w:pPr>
      <w:r>
        <w:rPr>
          <w:rFonts w:hint="eastAsia"/>
        </w:rPr>
        <w:t>（23）现场需要多少模板由分包人和承包人共同计算后确定，承包人按计算量进行限额领料，若分包人超出承包人计划的模板量，则浪费的部分从分包人工程量中扣除；</w:t>
      </w:r>
    </w:p>
    <w:p w14:paraId="0F9E0674">
      <w:pPr>
        <w:ind w:firstLine="480" w:firstLineChars="200"/>
      </w:pPr>
      <w:r>
        <w:rPr>
          <w:rFonts w:hint="eastAsia"/>
        </w:rPr>
        <w:t>（24）承包人领取材料时由双方保管清点明细，并详细记录，归还时应由双方签字确认的退场清单为准，双方应签字确认损坏情况及数量，并按以下方式处理：缺失的主要材料按丢失损坏价格赔偿；</w:t>
      </w:r>
    </w:p>
    <w:p w14:paraId="20E43C9A">
      <w:pPr>
        <w:pStyle w:val="26"/>
        <w:numPr>
          <w:ilvl w:val="0"/>
          <w:numId w:val="3"/>
        </w:numPr>
        <w:ind w:firstLineChars="0"/>
      </w:pPr>
      <w:r>
        <w:rPr>
          <w:rFonts w:hint="eastAsia"/>
        </w:rPr>
        <w:t>混凝土工程：</w:t>
      </w:r>
    </w:p>
    <w:p w14:paraId="3D8FDD82">
      <w:pPr>
        <w:pStyle w:val="26"/>
        <w:numPr>
          <w:ilvl w:val="0"/>
          <w:numId w:val="4"/>
        </w:numPr>
        <w:ind w:firstLineChars="0"/>
      </w:pPr>
      <w:r>
        <w:rPr>
          <w:rFonts w:hint="eastAsia"/>
        </w:rPr>
        <w:t>混凝土施工泵管支设、加固、拆除、清理、运输、规整等相关工作均包含在报价中；（特别注意：混凝土工程要求二次拉毛，主体漏振修复与打磨费用已包含在混凝土单价中；含泵送浇筑、养护、保温、修补、打磨等工程内容；根据工程需要，部分混凝土或为塔吊、地泵浇筑；混凝土的浇筑、养护，楼板及剪力墙砼浇水养护不得少于7天、地下抗渗混凝土不得少于14天，每天不得少于4次，大体积混凝土养护时间按规范规定养护时间养护，柱子要求包薄膜养护、剪力墙、楼板要求喷水养护，养护不到位项目部按照每层7个工日，400元/工日进行扣除（安排人员相关费用在当月结算内进行扣除，如因此造成砼裂缝或强度不足，由施工班组承担后续一切费用。）；搭设，拆除、清洗混凝土泵管及相关脚手架的搭设、拆除；砼输送车载砼。垂直机械工作无法覆盖的砼水平运输；后浇带处砼凿毛、垃圾清理、砼浇筑、养护及柱、剪力墙根部砼松动石子剔除和表面凿毛等作业内容均包含在后浇带单价内。</w:t>
      </w:r>
      <w:r>
        <w:rPr>
          <w:rFonts w:hint="eastAsia"/>
          <w:bCs/>
        </w:rPr>
        <w:t>养护、地膜、砼振动棒及电机、砼平板收平器等设备及辅材费用包含在单价中；泵管预留洞口必须留设在公共走廊区域。按混凝土计算规则以体积计算。</w:t>
      </w:r>
    </w:p>
    <w:p w14:paraId="1BFD7D3C">
      <w:pPr>
        <w:pStyle w:val="26"/>
        <w:numPr>
          <w:ilvl w:val="0"/>
          <w:numId w:val="4"/>
        </w:numPr>
        <w:ind w:firstLineChars="0"/>
      </w:pPr>
      <w:r>
        <w:rPr>
          <w:rFonts w:hint="eastAsia"/>
        </w:rPr>
        <w:t>主体施工阶段，主体框架楼层混凝土浇筑完毕，模板、满堂支撑架清理完毕2天内，混凝土班组应负责完成该楼层卫生清理，如混凝土班组劳务达不到公司要求，项目部两次督促通知劳务分包人仍不按要求整改，项目部有权自主找劳务队伍规整、清理等（每个零工400元/天），其所发生的费用将从劳务月结算中扣除；</w:t>
      </w:r>
    </w:p>
    <w:p w14:paraId="09898B6B">
      <w:pPr>
        <w:pStyle w:val="26"/>
        <w:numPr>
          <w:ilvl w:val="0"/>
          <w:numId w:val="4"/>
        </w:numPr>
        <w:ind w:firstLineChars="0"/>
      </w:pPr>
      <w:r>
        <w:rPr>
          <w:rFonts w:hint="eastAsia"/>
        </w:rPr>
        <w:t>分包人浇筑混凝土期间若出现故意浪费混凝土的情况，则处浪费混凝土的10倍罚款；</w:t>
      </w:r>
      <w:r>
        <w:t>对于因劳务浪费材料而超预算的计划量， 按照超供量的</w:t>
      </w:r>
      <w:r>
        <w:rPr>
          <w:rFonts w:hint="eastAsia"/>
        </w:rPr>
        <w:t>20</w:t>
      </w:r>
      <w:r>
        <w:t>0%扣减劳务单位分包结算，从当月的结算中直接扣除</w:t>
      </w:r>
      <w:r>
        <w:rPr>
          <w:rFonts w:hint="eastAsia"/>
        </w:rPr>
        <w:t>。</w:t>
      </w:r>
    </w:p>
    <w:p w14:paraId="0675B0B7">
      <w:pPr>
        <w:pStyle w:val="26"/>
        <w:numPr>
          <w:ilvl w:val="0"/>
          <w:numId w:val="4"/>
        </w:numPr>
        <w:ind w:firstLineChars="0"/>
      </w:pPr>
      <w:r>
        <w:rPr>
          <w:rFonts w:hint="eastAsia"/>
        </w:rPr>
        <w:t>分包人需清理外架底部落地灰，无法清除的，需在外架拆除后2天内清理干净，若分包人不清理，承包人可安排人员进行清理，双倍扣除从分包人分包结算中扣除；</w:t>
      </w:r>
    </w:p>
    <w:p w14:paraId="30040F0C">
      <w:pPr>
        <w:pStyle w:val="26"/>
        <w:numPr>
          <w:ilvl w:val="0"/>
          <w:numId w:val="4"/>
        </w:numPr>
        <w:ind w:firstLineChars="0"/>
      </w:pPr>
      <w:r>
        <w:rPr>
          <w:rFonts w:hint="eastAsia"/>
        </w:rPr>
        <w:t>劳务班组在混凝土报价中应综合考虑施工期间发生的单次混凝土方量少（例如上返剪力墙、个别挑板等），搅拌站混凝土供应不及时误工，不好浇筑等情况，后期不得以此为由拒绝施工或要求承包人增加零工或提高混凝土单价等，若发生该种情况，承包人有权对分包人进行罚款或减少分包人的承包范围直至分包人解除分包合同；</w:t>
      </w:r>
    </w:p>
    <w:p w14:paraId="3FCA50EF">
      <w:pPr>
        <w:pStyle w:val="26"/>
        <w:numPr>
          <w:ilvl w:val="0"/>
          <w:numId w:val="4"/>
        </w:numPr>
        <w:ind w:firstLineChars="0"/>
      </w:pPr>
      <w:r>
        <w:rPr>
          <w:rFonts w:hint="eastAsia"/>
        </w:rPr>
        <w:t>分包人浇筑混凝土期间， 不得项目部批准不得在混凝土中随意加水，否则每发现一次罚款2000元，影响工程质量的，该此混凝土按全部加水处理，本次工程量不予结算，对承包人造成损失的，分包人需承担由此给承包人及发包人造成的一切损失（含返工费、材料费、设备费及社会影响等费用）；</w:t>
      </w:r>
    </w:p>
    <w:p w14:paraId="2BE14B96">
      <w:pPr>
        <w:pStyle w:val="26"/>
        <w:numPr>
          <w:ilvl w:val="0"/>
          <w:numId w:val="4"/>
        </w:numPr>
        <w:ind w:firstLineChars="0"/>
      </w:pPr>
      <w:r>
        <w:rPr>
          <w:rFonts w:hint="eastAsia"/>
        </w:rPr>
        <w:t>浇筑混凝土期间对外墙钢板网、外脚手架、甭管等造成污染的部位，分包人需在2天内清理干净，否则项目部将安排人员进行清理，按照发生费用的2倍对分包人进行惩罚，直接从分包人的分包结算中扣除；</w:t>
      </w:r>
    </w:p>
    <w:p w14:paraId="6BB74936">
      <w:pPr>
        <w:pStyle w:val="26"/>
        <w:numPr>
          <w:ilvl w:val="0"/>
          <w:numId w:val="4"/>
        </w:numPr>
        <w:ind w:firstLineChars="0"/>
      </w:pPr>
      <w:r>
        <w:rPr>
          <w:rFonts w:hint="eastAsia"/>
        </w:rPr>
        <w:t>混凝土浇筑后发生的鼓模、涨模、蜂窝麻面等情况需要进行修补的，由分包人在拆模后报承包人项目部出具修补方案后，按修补方案进行修补，修补完毕后及时填写验收申请让项目部进行验收，对于分包人拒绝修补的，承包人可自行安排人员维修，按照发生费用的2倍从分包人分包结算中直接扣除；</w:t>
      </w:r>
    </w:p>
    <w:p w14:paraId="7E42CABC">
      <w:pPr>
        <w:pStyle w:val="26"/>
        <w:numPr>
          <w:ilvl w:val="0"/>
          <w:numId w:val="4"/>
        </w:numPr>
        <w:ind w:firstLineChars="0"/>
      </w:pPr>
      <w:r>
        <w:rPr>
          <w:rFonts w:hint="eastAsia"/>
        </w:rPr>
        <w:t>混凝土的养护具体需要何种养护方式必须征得项目部的同意，按项目部的交底养护方案进行养护，不得私自浇水或私自改变养护方式；</w:t>
      </w:r>
    </w:p>
    <w:p w14:paraId="3C1A90DE">
      <w:pPr>
        <w:pStyle w:val="26"/>
        <w:numPr>
          <w:ilvl w:val="0"/>
          <w:numId w:val="4"/>
        </w:numPr>
        <w:ind w:firstLineChars="0"/>
      </w:pPr>
      <w:r>
        <w:rPr>
          <w:rFonts w:hint="eastAsia"/>
        </w:rPr>
        <w:t>混凝土浇筑期间，必须使用马道，避免对筏板或楼板钢筋造成踩踏，若承包人发现分包人不使用马道对钢筋造成损坏的，每发现一次，对分包人进行1000-5000元/次的罚款，多次劝说不听的，承包人有权与分包人解除分包合同；</w:t>
      </w:r>
    </w:p>
    <w:p w14:paraId="3988D7DC">
      <w:pPr>
        <w:pStyle w:val="26"/>
        <w:numPr>
          <w:ilvl w:val="0"/>
          <w:numId w:val="4"/>
        </w:numPr>
        <w:ind w:firstLineChars="0"/>
      </w:pPr>
      <w:r>
        <w:rPr>
          <w:rFonts w:hint="eastAsia"/>
        </w:rPr>
        <w:t>模板冲洗、润泵的砂浆不允许使用在主体构件当中，要使用灰斗吊走至项目部指定位置，每发生一次，处5000元的罚款，直接从当月分包结算中扣除；</w:t>
      </w:r>
    </w:p>
    <w:p w14:paraId="3E6D3442">
      <w:r>
        <w:rPr>
          <w:rFonts w:hint="eastAsia"/>
        </w:rPr>
        <w:t>（12）、对于因劳务浪费材料而超预算的计划量，要对劳务进行考核罚款，按照超供量的50%扣减劳务单位分包结算，从当月的结算中直接扣除；</w:t>
      </w:r>
    </w:p>
    <w:p w14:paraId="50FDC1D7">
      <w:pPr>
        <w:pStyle w:val="26"/>
        <w:numPr>
          <w:ilvl w:val="0"/>
          <w:numId w:val="3"/>
        </w:numPr>
        <w:ind w:firstLineChars="0"/>
      </w:pPr>
      <w:r>
        <w:rPr>
          <w:rFonts w:hint="eastAsia"/>
        </w:rPr>
        <w:t>后浇带：</w:t>
      </w:r>
    </w:p>
    <w:p w14:paraId="4D669018">
      <w:pPr>
        <w:ind w:firstLine="480" w:firstLineChars="200"/>
        <w:rPr>
          <w:rFonts w:hint="eastAsia"/>
        </w:rPr>
      </w:pPr>
      <w:r>
        <w:rPr>
          <w:rFonts w:hint="eastAsia" w:ascii="宋体" w:hAnsi="宋体"/>
          <w:color w:val="000000" w:themeColor="text1"/>
          <w14:textFill>
            <w14:solidFill>
              <w14:schemeClr w14:val="tx1"/>
            </w14:solidFill>
          </w14:textFill>
        </w:rPr>
        <w:t>后浇带施工</w:t>
      </w:r>
      <w:r>
        <w:rPr>
          <w:rFonts w:hint="eastAsia"/>
        </w:rPr>
        <w:t>含模板底及其支撑、砼浇筑及其养护、施工过程中的防护、清理垃圾、碎网等所有与设计及施工相关的工程内容；若出现后浇带砼不浇筑或模板不拆除、施工不及时等情况，按照200元/米扣罚工程款。后浇带施工缝两侧严禁错台，顶棚打磨时需将后浇带部位打磨平整，后浇带部位平整度达不到验收要求由劳务木工负责抗裂砂浆批嵌维修。</w:t>
      </w:r>
    </w:p>
    <w:p w14:paraId="27CF7FAD">
      <w:pPr>
        <w:ind w:firstLine="480" w:firstLineChars="200"/>
      </w:pPr>
      <w:r>
        <w:rPr>
          <w:rFonts w:hint="eastAsia"/>
        </w:rPr>
        <w:t>5、</w:t>
      </w:r>
      <w:r>
        <w:rPr>
          <w:rFonts w:hint="eastAsia"/>
          <w:b/>
          <w:bCs/>
        </w:rPr>
        <w:t>工程范围内的现场文明施工要求必须达到</w:t>
      </w:r>
      <w:r>
        <w:rPr>
          <w:rFonts w:hint="eastAsia"/>
          <w:b/>
          <w:bCs/>
          <w:lang w:eastAsia="zh-CN"/>
        </w:rPr>
        <w:t>威海</w:t>
      </w:r>
      <w:r>
        <w:rPr>
          <w:rFonts w:hint="eastAsia"/>
          <w:b/>
          <w:bCs/>
          <w:lang w:val="en-US" w:eastAsia="zh-CN"/>
        </w:rPr>
        <w:t>市主管部门要求</w:t>
      </w:r>
      <w:r>
        <w:rPr>
          <w:rFonts w:hint="eastAsia"/>
          <w:b/>
          <w:bCs/>
          <w:lang w:eastAsia="zh-CN"/>
        </w:rPr>
        <w:t>。</w:t>
      </w:r>
      <w:r>
        <w:rPr>
          <w:rFonts w:hint="eastAsia"/>
          <w:b/>
          <w:bCs/>
        </w:rPr>
        <w:t>此笔费用包含在各分项工程单价中，不再单独计取。</w:t>
      </w:r>
    </w:p>
    <w:p w14:paraId="728090CC">
      <w:pPr>
        <w:ind w:firstLine="480" w:firstLineChars="200"/>
      </w:pPr>
      <w:r>
        <w:rPr>
          <w:rFonts w:hint="eastAsia"/>
          <w:lang w:val="en-US" w:eastAsia="zh-CN"/>
        </w:rPr>
        <w:t>6</w:t>
      </w:r>
      <w:r>
        <w:rPr>
          <w:rFonts w:hint="eastAsia"/>
        </w:rPr>
        <w:t>、其它部分：包括图纸未设计而规范及建设主管部门、集团公司、分公司、项目部要求施工的细部处理等工程内容；施工中与其他单位（防水、安装等）的相互配合；服从发包单位下达的设计变更通知单。当有设计变更或其它原因导致劳务分包人增加工作内容的，劳务分包人应及时办理签证。劳务分包人必须在签证内容发生的3日内办理签证，有效的签证资料除有相关项目管理人员签字外还必须有项目经理签字。签证内容不计取管理费、利润。建筑面积按照建筑面积计算规则计算，但不含保温层等建筑做法所占建筑面积。劳务企业安排进场班组必须提前7天上报项目部，经项目部考察合格之后才能进驻现场施工。</w:t>
      </w:r>
    </w:p>
    <w:p w14:paraId="02FE2F60">
      <w:pPr>
        <w:ind w:firstLine="480" w:firstLineChars="200"/>
      </w:pPr>
      <w:r>
        <w:rPr>
          <w:rFonts w:hint="eastAsia"/>
        </w:rPr>
        <w:t>7、技术质量要求：</w:t>
      </w:r>
    </w:p>
    <w:p w14:paraId="16616F62">
      <w:pPr>
        <w:ind w:firstLine="480" w:firstLineChars="200"/>
      </w:pPr>
      <w:r>
        <w:rPr>
          <w:rFonts w:hint="eastAsia"/>
        </w:rPr>
        <w:t>①遵守总公司2016年以来至今双十规定、工艺工序质量控制标准、新版实测实量规范及分公司新下发的《建筑工程观感质量验收标准》为技术质量控制的标准文件及考核文件。优质优价，遵守威建一公司实测实量实施办法，分包需按照实施办法要求自行实测实量及留痕标识。</w:t>
      </w:r>
    </w:p>
    <w:p w14:paraId="58F00CA9">
      <w:pPr>
        <w:ind w:firstLine="480" w:firstLineChars="200"/>
      </w:pPr>
      <w:r>
        <w:rPr>
          <w:rFonts w:hint="eastAsia"/>
        </w:rPr>
        <w:t>②梁、板、柱必须达到建设单位第三方综合品质评估要求，模板拆除后应立即对板缝、墙缝、梁缝进行打磨，顶板外漏所有铁钉、铁丝及丝杆切割打磨平整后进行防锈处理，打磨需及时，随拆随打磨。如不按上述要求施工，按3元/平方建筑面积从劳务分包人结算中扣除，顶棚及梁抹灰所发生的费用按实际抹灰的工程量乘以20元/㎡从结算中予以扣除。</w:t>
      </w:r>
    </w:p>
    <w:p w14:paraId="6E58BE7E">
      <w:pPr>
        <w:ind w:firstLine="480" w:firstLineChars="200"/>
      </w:pPr>
      <w:r>
        <w:rPr>
          <w:rFonts w:hint="eastAsia"/>
        </w:rPr>
        <w:t>③梁、柱偏差造成所在墙体抹灰厚度的增加（超过3cm），抹灰的材料费用及人工费用由劳务分包人承担按实际抹灰的工程量乘以内墙按20元/㎡从结算中予以扣除，外墙按40元/㎡从结算中予以扣除。针对水泥垫块的使用及管理，劳务必须严格按照项目部要求使用，严禁现场乱堆乱放，每发现一处500元，并于当月结算。</w:t>
      </w:r>
    </w:p>
    <w:p w14:paraId="77A7F094">
      <w:pPr>
        <w:ind w:firstLine="480" w:firstLineChars="200"/>
      </w:pPr>
      <w:r>
        <w:rPr>
          <w:rFonts w:hint="eastAsia"/>
        </w:rPr>
        <w:t>④各分项验收通不过项目部及监理公司的验收所拖延的工期不予顺延。</w:t>
      </w:r>
    </w:p>
    <w:p w14:paraId="17E55700">
      <w:pPr>
        <w:ind w:firstLine="480" w:firstLineChars="200"/>
      </w:pPr>
      <w:r>
        <w:rPr>
          <w:rFonts w:hint="eastAsia"/>
        </w:rPr>
        <w:t>⑤穿墙塑料套管的处理，必须符合公司要求，费用在模板报价中综合考虑。</w:t>
      </w:r>
    </w:p>
    <w:p w14:paraId="65DD66E8">
      <w:pPr>
        <w:ind w:firstLine="480" w:firstLineChars="200"/>
      </w:pPr>
      <w:r>
        <w:rPr>
          <w:rFonts w:hint="eastAsia"/>
        </w:rPr>
        <w:t xml:space="preserve">⑥施工质量必须达到威建集团管理样板工地验收质量标准。 </w:t>
      </w:r>
    </w:p>
    <w:p w14:paraId="47A52E79">
      <w:pPr>
        <w:ind w:firstLine="480" w:firstLineChars="200"/>
      </w:pPr>
      <w:r>
        <w:rPr>
          <w:rFonts w:hint="eastAsia"/>
        </w:rPr>
        <w:t>⑦楼梯、各预留洞口的尺寸、位置及垂直度的误差必须控制在20mm以内，出现错误影响设备给予1000-5000元的处罚，控制到位的给予1000元的奖励。</w:t>
      </w:r>
    </w:p>
    <w:p w14:paraId="774D05A3">
      <w:pPr>
        <w:ind w:firstLine="480" w:firstLineChars="200"/>
      </w:pPr>
      <w:r>
        <w:rPr>
          <w:rFonts w:hint="eastAsia"/>
        </w:rPr>
        <w:t>⑧框架施工中严禁出现错台现象，每出现一次处以1000元的罚款，若工程框架施工完毕后未出现错台现象的项目部给予2000元的奖励。</w:t>
      </w:r>
    </w:p>
    <w:p w14:paraId="02E87B19">
      <w:pPr>
        <w:ind w:firstLine="480" w:firstLineChars="200"/>
      </w:pPr>
      <w:r>
        <w:rPr>
          <w:rFonts w:hint="eastAsia"/>
        </w:rPr>
        <w:t>⑨分公司月检查评为前3名的，每月给予1000元奖励，评为第3名以后的每月处以1000元的罚款，若被评为后3名的每月处以2000元的罚款。在总公司质量检查中被评为第1名的，当月给予3000元奖励，第2名的给予2000元奖励，第3名给予1000元奖励；被评为第3名以后的每月处以3000元的罚款，若被评为后3名的每月处以10000元的罚款。</w:t>
      </w:r>
    </w:p>
    <w:p w14:paraId="0ECB24B4">
      <w:pPr>
        <w:ind w:firstLine="480" w:firstLineChars="200"/>
      </w:pPr>
      <w:r>
        <w:rPr>
          <w:rFonts w:hint="eastAsia"/>
        </w:rPr>
        <w:t>⑩总包方向分包方提供各建筑（构筑）物的主轴线、控制点、控制线和高程点，并办理签认手续。一旦分包方接受了上述控制网点和高程点，则被认为已对其准确性作了充分的检验和确认，并承担任何可能由于测量、放线的误差而导致的损害和损失。分包方有义务对上述控制网点及高程点进行保护并做出明显标志。劳务分包方需根据总包控制线放出模板端头线及20控制线。</w:t>
      </w:r>
    </w:p>
    <w:p w14:paraId="4F17AE7F">
      <w:pPr>
        <w:ind w:firstLine="480" w:firstLineChars="200"/>
      </w:pPr>
      <w:r>
        <w:rPr>
          <w:rFonts w:ascii="Cambria Math" w:hAnsi="Cambria Math" w:cs="Cambria Math"/>
        </w:rPr>
        <w:t>⑪</w:t>
      </w:r>
      <w:r>
        <w:rPr>
          <w:rFonts w:hint="eastAsia"/>
        </w:rPr>
        <w:t>劳务分包人的土建施工和安装施工必须密切配合，如因配合不当因劳务分包人的原因而造成的一切损失由劳务分包人承担。</w:t>
      </w:r>
    </w:p>
    <w:p w14:paraId="01549BAD">
      <w:pPr>
        <w:ind w:firstLine="480" w:firstLineChars="200"/>
      </w:pPr>
      <w:r>
        <w:rPr>
          <w:rFonts w:hint="eastAsia"/>
        </w:rPr>
        <w:t>劳务分包人基础施工直至封顶完成，工程书面移交给总包方，期间主体框架构件成品保护由劳务分包人负责。</w:t>
      </w:r>
    </w:p>
    <w:p w14:paraId="20C0DFC2">
      <w:pPr>
        <w:ind w:firstLine="480" w:firstLineChars="200"/>
      </w:pPr>
      <w:r>
        <w:rPr>
          <w:rFonts w:hint="eastAsia"/>
        </w:rPr>
        <w:t>8、进度管理：</w:t>
      </w:r>
    </w:p>
    <w:p w14:paraId="4FCC9EC0">
      <w:pPr>
        <w:ind w:firstLine="480" w:firstLineChars="200"/>
      </w:pPr>
      <w:r>
        <w:rPr>
          <w:rFonts w:hint="eastAsia"/>
        </w:rPr>
        <w:t>①合同的要求工期分包方已充分考虑各项影响工期的因素，包括法定节假日、公休日在内，以及不利的气候（各种规模的下雨、雪、风、高温天气）等自然条件（按规定达到相关文件规定的不可抗力因素除外）和连续停电停水超过72小时以上等。</w:t>
      </w:r>
    </w:p>
    <w:p w14:paraId="590F0B58">
      <w:pPr>
        <w:ind w:firstLine="480" w:firstLineChars="200"/>
      </w:pPr>
      <w:r>
        <w:rPr>
          <w:rFonts w:hint="eastAsia"/>
        </w:rPr>
        <w:t>以上情况发生在施工关键工期线路上，造成工期拖延，且该拖延后果确属不可避免，分包方应在情况发生后3天内及时向总包方提出书面报告，经总包方签字盖章确认后，工期相应顺延，分包方窝工、停工费等在内的相关费用由双方协商解决（如是分包方造成的工期延误，则工期不能顺延，费用由分包方承担）。中标的劳务单位必须及时签订工期承诺书（后附工期承诺书）。</w:t>
      </w:r>
    </w:p>
    <w:p w14:paraId="3E26CA4B">
      <w:pPr>
        <w:ind w:firstLine="480" w:firstLineChars="200"/>
      </w:pPr>
      <w:r>
        <w:rPr>
          <w:rFonts w:hint="eastAsia"/>
        </w:rPr>
        <w:t>②保证工程工期按时完成，保证按照总包方要求及时组织施工人员进场施工，农忙季节、节假日、抢工阶段、工程收尾阶段、竣工维修阶段，施工人数满足施工要求。</w:t>
      </w:r>
    </w:p>
    <w:p w14:paraId="687A44D5">
      <w:pPr>
        <w:ind w:firstLine="480" w:firstLineChars="200"/>
      </w:pPr>
      <w:r>
        <w:rPr>
          <w:rFonts w:hint="eastAsia"/>
        </w:rPr>
        <w:t>③分包方如未能按总包方要求的各项工期节点完成相应的工程进度：则每拖延一天分包方应向总包方支付违约金10000元（业主原因除外），并且总包方有权将未完成的项目另行发包，费用由分包方承担。若分包方施工进度严重不满足总包方工期要求，则总包方有权要求分包方无条件退场，已完工程按照此部分造价的70%进行结算，且分包方须承担由此给总包方造成的全部损失。</w:t>
      </w:r>
    </w:p>
    <w:p w14:paraId="793CDACA">
      <w:pPr>
        <w:ind w:firstLine="480" w:firstLineChars="200"/>
      </w:pPr>
      <w:r>
        <w:rPr>
          <w:rFonts w:hint="eastAsia"/>
        </w:rPr>
        <w:t>④因分包方自身原因以及不可抗力的天气因素造成的承包范围内有积水（雪）的，并需要清理及抽（排）水的由分包方自行承担，费用已包含在其单价内，不再计取任何费用。</w:t>
      </w:r>
    </w:p>
    <w:p w14:paraId="37AA0B47">
      <w:pPr>
        <w:ind w:firstLine="480" w:firstLineChars="200"/>
      </w:pPr>
      <w:r>
        <w:rPr>
          <w:rFonts w:hint="eastAsia"/>
        </w:rPr>
        <w:t>9</w:t>
      </w:r>
      <w:r>
        <w:t>、</w:t>
      </w:r>
      <w:r>
        <w:rPr>
          <w:rFonts w:hint="eastAsia"/>
        </w:rPr>
        <w:t>安全文明及后勤管理费：</w:t>
      </w:r>
    </w:p>
    <w:p w14:paraId="62002823">
      <w:pPr>
        <w:ind w:firstLine="480" w:firstLineChars="200"/>
      </w:pPr>
      <w:r>
        <w:rPr>
          <w:rFonts w:hint="eastAsia"/>
        </w:rPr>
        <w:t>A、模板拆除后（地上主体5日内，地下车库10日内），架管、扣件、顶托、模板、木方、钢木方等按项目部要求分别运输至指定位置（特别注意：包含模板制作、材料器材运输、安装、拆除，包含钢管、扣件分离，钢管按长度分类钢管一头齐堆放，模板、木方、钢木方要求分开存放，半张及以上模板、木方、钢木方起钉、归整、运至指定料场等），如分包人拒绝或未在规定期限内完成，项目部有权自行组织人员运输或堆放，费用在劳务结算中双倍扣除；满堂脚手架扣件损坏的修复由分包人负责（包括扣件的丝帽和丝杆的购买），如分包人拒绝修复，项目部有权自行组织人员修复，所需材料及人工费用在劳务月结算双倍扣除此费用。</w:t>
      </w:r>
    </w:p>
    <w:p w14:paraId="1C283591">
      <w:pPr>
        <w:ind w:firstLine="480" w:firstLineChars="200"/>
      </w:pPr>
      <w:r>
        <w:rPr>
          <w:rFonts w:hint="eastAsia"/>
        </w:rPr>
        <w:t>B、模板拆除后模板和木方按项目部要求运输至项目部指定位置，且必须分类堆放；木方分规格一头齐堆放，且必须起钉，木胶板分规格一头齐堆放，且模板必须起钉子；模板、木方端头部位均需涂刷红色油漆，油漆由分包自供；</w:t>
      </w:r>
    </w:p>
    <w:p w14:paraId="13F68C90">
      <w:pPr>
        <w:ind w:firstLine="480" w:firstLineChars="200"/>
      </w:pPr>
      <w:r>
        <w:rPr>
          <w:rFonts w:hint="eastAsia"/>
        </w:rPr>
        <w:t>C、主体施工阶段，主体框架楼层混凝土浇筑完毕，模板、满堂支撑架清理完毕2天内，混凝土班组应负责完成该楼层卫生清理。</w:t>
      </w:r>
    </w:p>
    <w:p w14:paraId="23689C8D">
      <w:pPr>
        <w:ind w:firstLine="480" w:firstLineChars="200"/>
      </w:pPr>
      <w:r>
        <w:rPr>
          <w:rFonts w:hint="eastAsia"/>
        </w:rPr>
        <w:t>D、钢筋班组负责现场所有钢筋加工机具设备的日常保养和清理工作，要求每天下班前对所有钢筋机具设备进行清洗及打油保养，且应满足公司的管理标准，如若保养或清理不及时，项目部有权安排其他劳务完善，所用费用从钢筋班组劳务双倍扣除。</w:t>
      </w:r>
    </w:p>
    <w:p w14:paraId="188B1D32">
      <w:pPr>
        <w:ind w:firstLine="480" w:firstLineChars="200"/>
      </w:pPr>
      <w:r>
        <w:rPr>
          <w:rFonts w:hint="eastAsia"/>
        </w:rPr>
        <w:t>E、钢筋班组应保持楼层各施工作业面及钢筋加工场地的施工规范、材料规整，文明施工卫生清理等，如钢筋班组劳务达不到规范或公司要求，项目部两次督促通知劳务分包人仍不按要求整改，项目部有权自主找劳务队伍施工、修复、规整、清理等（每个零工400元/天），其所发生的费用将从劳务月结算中扣除；</w:t>
      </w:r>
    </w:p>
    <w:p w14:paraId="498D8782">
      <w:pPr>
        <w:ind w:firstLine="480" w:firstLineChars="200"/>
      </w:pPr>
      <w:r>
        <w:rPr>
          <w:rFonts w:hint="eastAsia"/>
        </w:rPr>
        <w:t>F、材料使用后剩余后废料，必须按项目部现场规划要求运送至指定地点存放，必须保证每天作业面工完料尽场地清，保证钢筋加工区的规整，清洁；</w:t>
      </w:r>
    </w:p>
    <w:p w14:paraId="2C6AF9E0">
      <w:pPr>
        <w:ind w:firstLine="480" w:firstLineChars="200"/>
      </w:pPr>
      <w:r>
        <w:rPr>
          <w:rFonts w:hint="eastAsia"/>
        </w:rPr>
        <w:t>G、现场安全文明施工中应由主体劳务承担的施工内容，必须按现行规范及分公司要求实施落实(例如高模板支架的安全平网防护等）。如劳务公司达不到规范或公司要求，项目部两次督促通知劳务分包人仍不按要求整改，项目部有权自主找劳务队伍施工或恢复完善（每个零工400元/天），出工多少项目部有权不通知劳务分包人，其所发生的费用将从劳务月结算中扣除；</w:t>
      </w:r>
    </w:p>
    <w:p w14:paraId="650596FC">
      <w:pPr>
        <w:ind w:firstLine="480" w:firstLineChars="200"/>
      </w:pPr>
      <w:r>
        <w:rPr>
          <w:rFonts w:hint="eastAsia"/>
        </w:rPr>
        <w:t>H、材料使用完后，必须按项目部现场规划要求运送至指定地点存放，并且按照各种材料不同规格分类摆放必须保证每天作业面工完料尽场地清，保证专业加工区的整洁；</w:t>
      </w:r>
    </w:p>
    <w:p w14:paraId="4BC92654">
      <w:pPr>
        <w:ind w:firstLine="480" w:firstLineChars="200"/>
        <w:rPr>
          <w:color w:val="auto"/>
          <w:highlight w:val="none"/>
        </w:rPr>
      </w:pPr>
      <w:r>
        <w:rPr>
          <w:rFonts w:hint="eastAsia"/>
          <w:color w:val="auto"/>
          <w:highlight w:val="none"/>
        </w:rPr>
        <w:t>I、生活区劳务宿舍的卫生，物品摆放整齐，被褥规整等。</w:t>
      </w:r>
    </w:p>
    <w:p w14:paraId="2DA622E4">
      <w:pPr>
        <w:ind w:firstLine="480" w:firstLineChars="200"/>
      </w:pPr>
      <w:r>
        <w:rPr>
          <w:rFonts w:hint="eastAsia"/>
        </w:rPr>
        <w:t>J、现场安全文明施工所发生的非脚手架范围的安全防护、以及工程范围内的现场文明施工，要求必须达到省级文明工地标准。如劳务公司达不到安全文明施工要求，项目部两次督促通知劳务分包人仍不按要求整改，项目部有权自主找劳务队伍收拾现场（每个零工400元/天），出工多少项目部有权不通知劳务分包人，其所发生的费用将从劳务月结算中扣除；</w:t>
      </w:r>
    </w:p>
    <w:p w14:paraId="52470F6A">
      <w:pPr>
        <w:ind w:firstLine="480" w:firstLineChars="200"/>
      </w:pPr>
      <w:r>
        <w:rPr>
          <w:rFonts w:hint="eastAsia"/>
        </w:rPr>
        <w:t>K、劳务施工人员统一佩戴符合安全生产规定的黄色安全帽，劳务管理人员佩戴蓝色的安全帽，安全帽必须在保质期限内；工人进入现场需统一着装印有威建一公司标识的绿色马甲，管理人员统一着装印有威建一公司标识的橙黄色马甲，费用应考虑在报价中，不再单独计费。如分包方采购资金发生困难时，可以书面形式委托总包方代为采购，其费用在分包方当月工程款中扣除。</w:t>
      </w:r>
    </w:p>
    <w:p w14:paraId="373809FD">
      <w:pPr>
        <w:ind w:firstLine="480" w:firstLineChars="200"/>
      </w:pPr>
      <w:r>
        <w:rPr>
          <w:rFonts w:hint="eastAsia"/>
        </w:rPr>
        <w:t>L、若分包人安全文明施工日常管理到位达到项目部、分公司、总公司的满意，能按照项目部的要求组织施工，分包人与项目部配合默契，奖分包人5000元。</w:t>
      </w:r>
    </w:p>
    <w:p w14:paraId="597B1746">
      <w:pPr>
        <w:ind w:firstLine="480" w:firstLineChars="200"/>
      </w:pPr>
      <w:r>
        <w:rPr>
          <w:rFonts w:hint="eastAsia"/>
        </w:rPr>
        <w:t>M、因劳务分包人违反有关安全施工操作规范造成的一切安全事故由劳务分包人自己负责，承包人不承担任何责任。</w:t>
      </w:r>
    </w:p>
    <w:p w14:paraId="17F67516">
      <w:pPr>
        <w:ind w:firstLine="480" w:firstLineChars="200"/>
      </w:pPr>
      <w:r>
        <w:rPr>
          <w:rFonts w:hint="eastAsia"/>
        </w:rPr>
        <w:t>N、安全、环保等应尽事宜执行公司各级管理制度及项目部管理制度。</w:t>
      </w:r>
    </w:p>
    <w:p w14:paraId="0A557BB1">
      <w:pPr>
        <w:ind w:firstLine="480" w:firstLineChars="200"/>
        <w:rPr>
          <w:highlight w:val="yellow"/>
        </w:rPr>
      </w:pPr>
      <w:r>
        <w:rPr>
          <w:rFonts w:hint="eastAsia"/>
          <w:highlight w:val="yellow"/>
        </w:rPr>
        <w:t>P、施工现场项目为中标单位提供</w:t>
      </w:r>
      <w:r>
        <w:rPr>
          <w:rFonts w:hint="eastAsia"/>
          <w:highlight w:val="yellow"/>
          <w:lang w:val="en-US" w:eastAsia="zh-CN"/>
        </w:rPr>
        <w:t>1</w:t>
      </w:r>
      <w:r>
        <w:rPr>
          <w:rFonts w:hint="eastAsia"/>
          <w:highlight w:val="yellow"/>
        </w:rPr>
        <w:t>间办公室，中标单位多余人员自行在外租赁房屋及进出车辆费用，均应考虑在报价中。在外住宿条件及管理规定应按照威建集团相关规定执行。</w:t>
      </w:r>
    </w:p>
    <w:p w14:paraId="251C5ED1">
      <w:pPr>
        <w:ind w:firstLine="480" w:firstLineChars="200"/>
      </w:pPr>
      <w:r>
        <w:rPr>
          <w:rFonts w:hint="eastAsia"/>
        </w:rPr>
        <w:t>Q、主体施工时无法一次成型的造型需后续二次施工的，不另行增加费用。</w:t>
      </w:r>
    </w:p>
    <w:p w14:paraId="33F0BEB9">
      <w:r>
        <w:rPr>
          <w:rFonts w:hint="eastAsia"/>
        </w:rPr>
        <w:t>安全文明及后勤管理项目包括上述内容并不限于上述内容。考虑过程中采取相应管控措施，本工程安全文明及后勤管理增补3元/平放米实行分解制，即1</w:t>
      </w:r>
      <w:r>
        <w:t>+1+1</w:t>
      </w:r>
      <w:r>
        <w:rPr>
          <w:rFonts w:hint="eastAsia"/>
        </w:rPr>
        <w:t>。劳务严格遵守合同约定及时按要求完成给予满额（3元/平方米），否则项目部有权进行扣除。</w:t>
      </w:r>
    </w:p>
    <w:p w14:paraId="3233A643">
      <w:pPr>
        <w:ind w:firstLine="480" w:firstLineChars="200"/>
        <w:rPr>
          <w:b/>
          <w:bCs/>
        </w:rPr>
      </w:pPr>
      <w:r>
        <w:rPr>
          <w:rFonts w:hint="eastAsia"/>
        </w:rPr>
        <w:t>10、</w:t>
      </w:r>
      <w:r>
        <w:rPr>
          <w:rFonts w:hint="eastAsia"/>
          <w:b/>
          <w:bCs/>
        </w:rPr>
        <w:t>材料设备管理</w:t>
      </w:r>
    </w:p>
    <w:p w14:paraId="7D51D8CF">
      <w:pPr>
        <w:ind w:firstLine="480" w:firstLineChars="200"/>
      </w:pPr>
      <w:r>
        <w:rPr>
          <w:rFonts w:hint="eastAsia"/>
        </w:rPr>
        <w:t>①主体框架钢筋、木方、竹胶板严禁乱切乱截，如发现一次视情节严重情况给予1000-5000元罚款。</w:t>
      </w:r>
    </w:p>
    <w:p w14:paraId="4D9A9244">
      <w:pPr>
        <w:ind w:firstLine="480" w:firstLineChars="200"/>
      </w:pPr>
      <w:r>
        <w:rPr>
          <w:rFonts w:hint="eastAsia"/>
        </w:rPr>
        <w:t xml:space="preserve">②为了最大限度降低工程材料消耗，分包方依据企业各项物资管理制度，结合工程的特点，与总包方签订限额领料协议，施工中办理物资验收、领料、对账等相关手续，由其签字确认的往来手续分包方均予以认可，并作为双方办理结算的依据。扣件和扣件螺母（损耗为2%）、各种小工具由项目部统一拨付给劳务公司保管，上述周转器材的损耗标准执行集团公司及分公司统一标准，超出部分由分包人按全价赔偿。 </w:t>
      </w:r>
    </w:p>
    <w:p w14:paraId="5957202C">
      <w:pPr>
        <w:ind w:firstLine="480" w:firstLineChars="200"/>
      </w:pPr>
      <w:r>
        <w:rPr>
          <w:rFonts w:hint="eastAsia"/>
        </w:rPr>
        <w:t>③电线及电缆由项目部统一拨付给分包人，由分包人负责保管使用,若在施工过程中损坏，出现接头或破皮，不符合分公司要求的，长度不足50m即为废线，项目部收回后要按原价从分包人的结算中予以扣除，丢失的按原价的2倍从分包人的结算中予以扣除或分包人重新给项目部采购。</w:t>
      </w:r>
    </w:p>
    <w:p w14:paraId="32B04E8F">
      <w:pPr>
        <w:ind w:firstLine="480" w:firstLineChars="200"/>
        <w:rPr>
          <w:szCs w:val="21"/>
        </w:rPr>
      </w:pPr>
      <w:r>
        <w:rPr>
          <w:rFonts w:hint="eastAsia"/>
        </w:rPr>
        <w:t>④</w:t>
      </w:r>
      <w:r>
        <w:rPr>
          <w:rFonts w:hint="eastAsia" w:ascii="宋体" w:hAnsi="宋体" w:cs="宋体"/>
        </w:rPr>
        <w:t>劳务应自行采购的小五金及其辅材满足总包方要求的品牌、技术性能、质量标准，不得出现假冒伪劣产品使用的现象，否则承担由此引起的一切后果，并赔偿所有损失，主要包括但不限于：</w:t>
      </w:r>
      <w:r>
        <w:t>对拉螺母、元宝垫、KT板、铁钉、钢钉、铁丝、pvc 管、</w:t>
      </w:r>
      <w:r>
        <w:rPr>
          <w:rFonts w:hint="eastAsia" w:ascii="宋体" w:hAnsi="宋体" w:cs="宋体"/>
        </w:rPr>
        <w:t>钢筋绑扎铅丝、</w:t>
      </w:r>
      <w:r>
        <w:t>电焊条、木工锯片、无齿锯片、</w:t>
      </w:r>
      <w:r>
        <w:rPr>
          <w:rFonts w:hint="eastAsia"/>
        </w:rPr>
        <w:t>塑料膜</w:t>
      </w:r>
      <w:r>
        <w:t>及照明灯具、笤帚、扫帚、施工线、双面胶带、安全帽、安全带、对讲机及其电池、口哨、信号旗等现场通讯对讲联络器材、凿子、铁锤、铁锨、铁镐、水鞋、石笔、粉笔、毛笔、</w:t>
      </w:r>
      <w:r>
        <w:rPr>
          <w:rFonts w:hint="eastAsia" w:ascii="宋体" w:hAnsi="宋体" w:cs="宋体"/>
        </w:rPr>
        <w:t>红蓝铅笔、</w:t>
      </w:r>
      <w:r>
        <w:t>手电筒及其电池、多用插座、插头、开关、麻绳、油麻、雨衣、电焊手套、蛇皮管、水带、水带接头、门锁、墨汁、墨斗、</w:t>
      </w:r>
      <w:r>
        <w:rPr>
          <w:rFonts w:hint="eastAsia" w:ascii="宋体" w:hAnsi="宋体" w:cs="宋体"/>
        </w:rPr>
        <w:t>钢筋钳子、</w:t>
      </w:r>
      <w:r>
        <w:t>水平管、线坠、电锤及钻头、钢丝刷、拖把</w:t>
      </w:r>
      <w:r>
        <w:rPr>
          <w:rFonts w:hint="eastAsia"/>
        </w:rPr>
        <w:t>、黄胶带、山形卡、</w:t>
      </w:r>
      <w:r>
        <w:rPr>
          <w:rFonts w:hint="eastAsia"/>
          <w:b/>
          <w:bCs/>
        </w:rPr>
        <w:t>对拉螺栓、套筒、水泥垫块、水泥支撑</w:t>
      </w:r>
      <w:r>
        <w:rPr>
          <w:rFonts w:hint="eastAsia"/>
        </w:rPr>
        <w:t>、</w:t>
      </w:r>
      <w:r>
        <w:rPr>
          <w:rFonts w:hint="eastAsia" w:ascii="宋体" w:hAnsi="宋体" w:cs="宋体"/>
        </w:rPr>
        <w:t>钢筋垫、</w:t>
      </w:r>
      <w:r>
        <w:rPr>
          <w:rFonts w:hint="eastAsia"/>
        </w:rPr>
        <w:t>油漆、防锈漆、脱模剂、后浇带及分隔缝处快易收口网、</w:t>
      </w:r>
      <w:r>
        <w:rPr>
          <w:rFonts w:hint="eastAsia" w:ascii="宋体" w:hAnsi="宋体" w:cs="宋体"/>
        </w:rPr>
        <w:t>不同标号砼交界处封堵材料、</w:t>
      </w:r>
      <w:r>
        <w:rPr>
          <w:rFonts w:hint="eastAsia"/>
        </w:rPr>
        <w:t>耐候胶（模板拼缝不严的地方用）、钢丝绳及配套的花篮螺栓（斜拉对顶用）、模板眼堵帽、角铁和泡沫纸（底部封浆用）、绿色马甲及</w:t>
      </w:r>
      <w:r>
        <w:t>各种低值易耗品等所有辅材等应考虑在综合单价中，不再单独计费。</w:t>
      </w:r>
    </w:p>
    <w:p w14:paraId="300FFA1F">
      <w:pPr>
        <w:ind w:firstLine="480" w:firstLineChars="200"/>
      </w:pPr>
      <w:r>
        <w:rPr>
          <w:rFonts w:hint="eastAsia"/>
        </w:rPr>
        <w:t>劳务合同签订时，必须明确劳务企业设置专职保管员一人，项目部提供劳务保管仓库一间，所有小五金要求必须由劳务企业统一购买并入库，项目部每个月对劳务企业材料采购检查是否属实，若劳务企业未按公司要求执行，则在劳务结算中双倍扣除小五金的费用，作为处罚。</w:t>
      </w:r>
    </w:p>
    <w:p w14:paraId="55692A77">
      <w:pPr>
        <w:ind w:firstLine="480" w:firstLineChars="200"/>
      </w:pPr>
      <w:r>
        <w:rPr>
          <w:rFonts w:hint="eastAsia"/>
        </w:rPr>
        <w:t>⑤小推车及招标方提供塔吊、电锯、钢筋加工设备以外的施工工具由中标人负责，如发现劳务分包人有浪费材料现象，工程承包人有权对劳务分包人处以相应材料价格2～10倍罚款；</w:t>
      </w:r>
    </w:p>
    <w:p w14:paraId="112D7CBD">
      <w:pPr>
        <w:ind w:firstLine="480" w:firstLineChars="200"/>
      </w:pPr>
      <w:r>
        <w:rPr>
          <w:rFonts w:hint="eastAsia"/>
        </w:rPr>
        <w:t>⑥劳务分包人对工程承包人提供的设备、机具有人为损坏的，费用由劳务分包人全额承担；</w:t>
      </w:r>
    </w:p>
    <w:p w14:paraId="75751FA2">
      <w:pPr>
        <w:ind w:firstLine="480" w:firstLineChars="200"/>
      </w:pPr>
      <w:r>
        <w:rPr>
          <w:rFonts w:hint="eastAsia"/>
        </w:rPr>
        <w:t>1</w:t>
      </w:r>
      <w:r>
        <w:t>2</w:t>
      </w:r>
      <w:r>
        <w:rPr>
          <w:rFonts w:hint="eastAsia"/>
        </w:rPr>
        <w:t>、其它方面要求：</w:t>
      </w:r>
    </w:p>
    <w:p w14:paraId="5A28D4AC">
      <w:pPr>
        <w:ind w:firstLine="480" w:firstLineChars="200"/>
      </w:pPr>
      <w:r>
        <w:rPr>
          <w:rFonts w:hint="eastAsia"/>
        </w:rPr>
        <w:t>①分包方同意不得以任何借口拒绝接收总包方发予的书面资料，否则，每次承担1000元~5000元违约金扣款。劳务施工队伍按图施工，如有特殊情况必须经过项目部同意，否则此部位不予结算。配合我方试化验工作，并保证及时性。</w:t>
      </w:r>
    </w:p>
    <w:p w14:paraId="44F6A486">
      <w:pPr>
        <w:ind w:firstLine="480" w:firstLineChars="200"/>
      </w:pPr>
      <w:r>
        <w:rPr>
          <w:rFonts w:hint="eastAsia"/>
        </w:rPr>
        <w:t>②涉及需要签证的内容劳务48小时内上报申请签证资料，必须带有涉及签证内容的过程照片、影像资料，否则承包人有权不予办理。</w:t>
      </w:r>
    </w:p>
    <w:p w14:paraId="7994CA54">
      <w:pPr>
        <w:ind w:firstLine="480" w:firstLineChars="200"/>
      </w:pPr>
      <w:r>
        <w:rPr>
          <w:rFonts w:hint="eastAsia"/>
        </w:rPr>
        <w:t>③劳务公司从工地向外工地调动劳动力必须征得项目经理的同意方可调出人员，否则项目部有权对其罚款2000元～10000元。</w:t>
      </w:r>
    </w:p>
    <w:p w14:paraId="75843325">
      <w:pPr>
        <w:ind w:firstLine="480" w:firstLineChars="200"/>
      </w:pPr>
      <w:r>
        <w:rPr>
          <w:rFonts w:hint="eastAsia"/>
        </w:rPr>
        <w:t xml:space="preserve">④本合同工程在承包范围以外出现的零工小工按180元/个、木工、钢筋工按400元/个，项目部需要人员劳务分包人必须提供，必须服从项目部的统一调度，项目部需要的配合放线技术工，劳务分包人必须提供。 </w:t>
      </w:r>
    </w:p>
    <w:p w14:paraId="7C5E5641">
      <w:pPr>
        <w:ind w:firstLine="480" w:firstLineChars="200"/>
      </w:pPr>
      <w:r>
        <w:rPr>
          <w:rFonts w:hint="eastAsia"/>
        </w:rPr>
        <w:t>⑤分包方承诺有能力在本合同约定付款条件下完成合同内容，不因任何原因拖欠民工工资。不因任何原因而在总包方办公场所、业主方办公场所、施工现场、政府机关等任何地方以任何形式闹事, 每发生一次，分包方应向总包方支付50000元的违约金，总包方有权在向分包方发出书面通知后直接在应支付分包方的工程进度款中扣除，且不免除分包方赔偿对总包方造成的一切损失的责任。工地现场劳务队伍之间不得出现打架斗殴现象，如出现一次视情节轻重给予5000-20000元罚款，出现的一切损失由打架双方承担。工地发现盗窃行为对所在班组处以5</w:t>
      </w:r>
      <w:r>
        <w:t>000</w:t>
      </w:r>
      <w:r>
        <w:rPr>
          <w:rFonts w:hint="eastAsia"/>
        </w:rPr>
        <w:t>-</w:t>
      </w:r>
      <w:r>
        <w:t>10000</w:t>
      </w:r>
      <w:r>
        <w:rPr>
          <w:rFonts w:hint="eastAsia"/>
        </w:rPr>
        <w:t>元罚款，当事人交由公安机关处理。</w:t>
      </w:r>
    </w:p>
    <w:p w14:paraId="33353EA6">
      <w:pPr>
        <w:ind w:firstLine="480" w:firstLineChars="200"/>
      </w:pPr>
      <w:r>
        <w:rPr>
          <w:rFonts w:hint="eastAsia"/>
        </w:rPr>
        <w:t xml:space="preserve">⑥分包人不得以月进度款不到位等原因而撤走本工程的施工人员，从而造成工期的延误，若出现此现象所造成的一切工期损失和工地的损失由分包人承担，并从分包人的结算中予以扣除； </w:t>
      </w:r>
    </w:p>
    <w:p w14:paraId="258DA5E6">
      <w:pPr>
        <w:ind w:firstLine="480" w:firstLineChars="200"/>
      </w:pPr>
      <w:r>
        <w:rPr>
          <w:rFonts w:hint="eastAsia"/>
        </w:rPr>
        <w:t>⑦劳务队伍进入施工现场，必须持有营业执照、税务登记及组织机构代码证。所有工人进入施工现场前必须将工人身份证信息报项目部劳资员处办理工伤保险。发生工伤事故，由分公司统一处理，维护劳务人员权益，所发生费用按相关规定执行。未办理工伤保险的劳务队伍严禁进场施工，如因进场工人未及时办理工伤保险而无法出险理赔，施工过程中发生任何工伤事故所需要的费用与威建一公司及所在项目部无关，由劳务队伍负责人全部承担。</w:t>
      </w:r>
    </w:p>
    <w:p w14:paraId="5A9A6232">
      <w:pPr>
        <w:ind w:firstLine="480" w:firstLineChars="200"/>
      </w:pPr>
      <w:r>
        <w:rPr>
          <w:rFonts w:hint="eastAsia"/>
        </w:rPr>
        <w:t>⑧工人出入场必须走实名制通道，上下班打卡记录考勤，每月工资按照实际考勤数发放，任何人不允许虚打考勤，不得出现在本工地打卡然后去其它工地务工的情况，违者一次罚款2000元。如有工人次日不进场，领班需提前上报名单予以退场，避免考勤率过低的情况，再次进场需提前上报，每月打卡考勤率要达到90%以上，违规一次罚款5000元。工人的合同、每月考勤表、工资表必须由工人本人签字确认，不得代签。</w:t>
      </w:r>
    </w:p>
    <w:p w14:paraId="464BA9E9">
      <w:pPr>
        <w:ind w:firstLine="480" w:firstLineChars="200"/>
      </w:pPr>
      <w:r>
        <w:rPr>
          <w:rFonts w:hint="eastAsia"/>
        </w:rPr>
        <w:t>⑨所有进场人员必须要有保险，发现没有保险的立即清出，并对老板予以警告，如再犯予以罚款2000元。如在此种情况下，发生工伤事故，工伤事故所需要的费用与威建一公司及所在项目部无关，由劳务队伍负责人全部承担。</w:t>
      </w:r>
    </w:p>
    <w:p w14:paraId="1872F6A9">
      <w:pPr>
        <w:ind w:firstLine="480" w:firstLineChars="200"/>
      </w:pPr>
      <w:r>
        <w:rPr>
          <w:rFonts w:hint="eastAsia"/>
        </w:rPr>
        <w:t>⑩若劳务单位未按项目部要求时间完成上述作业，项目部有权高价从外聘请其他劳务队伍施工，所产生的费用由中标劳务单位负责。</w:t>
      </w:r>
    </w:p>
    <w:p w14:paraId="538F8B60">
      <w:pPr>
        <w:ind w:firstLine="480" w:firstLineChars="200"/>
      </w:pPr>
      <w:r>
        <w:rPr>
          <w:rFonts w:hint="eastAsia"/>
        </w:rPr>
        <w:fldChar w:fldCharType="begin"/>
      </w:r>
      <w:r>
        <w:rPr>
          <w:rFonts w:hint="eastAsia"/>
        </w:rPr>
        <w:instrText xml:space="preserve"> EQ \o\ac(○,11)</w:instrText>
      </w:r>
      <w:r>
        <w:rPr>
          <w:rFonts w:hint="eastAsia"/>
        </w:rPr>
        <w:fldChar w:fldCharType="end"/>
      </w:r>
      <w:r>
        <w:rPr>
          <w:rFonts w:hint="eastAsia"/>
        </w:rPr>
        <w:t>劳务单位需自行去现场勘查现场施工条件，若遇施工有难度的事项，均需考虑到投标报价中，施工结算过程中均不另行增加任何费用。</w:t>
      </w:r>
    </w:p>
    <w:p w14:paraId="2063C507">
      <w:pPr>
        <w:ind w:firstLine="480" w:firstLineChars="200"/>
      </w:pPr>
      <w:r>
        <w:rPr>
          <w:rFonts w:hint="eastAsia"/>
        </w:rPr>
        <w:t>十、评标办法</w:t>
      </w:r>
    </w:p>
    <w:p w14:paraId="36B917BD">
      <w:pPr>
        <w:ind w:firstLine="480" w:firstLineChars="200"/>
        <w:rPr>
          <w:highlight w:val="green"/>
        </w:rPr>
      </w:pPr>
      <w:r>
        <w:rPr>
          <w:rFonts w:hint="eastAsia"/>
        </w:rPr>
        <w:t>按划分不同施工段的分项报价（后附报价表）。</w:t>
      </w:r>
    </w:p>
    <w:p w14:paraId="325D3CE1">
      <w:pPr>
        <w:ind w:firstLine="480" w:firstLineChars="200"/>
      </w:pPr>
      <w:r>
        <w:rPr>
          <w:rFonts w:hint="eastAsia"/>
        </w:rPr>
        <w:t>十一、特别强调事项</w:t>
      </w:r>
    </w:p>
    <w:p w14:paraId="10B3C450">
      <w:pPr>
        <w:ind w:firstLine="480" w:firstLineChars="200"/>
        <w:rPr>
          <w:u w:val="thick"/>
        </w:rPr>
        <w:sectPr>
          <w:headerReference r:id="rId7" w:type="default"/>
          <w:footerReference r:id="rId8" w:type="default"/>
          <w:pgSz w:w="11906" w:h="16838"/>
          <w:pgMar w:top="1020" w:right="1134" w:bottom="1417" w:left="1134" w:header="720" w:footer="720" w:gutter="0"/>
          <w:pgNumType w:fmt="decimalFullWidth"/>
          <w:cols w:space="720" w:num="1"/>
        </w:sectPr>
      </w:pPr>
      <w:r>
        <w:rPr>
          <w:rFonts w:hint="eastAsia"/>
        </w:rPr>
        <w:t>本工程中标人中标后必须于3日内签订合同，且中标后各分项价格不再调整。因此要求投标的劳务企业必须认真研究图纸，全面充分考虑施工图纸，详细了解工程施工难易情况，风险自负。</w:t>
      </w:r>
      <w:r>
        <w:rPr>
          <w:rFonts w:hint="eastAsia"/>
          <w:u w:val="thick"/>
        </w:rPr>
        <w:t>劳务施工合同签订后，原则上不准调整价格。不认真研究图纸的劳务企业，取消其投标。</w:t>
      </w:r>
    </w:p>
    <w:tbl>
      <w:tblPr>
        <w:tblStyle w:val="12"/>
        <w:tblW w:w="15250" w:type="dxa"/>
        <w:jc w:val="center"/>
        <w:tblLayout w:type="fixed"/>
        <w:tblCellMar>
          <w:top w:w="0" w:type="dxa"/>
          <w:left w:w="10" w:type="dxa"/>
          <w:bottom w:w="0" w:type="dxa"/>
          <w:right w:w="10" w:type="dxa"/>
        </w:tblCellMar>
      </w:tblPr>
      <w:tblGrid>
        <w:gridCol w:w="15250"/>
      </w:tblGrid>
      <w:tr w14:paraId="46DE5467">
        <w:tblPrEx>
          <w:tblCellMar>
            <w:top w:w="0" w:type="dxa"/>
            <w:left w:w="10" w:type="dxa"/>
            <w:bottom w:w="0" w:type="dxa"/>
            <w:right w:w="10" w:type="dxa"/>
          </w:tblCellMar>
        </w:tblPrEx>
        <w:trPr>
          <w:trHeight w:val="9045" w:hRule="atLeast"/>
          <w:jc w:val="center"/>
        </w:trPr>
        <w:tc>
          <w:tcPr>
            <w:tcW w:w="15250" w:type="dxa"/>
            <w:tcBorders>
              <w:tl2br w:val="nil"/>
              <w:tr2bl w:val="nil"/>
            </w:tcBorders>
            <w:shd w:val="clear" w:color="auto" w:fill="auto"/>
            <w:tcMar>
              <w:top w:w="0" w:type="dxa"/>
              <w:left w:w="108" w:type="dxa"/>
              <w:bottom w:w="0" w:type="dxa"/>
              <w:right w:w="108" w:type="dxa"/>
            </w:tcMar>
            <w:vAlign w:val="center"/>
          </w:tcPr>
          <w:p w14:paraId="028393FC">
            <w:pPr>
              <w:rPr>
                <w:sz w:val="32"/>
                <w:szCs w:val="32"/>
              </w:rPr>
            </w:pPr>
            <w:r>
              <w:rPr>
                <w:rFonts w:hint="eastAsia"/>
              </w:rPr>
              <w:t xml:space="preserve">附件一： </w:t>
            </w:r>
          </w:p>
          <w:p w14:paraId="77E480A3">
            <w:pPr>
              <w:jc w:val="center"/>
            </w:pPr>
            <w:r>
              <w:rPr>
                <w:rFonts w:hint="eastAsia"/>
                <w:lang w:val="en-US" w:eastAsia="zh-CN"/>
              </w:rPr>
              <w:t>威海市第二实验高级中学</w:t>
            </w:r>
            <w:r>
              <w:rPr>
                <w:rFonts w:hint="eastAsia"/>
              </w:rPr>
              <w:t>主体劳务分包投标报价一览表</w:t>
            </w:r>
          </w:p>
          <w:tbl>
            <w:tblPr>
              <w:tblStyle w:val="12"/>
              <w:tblW w:w="14928" w:type="dxa"/>
              <w:jc w:val="center"/>
              <w:tblLayout w:type="fixed"/>
              <w:tblCellMar>
                <w:top w:w="0" w:type="dxa"/>
                <w:left w:w="108" w:type="dxa"/>
                <w:bottom w:w="0" w:type="dxa"/>
                <w:right w:w="108" w:type="dxa"/>
              </w:tblCellMar>
            </w:tblPr>
            <w:tblGrid>
              <w:gridCol w:w="587"/>
              <w:gridCol w:w="686"/>
              <w:gridCol w:w="2704"/>
              <w:gridCol w:w="680"/>
              <w:gridCol w:w="1186"/>
              <w:gridCol w:w="1280"/>
              <w:gridCol w:w="1254"/>
              <w:gridCol w:w="6551"/>
            </w:tblGrid>
            <w:tr w14:paraId="2D70DB37">
              <w:tblPrEx>
                <w:tblCellMar>
                  <w:top w:w="0" w:type="dxa"/>
                  <w:left w:w="108" w:type="dxa"/>
                  <w:bottom w:w="0" w:type="dxa"/>
                  <w:right w:w="108" w:type="dxa"/>
                </w:tblCellMar>
              </w:tblPrEx>
              <w:trPr>
                <w:trHeight w:val="830" w:hRule="atLeast"/>
                <w:jc w:val="center"/>
              </w:trPr>
              <w:tc>
                <w:tcPr>
                  <w:tcW w:w="587" w:type="dxa"/>
                  <w:tcBorders>
                    <w:top w:val="single" w:color="000000" w:sz="4" w:space="0"/>
                    <w:left w:val="single" w:color="000000" w:sz="4" w:space="0"/>
                    <w:bottom w:val="single" w:color="auto" w:sz="4" w:space="0"/>
                    <w:right w:val="single" w:color="000000" w:sz="4" w:space="0"/>
                  </w:tcBorders>
                  <w:shd w:val="clear" w:color="auto" w:fill="auto"/>
                  <w:vAlign w:val="center"/>
                </w:tcPr>
                <w:p w14:paraId="6CBB7018">
                  <w:pPr>
                    <w:jc w:val="center"/>
                    <w:rPr>
                      <w:sz w:val="18"/>
                      <w:szCs w:val="18"/>
                    </w:rPr>
                  </w:pPr>
                  <w:r>
                    <w:rPr>
                      <w:rFonts w:hint="eastAsia"/>
                      <w:sz w:val="18"/>
                      <w:szCs w:val="18"/>
                    </w:rPr>
                    <w:t>编号</w:t>
                  </w:r>
                </w:p>
              </w:tc>
              <w:tc>
                <w:tcPr>
                  <w:tcW w:w="3390" w:type="dxa"/>
                  <w:gridSpan w:val="2"/>
                  <w:tcBorders>
                    <w:top w:val="single" w:color="000000" w:sz="4" w:space="0"/>
                    <w:left w:val="nil"/>
                    <w:bottom w:val="single" w:color="auto" w:sz="4" w:space="0"/>
                    <w:right w:val="single" w:color="000000" w:sz="4" w:space="0"/>
                  </w:tcBorders>
                  <w:shd w:val="clear" w:color="auto" w:fill="auto"/>
                  <w:vAlign w:val="center"/>
                </w:tcPr>
                <w:p w14:paraId="40DF8EE5">
                  <w:pPr>
                    <w:jc w:val="center"/>
                    <w:rPr>
                      <w:sz w:val="18"/>
                      <w:szCs w:val="18"/>
                    </w:rPr>
                  </w:pPr>
                  <w:r>
                    <w:rPr>
                      <w:rFonts w:hint="eastAsia"/>
                      <w:sz w:val="18"/>
                      <w:szCs w:val="18"/>
                    </w:rPr>
                    <w:t>名称</w:t>
                  </w:r>
                </w:p>
              </w:tc>
              <w:tc>
                <w:tcPr>
                  <w:tcW w:w="680" w:type="dxa"/>
                  <w:tcBorders>
                    <w:top w:val="single" w:color="000000" w:sz="4" w:space="0"/>
                    <w:left w:val="nil"/>
                    <w:bottom w:val="single" w:color="auto" w:sz="4" w:space="0"/>
                    <w:right w:val="single" w:color="000000" w:sz="4" w:space="0"/>
                  </w:tcBorders>
                  <w:shd w:val="clear" w:color="auto" w:fill="auto"/>
                  <w:vAlign w:val="center"/>
                </w:tcPr>
                <w:p w14:paraId="3568FEAA">
                  <w:pPr>
                    <w:jc w:val="center"/>
                    <w:rPr>
                      <w:sz w:val="18"/>
                      <w:szCs w:val="18"/>
                    </w:rPr>
                  </w:pPr>
                  <w:r>
                    <w:rPr>
                      <w:rFonts w:hint="eastAsia"/>
                      <w:sz w:val="18"/>
                      <w:szCs w:val="18"/>
                    </w:rPr>
                    <w:t>单位</w:t>
                  </w:r>
                </w:p>
              </w:tc>
              <w:tc>
                <w:tcPr>
                  <w:tcW w:w="1186" w:type="dxa"/>
                  <w:tcBorders>
                    <w:top w:val="single" w:color="000000" w:sz="4" w:space="0"/>
                    <w:left w:val="nil"/>
                    <w:bottom w:val="single" w:color="auto" w:sz="4" w:space="0"/>
                    <w:right w:val="single" w:color="000000" w:sz="4" w:space="0"/>
                  </w:tcBorders>
                  <w:shd w:val="clear" w:color="auto" w:fill="auto"/>
                  <w:vAlign w:val="center"/>
                </w:tcPr>
                <w:p w14:paraId="10A09BD2">
                  <w:pPr>
                    <w:jc w:val="center"/>
                    <w:rPr>
                      <w:sz w:val="18"/>
                      <w:szCs w:val="18"/>
                    </w:rPr>
                  </w:pPr>
                  <w:r>
                    <w:rPr>
                      <w:rFonts w:hint="eastAsia"/>
                      <w:sz w:val="18"/>
                      <w:szCs w:val="18"/>
                    </w:rPr>
                    <w:t>数量</w:t>
                  </w:r>
                </w:p>
              </w:tc>
              <w:tc>
                <w:tcPr>
                  <w:tcW w:w="1280" w:type="dxa"/>
                  <w:tcBorders>
                    <w:top w:val="single" w:color="000000" w:sz="4" w:space="0"/>
                    <w:left w:val="nil"/>
                    <w:bottom w:val="single" w:color="auto" w:sz="4" w:space="0"/>
                    <w:right w:val="single" w:color="auto" w:sz="4" w:space="0"/>
                  </w:tcBorders>
                  <w:shd w:val="clear" w:color="auto" w:fill="auto"/>
                  <w:vAlign w:val="center"/>
                </w:tcPr>
                <w:p w14:paraId="156ECAB1">
                  <w:pPr>
                    <w:jc w:val="center"/>
                    <w:rPr>
                      <w:sz w:val="18"/>
                      <w:szCs w:val="18"/>
                      <w:highlight w:val="yellow"/>
                    </w:rPr>
                  </w:pPr>
                  <w:r>
                    <w:rPr>
                      <w:rFonts w:hint="eastAsia"/>
                      <w:sz w:val="18"/>
                      <w:szCs w:val="18"/>
                    </w:rPr>
                    <w:t>含税单价（元）</w:t>
                  </w:r>
                </w:p>
              </w:tc>
              <w:tc>
                <w:tcPr>
                  <w:tcW w:w="1254" w:type="dxa"/>
                  <w:tcBorders>
                    <w:top w:val="single" w:color="000000" w:sz="4" w:space="0"/>
                    <w:left w:val="single" w:color="auto" w:sz="4" w:space="0"/>
                    <w:bottom w:val="single" w:color="auto" w:sz="4" w:space="0"/>
                    <w:right w:val="single" w:color="000000" w:sz="4" w:space="0"/>
                  </w:tcBorders>
                  <w:shd w:val="clear" w:color="auto" w:fill="auto"/>
                  <w:vAlign w:val="center"/>
                </w:tcPr>
                <w:p w14:paraId="407D4FBD">
                  <w:pPr>
                    <w:jc w:val="center"/>
                    <w:rPr>
                      <w:sz w:val="18"/>
                      <w:szCs w:val="18"/>
                    </w:rPr>
                  </w:pPr>
                  <w:r>
                    <w:rPr>
                      <w:rFonts w:hint="eastAsia"/>
                      <w:sz w:val="18"/>
                      <w:szCs w:val="18"/>
                    </w:rPr>
                    <w:t>含税金额（元）</w:t>
                  </w:r>
                </w:p>
              </w:tc>
              <w:tc>
                <w:tcPr>
                  <w:tcW w:w="6551" w:type="dxa"/>
                  <w:tcBorders>
                    <w:top w:val="single" w:color="000000" w:sz="4" w:space="0"/>
                    <w:left w:val="nil"/>
                    <w:bottom w:val="single" w:color="auto" w:sz="4" w:space="0"/>
                    <w:right w:val="single" w:color="000000" w:sz="4" w:space="0"/>
                  </w:tcBorders>
                  <w:shd w:val="clear" w:color="auto" w:fill="auto"/>
                  <w:vAlign w:val="center"/>
                </w:tcPr>
                <w:p w14:paraId="4165F6ED">
                  <w:pPr>
                    <w:jc w:val="center"/>
                    <w:rPr>
                      <w:sz w:val="18"/>
                      <w:szCs w:val="18"/>
                    </w:rPr>
                  </w:pPr>
                  <w:r>
                    <w:rPr>
                      <w:rFonts w:hint="eastAsia"/>
                      <w:sz w:val="18"/>
                      <w:szCs w:val="18"/>
                    </w:rPr>
                    <w:t>备注</w:t>
                  </w:r>
                </w:p>
              </w:tc>
            </w:tr>
            <w:tr w14:paraId="4C5F719C">
              <w:tblPrEx>
                <w:tblCellMar>
                  <w:top w:w="0" w:type="dxa"/>
                  <w:left w:w="108" w:type="dxa"/>
                  <w:bottom w:w="0" w:type="dxa"/>
                  <w:right w:w="108" w:type="dxa"/>
                </w:tblCellMar>
              </w:tblPrEx>
              <w:trPr>
                <w:trHeight w:val="1237" w:hRule="atLeast"/>
                <w:jc w:val="center"/>
              </w:trPr>
              <w:tc>
                <w:tcPr>
                  <w:tcW w:w="587" w:type="dxa"/>
                  <w:tcBorders>
                    <w:top w:val="single" w:color="auto" w:sz="4" w:space="0"/>
                    <w:left w:val="single" w:color="auto" w:sz="4" w:space="0"/>
                    <w:bottom w:val="single" w:color="auto" w:sz="4" w:space="0"/>
                    <w:right w:val="single" w:color="auto" w:sz="4" w:space="0"/>
                  </w:tcBorders>
                  <w:shd w:val="clear" w:color="auto" w:fill="auto"/>
                  <w:vAlign w:val="center"/>
                </w:tcPr>
                <w:p w14:paraId="47083E36">
                  <w:pPr>
                    <w:jc w:val="center"/>
                    <w:rPr>
                      <w:rFonts w:hint="eastAsia" w:ascii="宋体" w:hAnsi="宋体" w:cs="宋体"/>
                      <w:color w:val="000000" w:themeColor="text1"/>
                      <w:kern w:val="0"/>
                      <w:sz w:val="18"/>
                      <w:szCs w:val="18"/>
                      <w:lang w:eastAsia="zh-CN"/>
                      <w14:textFill>
                        <w14:solidFill>
                          <w14:schemeClr w14:val="tx1"/>
                        </w14:solidFill>
                      </w14:textFill>
                    </w:rPr>
                  </w:pPr>
                  <w:r>
                    <w:rPr>
                      <w:rFonts w:hint="eastAsia" w:ascii="宋体" w:hAnsi="宋体" w:cs="宋体"/>
                      <w:color w:val="000000" w:themeColor="text1"/>
                      <w:kern w:val="0"/>
                      <w:sz w:val="18"/>
                      <w:szCs w:val="18"/>
                      <w:lang w:val="en-US" w:eastAsia="zh-CN"/>
                      <w14:textFill>
                        <w14:solidFill>
                          <w14:schemeClr w14:val="tx1"/>
                        </w14:solidFill>
                      </w14:textFill>
                    </w:rPr>
                    <w:t>1</w:t>
                  </w:r>
                </w:p>
              </w:tc>
              <w:tc>
                <w:tcPr>
                  <w:tcW w:w="686" w:type="dxa"/>
                  <w:tcBorders>
                    <w:left w:val="single" w:color="auto" w:sz="4" w:space="0"/>
                    <w:bottom w:val="single" w:color="auto" w:sz="4" w:space="0"/>
                    <w:right w:val="single" w:color="auto" w:sz="4" w:space="0"/>
                  </w:tcBorders>
                  <w:shd w:val="clear" w:color="auto" w:fill="auto"/>
                  <w:vAlign w:val="center"/>
                </w:tcPr>
                <w:p w14:paraId="41F8B5BC">
                  <w:pPr>
                    <w:jc w:val="center"/>
                    <w:rPr>
                      <w:rFonts w:hint="eastAsia" w:ascii="宋体" w:hAnsi="宋体" w:cs="宋体" w:eastAsiaTheme="minorEastAsia"/>
                      <w:color w:val="000000" w:themeColor="text1"/>
                      <w:kern w:val="0"/>
                      <w:sz w:val="18"/>
                      <w:szCs w:val="18"/>
                      <w:lang w:eastAsia="zh-CN"/>
                      <w14:textFill>
                        <w14:solidFill>
                          <w14:schemeClr w14:val="tx1"/>
                        </w14:solidFill>
                      </w14:textFill>
                    </w:rPr>
                  </w:pPr>
                  <w:r>
                    <w:rPr>
                      <w:rFonts w:hint="eastAsia" w:ascii="宋体" w:hAnsi="宋体" w:cs="宋体"/>
                      <w:color w:val="000000" w:themeColor="text1"/>
                      <w:kern w:val="0"/>
                      <w:sz w:val="18"/>
                      <w:szCs w:val="18"/>
                      <w:lang w:eastAsia="zh-CN"/>
                      <w14:textFill>
                        <w14:solidFill>
                          <w14:schemeClr w14:val="tx1"/>
                        </w14:solidFill>
                      </w14:textFill>
                    </w:rPr>
                    <w:t>模板</w:t>
                  </w:r>
                </w:p>
              </w:tc>
              <w:tc>
                <w:tcPr>
                  <w:tcW w:w="2704" w:type="dxa"/>
                  <w:tcBorders>
                    <w:top w:val="single" w:color="auto" w:sz="4" w:space="0"/>
                    <w:left w:val="single" w:color="auto" w:sz="4" w:space="0"/>
                    <w:bottom w:val="single" w:color="auto" w:sz="4" w:space="0"/>
                    <w:right w:val="single" w:color="auto" w:sz="4" w:space="0"/>
                  </w:tcBorders>
                  <w:shd w:val="clear" w:color="auto" w:fill="auto"/>
                  <w:vAlign w:val="center"/>
                </w:tcPr>
                <w:p w14:paraId="59333A17">
                  <w:pPr>
                    <w:jc w:val="center"/>
                    <w:rPr>
                      <w:rFonts w:hint="eastAsia"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lang w:eastAsia="zh-CN"/>
                      <w14:textFill>
                        <w14:solidFill>
                          <w14:schemeClr w14:val="tx1"/>
                        </w14:solidFill>
                      </w14:textFill>
                    </w:rPr>
                    <w:t>宿舍楼和门卫房、室外砼挡土墙</w:t>
                  </w:r>
                  <w:r>
                    <w:rPr>
                      <w:rFonts w:hint="eastAsia" w:ascii="宋体" w:hAnsi="宋体" w:cs="宋体"/>
                      <w:color w:val="000000" w:themeColor="text1"/>
                      <w:kern w:val="0"/>
                      <w:sz w:val="18"/>
                      <w:szCs w:val="18"/>
                      <w14:textFill>
                        <w14:solidFill>
                          <w14:schemeClr w14:val="tx1"/>
                        </w14:solidFill>
                      </w14:textFill>
                    </w:rPr>
                    <w:t>±0.000以</w:t>
                  </w:r>
                  <w:r>
                    <w:rPr>
                      <w:rFonts w:hint="eastAsia" w:ascii="宋体" w:hAnsi="宋体" w:cs="宋体"/>
                      <w:color w:val="000000" w:themeColor="text1"/>
                      <w:kern w:val="0"/>
                      <w:sz w:val="18"/>
                      <w:szCs w:val="18"/>
                      <w:lang w:val="en-US" w:eastAsia="zh-CN"/>
                      <w14:textFill>
                        <w14:solidFill>
                          <w14:schemeClr w14:val="tx1"/>
                        </w14:solidFill>
                      </w14:textFill>
                    </w:rPr>
                    <w:t>下基础、基础梁、基础柱</w:t>
                  </w:r>
                  <w:r>
                    <w:rPr>
                      <w:rFonts w:hint="eastAsia" w:ascii="宋体" w:hAnsi="宋体" w:cs="宋体"/>
                      <w:color w:val="000000" w:themeColor="text1"/>
                      <w:kern w:val="0"/>
                      <w:sz w:val="18"/>
                      <w:szCs w:val="18"/>
                      <w14:textFill>
                        <w14:solidFill>
                          <w14:schemeClr w14:val="tx1"/>
                        </w14:solidFill>
                      </w14:textFill>
                    </w:rPr>
                    <w:t>模板</w:t>
                  </w:r>
                </w:p>
              </w:tc>
              <w:tc>
                <w:tcPr>
                  <w:tcW w:w="680" w:type="dxa"/>
                  <w:tcBorders>
                    <w:top w:val="single" w:color="auto" w:sz="4" w:space="0"/>
                    <w:left w:val="single" w:color="auto" w:sz="4" w:space="0"/>
                    <w:bottom w:val="single" w:color="auto" w:sz="4" w:space="0"/>
                    <w:right w:val="single" w:color="auto" w:sz="4" w:space="0"/>
                  </w:tcBorders>
                  <w:shd w:val="clear" w:color="auto" w:fill="auto"/>
                  <w:vAlign w:val="center"/>
                </w:tcPr>
                <w:p w14:paraId="258D3FFF">
                  <w:pPr>
                    <w:jc w:val="center"/>
                    <w:rPr>
                      <w:rFonts w:hint="eastAsia"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w:t>
                  </w:r>
                </w:p>
              </w:tc>
              <w:tc>
                <w:tcPr>
                  <w:tcW w:w="1186" w:type="dxa"/>
                  <w:tcBorders>
                    <w:top w:val="single" w:color="auto" w:sz="4" w:space="0"/>
                    <w:left w:val="single" w:color="auto" w:sz="4" w:space="0"/>
                    <w:bottom w:val="single" w:color="auto" w:sz="4" w:space="0"/>
                    <w:right w:val="single" w:color="auto" w:sz="4" w:space="0"/>
                  </w:tcBorders>
                  <w:shd w:val="clear" w:color="auto" w:fill="auto"/>
                  <w:vAlign w:val="center"/>
                </w:tcPr>
                <w:p w14:paraId="5C868159">
                  <w:pPr>
                    <w:jc w:val="center"/>
                    <w:rPr>
                      <w:rFonts w:hint="default" w:ascii="宋体" w:hAnsi="宋体" w:cs="宋体"/>
                      <w:color w:val="000000" w:themeColor="text1"/>
                      <w:kern w:val="0"/>
                      <w:sz w:val="18"/>
                      <w:szCs w:val="18"/>
                      <w:lang w:val="en-US" w:eastAsia="zh-CN"/>
                      <w14:textFill>
                        <w14:solidFill>
                          <w14:schemeClr w14:val="tx1"/>
                        </w14:solidFill>
                      </w14:textFill>
                    </w:rPr>
                  </w:pPr>
                  <w:r>
                    <w:rPr>
                      <w:rFonts w:hint="eastAsia" w:ascii="宋体" w:hAnsi="宋体" w:cs="宋体"/>
                      <w:color w:val="000000" w:themeColor="text1"/>
                      <w:kern w:val="0"/>
                      <w:sz w:val="18"/>
                      <w:szCs w:val="18"/>
                      <w:lang w:val="en-US" w:eastAsia="zh-CN"/>
                      <w14:textFill>
                        <w14:solidFill>
                          <w14:schemeClr w14:val="tx1"/>
                        </w14:solidFill>
                      </w14:textFill>
                    </w:rPr>
                    <w:t>7000</w:t>
                  </w:r>
                </w:p>
              </w:tc>
              <w:tc>
                <w:tcPr>
                  <w:tcW w:w="1280" w:type="dxa"/>
                  <w:tcBorders>
                    <w:top w:val="single" w:color="auto" w:sz="4" w:space="0"/>
                    <w:left w:val="single" w:color="auto" w:sz="4" w:space="0"/>
                    <w:bottom w:val="single" w:color="auto" w:sz="4" w:space="0"/>
                    <w:right w:val="single" w:color="auto" w:sz="4" w:space="0"/>
                  </w:tcBorders>
                  <w:shd w:val="clear" w:color="auto" w:fill="auto"/>
                  <w:vAlign w:val="center"/>
                </w:tcPr>
                <w:p w14:paraId="4AFFFE12">
                  <w:pPr>
                    <w:rPr>
                      <w:rFonts w:hint="eastAsia" w:ascii="宋体" w:hAnsi="宋体" w:cs="宋体"/>
                      <w:color w:val="000000" w:themeColor="text1"/>
                      <w:kern w:val="0"/>
                      <w:sz w:val="18"/>
                      <w:szCs w:val="18"/>
                      <w14:textFill>
                        <w14:solidFill>
                          <w14:schemeClr w14:val="tx1"/>
                        </w14:solidFill>
                      </w14:textFill>
                    </w:rPr>
                  </w:pPr>
                </w:p>
              </w:tc>
              <w:tc>
                <w:tcPr>
                  <w:tcW w:w="1254" w:type="dxa"/>
                  <w:tcBorders>
                    <w:top w:val="single" w:color="auto" w:sz="4" w:space="0"/>
                    <w:left w:val="single" w:color="auto" w:sz="4" w:space="0"/>
                    <w:bottom w:val="single" w:color="auto" w:sz="4" w:space="0"/>
                    <w:right w:val="single" w:color="auto" w:sz="4" w:space="0"/>
                  </w:tcBorders>
                  <w:shd w:val="clear" w:color="auto" w:fill="auto"/>
                  <w:vAlign w:val="center"/>
                </w:tcPr>
                <w:p w14:paraId="689F78B1">
                  <w:pPr>
                    <w:rPr>
                      <w:rFonts w:hint="eastAsia" w:ascii="宋体" w:hAnsi="宋体" w:cs="宋体"/>
                      <w:color w:val="000000" w:themeColor="text1"/>
                      <w:kern w:val="0"/>
                      <w:sz w:val="18"/>
                      <w:szCs w:val="18"/>
                      <w14:textFill>
                        <w14:solidFill>
                          <w14:schemeClr w14:val="tx1"/>
                        </w14:solidFill>
                      </w14:textFill>
                    </w:rPr>
                  </w:pPr>
                </w:p>
              </w:tc>
              <w:tc>
                <w:tcPr>
                  <w:tcW w:w="6551" w:type="dxa"/>
                  <w:tcBorders>
                    <w:top w:val="single" w:color="auto" w:sz="4" w:space="0"/>
                    <w:left w:val="single" w:color="auto" w:sz="4" w:space="0"/>
                    <w:bottom w:val="single" w:color="auto" w:sz="4" w:space="0"/>
                    <w:right w:val="single" w:color="auto" w:sz="4" w:space="0"/>
                  </w:tcBorders>
                  <w:shd w:val="clear" w:color="auto" w:fill="auto"/>
                  <w:vAlign w:val="center"/>
                </w:tcPr>
                <w:p w14:paraId="6EDCEEF5">
                  <w:pPr>
                    <w:rPr>
                      <w:rFonts w:hint="eastAsia" w:ascii="宋体" w:hAnsi="宋体" w:cs="宋体"/>
                      <w:color w:val="000000" w:themeColor="text1"/>
                      <w:kern w:val="0"/>
                      <w:sz w:val="18"/>
                      <w:szCs w:val="18"/>
                      <w:lang w:eastAsia="zh-CN"/>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按砼实际接触面积计算,包含打磨费用、材料倒运归堆清理、周转材料费用等。如模板消耗量超过2%，予以相应处罚。项目部一次性提供模板支护所需全部辅件，如若丢失，予以相应处罚</w:t>
                  </w:r>
                  <w:r>
                    <w:rPr>
                      <w:rFonts w:hint="eastAsia" w:ascii="宋体" w:hAnsi="宋体" w:cs="宋体"/>
                      <w:color w:val="000000" w:themeColor="text1"/>
                      <w:kern w:val="0"/>
                      <w:sz w:val="18"/>
                      <w:szCs w:val="18"/>
                      <w:lang w:eastAsia="zh-CN"/>
                      <w14:textFill>
                        <w14:solidFill>
                          <w14:schemeClr w14:val="tx1"/>
                        </w14:solidFill>
                      </w14:textFill>
                    </w:rPr>
                    <w:t>。</w:t>
                  </w:r>
                </w:p>
              </w:tc>
            </w:tr>
            <w:tr w14:paraId="772AD298">
              <w:tblPrEx>
                <w:tblCellMar>
                  <w:top w:w="0" w:type="dxa"/>
                  <w:left w:w="108" w:type="dxa"/>
                  <w:bottom w:w="0" w:type="dxa"/>
                  <w:right w:w="108" w:type="dxa"/>
                </w:tblCellMar>
              </w:tblPrEx>
              <w:trPr>
                <w:trHeight w:val="3120" w:hRule="atLeast"/>
                <w:jc w:val="center"/>
              </w:trPr>
              <w:tc>
                <w:tcPr>
                  <w:tcW w:w="587" w:type="dxa"/>
                  <w:tcBorders>
                    <w:top w:val="single" w:color="auto" w:sz="4" w:space="0"/>
                    <w:left w:val="single" w:color="auto" w:sz="4" w:space="0"/>
                    <w:bottom w:val="single" w:color="auto" w:sz="4" w:space="0"/>
                    <w:right w:val="single" w:color="auto" w:sz="4" w:space="0"/>
                  </w:tcBorders>
                  <w:shd w:val="clear" w:color="auto" w:fill="auto"/>
                  <w:vAlign w:val="center"/>
                </w:tcPr>
                <w:p w14:paraId="6BA5AEF9">
                  <w:pPr>
                    <w:jc w:val="center"/>
                    <w:rPr>
                      <w:rFonts w:hint="eastAsia" w:ascii="宋体" w:hAnsi="宋体" w:cs="宋体"/>
                      <w:color w:val="000000" w:themeColor="text1"/>
                      <w:kern w:val="0"/>
                      <w:sz w:val="18"/>
                      <w:szCs w:val="18"/>
                      <w:lang w:val="en-US" w:eastAsia="zh-CN"/>
                      <w14:textFill>
                        <w14:solidFill>
                          <w14:schemeClr w14:val="tx1"/>
                        </w14:solidFill>
                      </w14:textFill>
                    </w:rPr>
                  </w:pPr>
                  <w:bookmarkStart w:id="5" w:name="_Hlk168749158"/>
                  <w:r>
                    <w:rPr>
                      <w:rFonts w:hint="eastAsia" w:ascii="宋体" w:hAnsi="宋体" w:cs="宋体"/>
                      <w:color w:val="000000" w:themeColor="text1"/>
                      <w:kern w:val="0"/>
                      <w:sz w:val="18"/>
                      <w:szCs w:val="18"/>
                      <w:lang w:val="en-US" w:eastAsia="zh-CN"/>
                      <w14:textFill>
                        <w14:solidFill>
                          <w14:schemeClr w14:val="tx1"/>
                        </w14:solidFill>
                      </w14:textFill>
                    </w:rPr>
                    <w:t>2</w:t>
                  </w:r>
                </w:p>
              </w:tc>
              <w:tc>
                <w:tcPr>
                  <w:tcW w:w="686" w:type="dxa"/>
                  <w:tcBorders>
                    <w:top w:val="single" w:color="auto" w:sz="4" w:space="0"/>
                    <w:left w:val="single" w:color="auto" w:sz="4" w:space="0"/>
                    <w:right w:val="single" w:color="auto" w:sz="4" w:space="0"/>
                  </w:tcBorders>
                  <w:shd w:val="clear" w:color="auto" w:fill="auto"/>
                  <w:vAlign w:val="center"/>
                </w:tcPr>
                <w:p w14:paraId="4C906127">
                  <w:pPr>
                    <w:jc w:val="center"/>
                    <w:rPr>
                      <w:rFonts w:hint="eastAsia" w:ascii="宋体" w:hAnsi="宋体" w:cs="宋体" w:eastAsiaTheme="minorEastAsia"/>
                      <w:color w:val="000000" w:themeColor="text1"/>
                      <w:kern w:val="0"/>
                      <w:sz w:val="18"/>
                      <w:szCs w:val="18"/>
                      <w:lang w:eastAsia="zh-CN"/>
                      <w14:textFill>
                        <w14:solidFill>
                          <w14:schemeClr w14:val="tx1"/>
                        </w14:solidFill>
                      </w14:textFill>
                    </w:rPr>
                  </w:pPr>
                  <w:r>
                    <w:rPr>
                      <w:rFonts w:hint="eastAsia" w:ascii="宋体" w:hAnsi="宋体" w:cs="宋体"/>
                      <w:color w:val="000000" w:themeColor="text1"/>
                      <w:kern w:val="0"/>
                      <w:sz w:val="18"/>
                      <w:szCs w:val="18"/>
                      <w:lang w:eastAsia="zh-CN"/>
                      <w14:textFill>
                        <w14:solidFill>
                          <w14:schemeClr w14:val="tx1"/>
                        </w14:solidFill>
                      </w14:textFill>
                    </w:rPr>
                    <w:t>模板</w:t>
                  </w:r>
                </w:p>
              </w:tc>
              <w:tc>
                <w:tcPr>
                  <w:tcW w:w="2704" w:type="dxa"/>
                  <w:tcBorders>
                    <w:top w:val="single" w:color="auto" w:sz="4" w:space="0"/>
                    <w:left w:val="single" w:color="auto" w:sz="4" w:space="0"/>
                    <w:bottom w:val="single" w:color="auto" w:sz="4" w:space="0"/>
                    <w:right w:val="single" w:color="auto" w:sz="4" w:space="0"/>
                  </w:tcBorders>
                  <w:shd w:val="clear" w:color="auto" w:fill="auto"/>
                  <w:vAlign w:val="center"/>
                </w:tcPr>
                <w:p w14:paraId="78C25802">
                  <w:pPr>
                    <w:jc w:val="center"/>
                    <w:rPr>
                      <w:rFonts w:hint="eastAsia" w:ascii="宋体" w:hAnsi="宋体" w:cs="宋体"/>
                      <w:color w:val="000000" w:themeColor="text1"/>
                      <w:kern w:val="0"/>
                      <w:sz w:val="18"/>
                      <w:szCs w:val="18"/>
                      <w:lang w:val="en-US" w:eastAsia="zh-CN"/>
                      <w14:textFill>
                        <w14:solidFill>
                          <w14:schemeClr w14:val="tx1"/>
                        </w14:solidFill>
                      </w14:textFill>
                    </w:rPr>
                  </w:pPr>
                  <w:r>
                    <w:rPr>
                      <w:rFonts w:hint="eastAsia" w:ascii="宋体" w:hAnsi="宋体" w:cs="宋体"/>
                      <w:color w:val="000000" w:themeColor="text1"/>
                      <w:kern w:val="0"/>
                      <w:sz w:val="18"/>
                      <w:szCs w:val="18"/>
                      <w:lang w:eastAsia="zh-CN"/>
                      <w14:textFill>
                        <w14:solidFill>
                          <w14:schemeClr w14:val="tx1"/>
                        </w14:solidFill>
                      </w14:textFill>
                    </w:rPr>
                    <w:t>宿舍楼和门卫房、室外砼挡土墙</w:t>
                  </w:r>
                  <w:r>
                    <w:rPr>
                      <w:rFonts w:hint="eastAsia" w:ascii="宋体" w:hAnsi="宋体" w:cs="宋体"/>
                      <w:color w:val="000000" w:themeColor="text1"/>
                      <w:kern w:val="0"/>
                      <w:sz w:val="18"/>
                      <w:szCs w:val="18"/>
                      <w14:textFill>
                        <w14:solidFill>
                          <w14:schemeClr w14:val="tx1"/>
                        </w14:solidFill>
                      </w14:textFill>
                    </w:rPr>
                    <w:t>±0.000以</w:t>
                  </w:r>
                  <w:r>
                    <w:rPr>
                      <w:rFonts w:hint="eastAsia" w:ascii="宋体" w:hAnsi="宋体" w:cs="宋体"/>
                      <w:color w:val="000000" w:themeColor="text1"/>
                      <w:kern w:val="0"/>
                      <w:sz w:val="18"/>
                      <w:szCs w:val="18"/>
                      <w:lang w:val="en-US" w:eastAsia="zh-CN"/>
                      <w14:textFill>
                        <w14:solidFill>
                          <w14:schemeClr w14:val="tx1"/>
                        </w14:solidFill>
                      </w14:textFill>
                    </w:rPr>
                    <w:t>上</w:t>
                  </w:r>
                  <w:r>
                    <w:rPr>
                      <w:rFonts w:hint="eastAsia" w:ascii="宋体" w:hAnsi="宋体" w:cs="宋体"/>
                      <w:color w:val="000000" w:themeColor="text1"/>
                      <w:kern w:val="0"/>
                      <w:sz w:val="18"/>
                      <w:szCs w:val="18"/>
                      <w14:textFill>
                        <w14:solidFill>
                          <w14:schemeClr w14:val="tx1"/>
                        </w14:solidFill>
                      </w14:textFill>
                    </w:rPr>
                    <w:t>模板</w:t>
                  </w:r>
                </w:p>
              </w:tc>
              <w:tc>
                <w:tcPr>
                  <w:tcW w:w="680" w:type="dxa"/>
                  <w:tcBorders>
                    <w:top w:val="single" w:color="auto" w:sz="4" w:space="0"/>
                    <w:left w:val="single" w:color="auto" w:sz="4" w:space="0"/>
                    <w:bottom w:val="single" w:color="auto" w:sz="4" w:space="0"/>
                    <w:right w:val="single" w:color="auto" w:sz="4" w:space="0"/>
                  </w:tcBorders>
                  <w:shd w:val="clear" w:color="auto" w:fill="auto"/>
                  <w:vAlign w:val="center"/>
                </w:tcPr>
                <w:p w14:paraId="5F0B8B98">
                  <w:pPr>
                    <w:jc w:val="center"/>
                    <w:rPr>
                      <w:rFonts w:hint="eastAsia"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w:t>
                  </w:r>
                </w:p>
              </w:tc>
              <w:tc>
                <w:tcPr>
                  <w:tcW w:w="1186" w:type="dxa"/>
                  <w:tcBorders>
                    <w:top w:val="single" w:color="auto" w:sz="4" w:space="0"/>
                    <w:left w:val="single" w:color="auto" w:sz="4" w:space="0"/>
                    <w:bottom w:val="single" w:color="auto" w:sz="4" w:space="0"/>
                    <w:right w:val="single" w:color="auto" w:sz="4" w:space="0"/>
                  </w:tcBorders>
                  <w:shd w:val="clear" w:color="auto" w:fill="auto"/>
                  <w:vAlign w:val="center"/>
                </w:tcPr>
                <w:p w14:paraId="1C5C0EB5">
                  <w:pPr>
                    <w:jc w:val="center"/>
                    <w:rPr>
                      <w:rFonts w:hint="default" w:ascii="宋体" w:hAnsi="宋体" w:cs="宋体"/>
                      <w:color w:val="000000" w:themeColor="text1"/>
                      <w:kern w:val="0"/>
                      <w:sz w:val="18"/>
                      <w:szCs w:val="18"/>
                      <w:lang w:val="en-US" w:eastAsia="zh-CN"/>
                      <w14:textFill>
                        <w14:solidFill>
                          <w14:schemeClr w14:val="tx1"/>
                        </w14:solidFill>
                      </w14:textFill>
                    </w:rPr>
                  </w:pPr>
                  <w:r>
                    <w:rPr>
                      <w:rFonts w:hint="eastAsia" w:ascii="宋体" w:hAnsi="宋体" w:cs="宋体"/>
                      <w:color w:val="000000" w:themeColor="text1"/>
                      <w:kern w:val="0"/>
                      <w:sz w:val="18"/>
                      <w:szCs w:val="18"/>
                      <w:lang w:val="en-US" w:eastAsia="zh-CN"/>
                      <w14:textFill>
                        <w14:solidFill>
                          <w14:schemeClr w14:val="tx1"/>
                        </w14:solidFill>
                      </w14:textFill>
                    </w:rPr>
                    <w:t>46000</w:t>
                  </w:r>
                </w:p>
              </w:tc>
              <w:tc>
                <w:tcPr>
                  <w:tcW w:w="1280" w:type="dxa"/>
                  <w:tcBorders>
                    <w:top w:val="single" w:color="auto" w:sz="4" w:space="0"/>
                    <w:left w:val="single" w:color="auto" w:sz="4" w:space="0"/>
                    <w:bottom w:val="single" w:color="auto" w:sz="4" w:space="0"/>
                    <w:right w:val="single" w:color="auto" w:sz="4" w:space="0"/>
                  </w:tcBorders>
                  <w:shd w:val="clear" w:color="auto" w:fill="auto"/>
                  <w:vAlign w:val="center"/>
                </w:tcPr>
                <w:p w14:paraId="1163480E">
                  <w:pPr>
                    <w:rPr>
                      <w:rFonts w:hint="eastAsia" w:ascii="宋体" w:hAnsi="宋体" w:cs="宋体"/>
                      <w:color w:val="000000" w:themeColor="text1"/>
                      <w:kern w:val="0"/>
                      <w:sz w:val="18"/>
                      <w:szCs w:val="18"/>
                      <w14:textFill>
                        <w14:solidFill>
                          <w14:schemeClr w14:val="tx1"/>
                        </w14:solidFill>
                      </w14:textFill>
                    </w:rPr>
                  </w:pPr>
                </w:p>
              </w:tc>
              <w:tc>
                <w:tcPr>
                  <w:tcW w:w="1254" w:type="dxa"/>
                  <w:tcBorders>
                    <w:top w:val="single" w:color="auto" w:sz="4" w:space="0"/>
                    <w:left w:val="single" w:color="auto" w:sz="4" w:space="0"/>
                    <w:bottom w:val="single" w:color="auto" w:sz="4" w:space="0"/>
                    <w:right w:val="single" w:color="auto" w:sz="4" w:space="0"/>
                  </w:tcBorders>
                  <w:shd w:val="clear" w:color="auto" w:fill="auto"/>
                  <w:vAlign w:val="center"/>
                </w:tcPr>
                <w:p w14:paraId="0EF22FFF">
                  <w:pPr>
                    <w:rPr>
                      <w:rFonts w:hint="eastAsia" w:ascii="宋体" w:hAnsi="宋体" w:cs="宋体"/>
                      <w:color w:val="000000" w:themeColor="text1"/>
                      <w:kern w:val="0"/>
                      <w:sz w:val="18"/>
                      <w:szCs w:val="18"/>
                      <w14:textFill>
                        <w14:solidFill>
                          <w14:schemeClr w14:val="tx1"/>
                        </w14:solidFill>
                      </w14:textFill>
                    </w:rPr>
                  </w:pPr>
                </w:p>
              </w:tc>
              <w:tc>
                <w:tcPr>
                  <w:tcW w:w="6551" w:type="dxa"/>
                  <w:tcBorders>
                    <w:top w:val="single" w:color="auto" w:sz="4" w:space="0"/>
                    <w:left w:val="single" w:color="auto" w:sz="4" w:space="0"/>
                    <w:bottom w:val="single" w:color="auto" w:sz="4" w:space="0"/>
                    <w:right w:val="single" w:color="auto" w:sz="4" w:space="0"/>
                  </w:tcBorders>
                  <w:shd w:val="clear" w:color="auto" w:fill="auto"/>
                  <w:vAlign w:val="center"/>
                </w:tcPr>
                <w:p w14:paraId="5A65D893">
                  <w:pPr>
                    <w:rPr>
                      <w:rFonts w:hint="default" w:ascii="宋体" w:hAnsi="宋体" w:cs="宋体"/>
                      <w:color w:val="000000" w:themeColor="text1"/>
                      <w:kern w:val="0"/>
                      <w:sz w:val="18"/>
                      <w:szCs w:val="18"/>
                      <w:lang w:val="en-US" w:eastAsia="zh-CN"/>
                      <w14:textFill>
                        <w14:solidFill>
                          <w14:schemeClr w14:val="tx1"/>
                        </w14:solidFill>
                      </w14:textFill>
                    </w:rPr>
                  </w:pPr>
                  <w:r>
                    <w:rPr>
                      <w:rFonts w:hint="eastAsia" w:ascii="宋体" w:hAnsi="宋体" w:cs="宋体"/>
                      <w:color w:val="000000" w:themeColor="text1"/>
                      <w:kern w:val="0"/>
                      <w:sz w:val="18"/>
                      <w:szCs w:val="18"/>
                      <w:lang w:val="en-US" w:eastAsia="zh-CN"/>
                      <w14:textFill>
                        <w14:solidFill>
                          <w14:schemeClr w14:val="tx1"/>
                        </w14:solidFill>
                      </w14:textFill>
                    </w:rPr>
                    <w:t>宿舍楼层高3.8米，</w:t>
                  </w:r>
                  <w:r>
                    <w:rPr>
                      <w:rFonts w:hint="eastAsia" w:ascii="宋体" w:hAnsi="宋体" w:cs="宋体"/>
                      <w:color w:val="000000" w:themeColor="text1"/>
                      <w:kern w:val="0"/>
                      <w:sz w:val="18"/>
                      <w:szCs w:val="18"/>
                      <w14:textFill>
                        <w14:solidFill>
                          <w14:schemeClr w14:val="tx1"/>
                        </w14:solidFill>
                      </w14:textFill>
                    </w:rPr>
                    <w:t>含脚手架搭拆，按砼实际接触面积计算,包含打磨费用、材料倒运归堆清理、周转材料费用、拉缝材料的购买及安装费等。如模板消耗量超过2%，予以相应处罚。项目部一次性提供模板支护所需全部辅件，如若丢失，予以相应处罚</w:t>
                  </w:r>
                  <w:r>
                    <w:rPr>
                      <w:rFonts w:hint="eastAsia" w:ascii="宋体" w:hAnsi="宋体" w:cs="宋体"/>
                      <w:color w:val="000000" w:themeColor="text1"/>
                      <w:kern w:val="0"/>
                      <w:sz w:val="18"/>
                      <w:szCs w:val="18"/>
                      <w:lang w:eastAsia="zh-CN"/>
                      <w14:textFill>
                        <w14:solidFill>
                          <w14:schemeClr w14:val="tx1"/>
                        </w14:solidFill>
                      </w14:textFill>
                    </w:rPr>
                    <w:t>。建筑节点、结构</w:t>
                  </w:r>
                  <w:r>
                    <w:rPr>
                      <w:rFonts w:hint="eastAsia" w:ascii="宋体" w:hAnsi="宋体" w:cs="宋体"/>
                      <w:color w:val="000000" w:themeColor="text1"/>
                      <w:kern w:val="0"/>
                      <w:sz w:val="18"/>
                      <w:szCs w:val="18"/>
                      <w:lang w:val="en-US" w:eastAsia="zh-CN"/>
                      <w14:textFill>
                        <w14:solidFill>
                          <w14:schemeClr w14:val="tx1"/>
                        </w14:solidFill>
                      </w14:textFill>
                    </w:rPr>
                    <w:t>图纸上标注的构造柱、梁、板侧面加筑构造、</w:t>
                  </w:r>
                  <w:r>
                    <w:rPr>
                      <w:rFonts w:hint="eastAsia" w:ascii="宋体" w:hAnsi="宋体" w:cs="宋体"/>
                      <w:color w:val="000000" w:themeColor="text1"/>
                      <w:kern w:val="0"/>
                      <w:sz w:val="18"/>
                      <w:szCs w:val="18"/>
                      <w14:textFill>
                        <w14:solidFill>
                          <w14:schemeClr w14:val="tx1"/>
                        </w14:solidFill>
                      </w14:textFill>
                    </w:rPr>
                    <w:t>女儿墙等挑檐造型随主体一次成型</w:t>
                  </w:r>
                  <w:r>
                    <w:rPr>
                      <w:rFonts w:hint="eastAsia" w:ascii="宋体" w:hAnsi="宋体" w:cs="宋体"/>
                      <w:color w:val="000000" w:themeColor="text1"/>
                      <w:kern w:val="0"/>
                      <w:sz w:val="18"/>
                      <w:szCs w:val="18"/>
                      <w:lang w:eastAsia="zh-CN"/>
                      <w14:textFill>
                        <w14:solidFill>
                          <w14:schemeClr w14:val="tx1"/>
                        </w14:solidFill>
                      </w14:textFill>
                    </w:rPr>
                    <w:t>、洞口封堵</w:t>
                  </w:r>
                  <w:r>
                    <w:rPr>
                      <w:rFonts w:hint="eastAsia" w:ascii="宋体" w:hAnsi="宋体" w:cs="宋体"/>
                      <w:color w:val="000000" w:themeColor="text1"/>
                      <w:kern w:val="0"/>
                      <w:sz w:val="18"/>
                      <w:szCs w:val="18"/>
                      <w14:textFill>
                        <w14:solidFill>
                          <w14:schemeClr w14:val="tx1"/>
                        </w14:solidFill>
                      </w14:textFill>
                    </w:rPr>
                    <w:t>。</w:t>
                  </w:r>
                  <w:r>
                    <w:rPr>
                      <w:rFonts w:hint="eastAsia" w:ascii="宋体" w:hAnsi="宋体" w:cs="宋体"/>
                      <w:color w:val="000000" w:themeColor="text1"/>
                      <w:kern w:val="0"/>
                      <w:sz w:val="18"/>
                      <w:szCs w:val="18"/>
                      <w:lang w:val="en-US" w:eastAsia="zh-CN"/>
                      <w14:textFill>
                        <w14:solidFill>
                          <w14:schemeClr w14:val="tx1"/>
                        </w14:solidFill>
                      </w14:textFill>
                    </w:rPr>
                    <w:t>只计算与混凝土直接接触面的面积，一体化保温板区域不再计取外侧及梁底模板工程量（包含外墙柱梁外侧、梁底、 墙柱加宽部分）。</w:t>
                  </w:r>
                </w:p>
              </w:tc>
            </w:tr>
            <w:bookmarkEnd w:id="5"/>
            <w:tr w14:paraId="22F6EFD0">
              <w:tblPrEx>
                <w:tblCellMar>
                  <w:top w:w="0" w:type="dxa"/>
                  <w:left w:w="108" w:type="dxa"/>
                  <w:bottom w:w="0" w:type="dxa"/>
                  <w:right w:w="108" w:type="dxa"/>
                </w:tblCellMar>
              </w:tblPrEx>
              <w:trPr>
                <w:trHeight w:val="441" w:hRule="atLeast"/>
                <w:jc w:val="center"/>
              </w:trPr>
              <w:tc>
                <w:tcPr>
                  <w:tcW w:w="587" w:type="dxa"/>
                  <w:tcBorders>
                    <w:top w:val="single" w:color="auto" w:sz="4" w:space="0"/>
                    <w:left w:val="single" w:color="auto" w:sz="4" w:space="0"/>
                    <w:bottom w:val="single" w:color="auto" w:sz="4" w:space="0"/>
                    <w:right w:val="single" w:color="auto" w:sz="4" w:space="0"/>
                  </w:tcBorders>
                  <w:shd w:val="clear" w:color="auto" w:fill="auto"/>
                  <w:vAlign w:val="center"/>
                </w:tcPr>
                <w:p w14:paraId="59335603">
                  <w:pPr>
                    <w:jc w:val="center"/>
                    <w:rPr>
                      <w:rFonts w:hint="default" w:ascii="宋体" w:hAnsi="宋体" w:cs="宋体"/>
                      <w:color w:val="000000" w:themeColor="text1"/>
                      <w:kern w:val="0"/>
                      <w:sz w:val="18"/>
                      <w:szCs w:val="18"/>
                      <w:lang w:val="en-US" w:eastAsia="zh-CN"/>
                      <w14:textFill>
                        <w14:solidFill>
                          <w14:schemeClr w14:val="tx1"/>
                        </w14:solidFill>
                      </w14:textFill>
                    </w:rPr>
                  </w:pPr>
                  <w:r>
                    <w:rPr>
                      <w:rFonts w:hint="eastAsia" w:ascii="宋体" w:hAnsi="宋体" w:cs="宋体"/>
                      <w:color w:val="000000" w:themeColor="text1"/>
                      <w:kern w:val="0"/>
                      <w:sz w:val="18"/>
                      <w:szCs w:val="18"/>
                      <w:lang w:val="en-US" w:eastAsia="zh-CN"/>
                      <w14:textFill>
                        <w14:solidFill>
                          <w14:schemeClr w14:val="tx1"/>
                        </w14:solidFill>
                      </w14:textFill>
                    </w:rPr>
                    <w:t>3</w:t>
                  </w:r>
                </w:p>
              </w:tc>
              <w:tc>
                <w:tcPr>
                  <w:tcW w:w="686" w:type="dxa"/>
                  <w:tcBorders>
                    <w:top w:val="single" w:color="auto" w:sz="4" w:space="0"/>
                    <w:left w:val="single" w:color="auto" w:sz="4" w:space="0"/>
                    <w:bottom w:val="single" w:color="auto" w:sz="4" w:space="0"/>
                    <w:right w:val="single" w:color="auto" w:sz="4" w:space="0"/>
                  </w:tcBorders>
                  <w:shd w:val="clear" w:color="auto" w:fill="auto"/>
                  <w:vAlign w:val="center"/>
                </w:tcPr>
                <w:p w14:paraId="6011102D">
                  <w:pPr>
                    <w:jc w:val="center"/>
                    <w:rPr>
                      <w:rFonts w:hint="eastAsia" w:ascii="宋体" w:hAnsi="宋体" w:cs="宋体" w:eastAsiaTheme="minorEastAsia"/>
                      <w:color w:val="000000" w:themeColor="text1"/>
                      <w:kern w:val="0"/>
                      <w:sz w:val="18"/>
                      <w:szCs w:val="18"/>
                      <w:lang w:eastAsia="zh-CN"/>
                      <w14:textFill>
                        <w14:solidFill>
                          <w14:schemeClr w14:val="tx1"/>
                        </w14:solidFill>
                      </w14:textFill>
                    </w:rPr>
                  </w:pPr>
                  <w:r>
                    <w:rPr>
                      <w:rFonts w:hint="eastAsia" w:ascii="宋体" w:hAnsi="宋体" w:cs="宋体"/>
                      <w:color w:val="000000" w:themeColor="text1"/>
                      <w:kern w:val="0"/>
                      <w:sz w:val="18"/>
                      <w:szCs w:val="18"/>
                      <w:lang w:eastAsia="zh-CN"/>
                      <w14:textFill>
                        <w14:solidFill>
                          <w14:schemeClr w14:val="tx1"/>
                        </w14:solidFill>
                      </w14:textFill>
                    </w:rPr>
                    <w:t>砼</w:t>
                  </w:r>
                </w:p>
              </w:tc>
              <w:tc>
                <w:tcPr>
                  <w:tcW w:w="2704" w:type="dxa"/>
                  <w:tcBorders>
                    <w:top w:val="single" w:color="auto" w:sz="4" w:space="0"/>
                    <w:left w:val="single" w:color="auto" w:sz="4" w:space="0"/>
                    <w:bottom w:val="single" w:color="auto" w:sz="4" w:space="0"/>
                    <w:right w:val="single" w:color="auto" w:sz="4" w:space="0"/>
                  </w:tcBorders>
                  <w:shd w:val="clear" w:color="auto" w:fill="auto"/>
                  <w:vAlign w:val="center"/>
                </w:tcPr>
                <w:p w14:paraId="3639164E">
                  <w:pPr>
                    <w:jc w:val="center"/>
                    <w:rPr>
                      <w:rFonts w:hint="eastAsia"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lang w:eastAsia="zh-CN"/>
                      <w14:textFill>
                        <w14:solidFill>
                          <w14:schemeClr w14:val="tx1"/>
                        </w14:solidFill>
                      </w14:textFill>
                    </w:rPr>
                    <w:t>宿舍楼和门卫房、室外砼挡土墙</w:t>
                  </w:r>
                  <w:r>
                    <w:rPr>
                      <w:rFonts w:hint="eastAsia" w:ascii="宋体" w:hAnsi="宋体" w:cs="宋体"/>
                      <w:color w:val="000000" w:themeColor="text1"/>
                      <w:kern w:val="0"/>
                      <w:sz w:val="18"/>
                      <w:szCs w:val="18"/>
                      <w14:textFill>
                        <w14:solidFill>
                          <w14:schemeClr w14:val="tx1"/>
                        </w14:solidFill>
                      </w14:textFill>
                    </w:rPr>
                    <w:t>±0.000以下</w:t>
                  </w:r>
                </w:p>
              </w:tc>
              <w:tc>
                <w:tcPr>
                  <w:tcW w:w="680" w:type="dxa"/>
                  <w:tcBorders>
                    <w:top w:val="single" w:color="auto" w:sz="4" w:space="0"/>
                    <w:left w:val="single" w:color="auto" w:sz="4" w:space="0"/>
                    <w:bottom w:val="single" w:color="auto" w:sz="4" w:space="0"/>
                    <w:right w:val="single" w:color="auto" w:sz="4" w:space="0"/>
                  </w:tcBorders>
                  <w:shd w:val="clear" w:color="auto" w:fill="auto"/>
                  <w:vAlign w:val="center"/>
                </w:tcPr>
                <w:p w14:paraId="30DC3AC0">
                  <w:pPr>
                    <w:jc w:val="center"/>
                    <w:rPr>
                      <w:rFonts w:hint="eastAsia"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m3</w:t>
                  </w:r>
                </w:p>
              </w:tc>
              <w:tc>
                <w:tcPr>
                  <w:tcW w:w="1186" w:type="dxa"/>
                  <w:tcBorders>
                    <w:top w:val="single" w:color="auto" w:sz="4" w:space="0"/>
                    <w:left w:val="single" w:color="auto" w:sz="4" w:space="0"/>
                    <w:bottom w:val="single" w:color="auto" w:sz="4" w:space="0"/>
                    <w:right w:val="single" w:color="auto" w:sz="4" w:space="0"/>
                  </w:tcBorders>
                  <w:shd w:val="clear" w:color="auto" w:fill="auto"/>
                  <w:vAlign w:val="center"/>
                </w:tcPr>
                <w:p w14:paraId="10B05519">
                  <w:pPr>
                    <w:jc w:val="center"/>
                    <w:rPr>
                      <w:rFonts w:hint="default" w:ascii="宋体" w:hAnsi="宋体" w:cs="宋体"/>
                      <w:color w:val="000000" w:themeColor="text1"/>
                      <w:kern w:val="0"/>
                      <w:sz w:val="18"/>
                      <w:szCs w:val="18"/>
                      <w:lang w:val="en-US" w:eastAsia="zh-CN"/>
                      <w14:textFill>
                        <w14:solidFill>
                          <w14:schemeClr w14:val="tx1"/>
                        </w14:solidFill>
                      </w14:textFill>
                    </w:rPr>
                  </w:pPr>
                  <w:r>
                    <w:rPr>
                      <w:rFonts w:hint="eastAsia" w:ascii="宋体" w:hAnsi="宋体" w:cs="宋体"/>
                      <w:color w:val="000000" w:themeColor="text1"/>
                      <w:kern w:val="0"/>
                      <w:sz w:val="18"/>
                      <w:szCs w:val="18"/>
                      <w:lang w:val="en-US" w:eastAsia="zh-CN"/>
                      <w14:textFill>
                        <w14:solidFill>
                          <w14:schemeClr w14:val="tx1"/>
                        </w14:solidFill>
                      </w14:textFill>
                    </w:rPr>
                    <w:t>1200</w:t>
                  </w:r>
                </w:p>
              </w:tc>
              <w:tc>
                <w:tcPr>
                  <w:tcW w:w="1280" w:type="dxa"/>
                  <w:tcBorders>
                    <w:top w:val="single" w:color="auto" w:sz="4" w:space="0"/>
                    <w:left w:val="single" w:color="auto" w:sz="4" w:space="0"/>
                    <w:bottom w:val="single" w:color="auto" w:sz="4" w:space="0"/>
                    <w:right w:val="single" w:color="auto" w:sz="4" w:space="0"/>
                  </w:tcBorders>
                  <w:shd w:val="clear" w:color="auto" w:fill="auto"/>
                  <w:vAlign w:val="center"/>
                </w:tcPr>
                <w:p w14:paraId="4A26AF2F">
                  <w:pPr>
                    <w:rPr>
                      <w:rFonts w:hint="eastAsia" w:ascii="宋体" w:hAnsi="宋体" w:cs="宋体"/>
                      <w:color w:val="000000" w:themeColor="text1"/>
                      <w:kern w:val="0"/>
                      <w:sz w:val="18"/>
                      <w:szCs w:val="18"/>
                      <w14:textFill>
                        <w14:solidFill>
                          <w14:schemeClr w14:val="tx1"/>
                        </w14:solidFill>
                      </w14:textFill>
                    </w:rPr>
                  </w:pPr>
                </w:p>
              </w:tc>
              <w:tc>
                <w:tcPr>
                  <w:tcW w:w="1254" w:type="dxa"/>
                  <w:tcBorders>
                    <w:top w:val="single" w:color="auto" w:sz="4" w:space="0"/>
                    <w:left w:val="single" w:color="auto" w:sz="4" w:space="0"/>
                    <w:bottom w:val="single" w:color="auto" w:sz="4" w:space="0"/>
                    <w:right w:val="single" w:color="auto" w:sz="4" w:space="0"/>
                  </w:tcBorders>
                  <w:shd w:val="clear" w:color="auto" w:fill="auto"/>
                  <w:vAlign w:val="center"/>
                </w:tcPr>
                <w:p w14:paraId="0D52540D">
                  <w:pPr>
                    <w:rPr>
                      <w:rFonts w:hint="eastAsia" w:ascii="宋体" w:hAnsi="宋体" w:cs="宋体"/>
                      <w:color w:val="000000" w:themeColor="text1"/>
                      <w:kern w:val="0"/>
                      <w:sz w:val="18"/>
                      <w:szCs w:val="18"/>
                      <w14:textFill>
                        <w14:solidFill>
                          <w14:schemeClr w14:val="tx1"/>
                        </w14:solidFill>
                      </w14:textFill>
                    </w:rPr>
                  </w:pPr>
                </w:p>
              </w:tc>
              <w:tc>
                <w:tcPr>
                  <w:tcW w:w="6551" w:type="dxa"/>
                  <w:tcBorders>
                    <w:top w:val="single" w:color="auto" w:sz="4" w:space="0"/>
                    <w:left w:val="single" w:color="auto" w:sz="4" w:space="0"/>
                    <w:bottom w:val="single" w:color="auto" w:sz="4" w:space="0"/>
                    <w:right w:val="single" w:color="auto" w:sz="4" w:space="0"/>
                  </w:tcBorders>
                  <w:shd w:val="clear" w:color="auto" w:fill="auto"/>
                  <w:vAlign w:val="center"/>
                </w:tcPr>
                <w:p w14:paraId="47B5A7BE">
                  <w:pPr>
                    <w:rPr>
                      <w:rFonts w:hint="eastAsia"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混凝土按立方米计算</w:t>
                  </w:r>
                </w:p>
              </w:tc>
            </w:tr>
            <w:tr w14:paraId="4611AA18">
              <w:tblPrEx>
                <w:tblCellMar>
                  <w:top w:w="0" w:type="dxa"/>
                  <w:left w:w="108" w:type="dxa"/>
                  <w:bottom w:w="0" w:type="dxa"/>
                  <w:right w:w="108" w:type="dxa"/>
                </w:tblCellMar>
              </w:tblPrEx>
              <w:trPr>
                <w:trHeight w:val="441" w:hRule="atLeast"/>
                <w:jc w:val="center"/>
              </w:trPr>
              <w:tc>
                <w:tcPr>
                  <w:tcW w:w="587" w:type="dxa"/>
                  <w:tcBorders>
                    <w:top w:val="single" w:color="auto" w:sz="4" w:space="0"/>
                    <w:left w:val="single" w:color="auto" w:sz="4" w:space="0"/>
                    <w:bottom w:val="single" w:color="auto" w:sz="4" w:space="0"/>
                    <w:right w:val="single" w:color="auto" w:sz="4" w:space="0"/>
                  </w:tcBorders>
                  <w:shd w:val="clear" w:color="auto" w:fill="auto"/>
                  <w:vAlign w:val="center"/>
                </w:tcPr>
                <w:p w14:paraId="108084EC">
                  <w:pPr>
                    <w:jc w:val="center"/>
                    <w:rPr>
                      <w:rFonts w:hint="default" w:ascii="宋体" w:hAnsi="宋体" w:cs="宋体"/>
                      <w:color w:val="000000" w:themeColor="text1"/>
                      <w:kern w:val="0"/>
                      <w:sz w:val="18"/>
                      <w:szCs w:val="18"/>
                      <w:lang w:val="en-US" w:eastAsia="zh-CN"/>
                      <w14:textFill>
                        <w14:solidFill>
                          <w14:schemeClr w14:val="tx1"/>
                        </w14:solidFill>
                      </w14:textFill>
                    </w:rPr>
                  </w:pPr>
                  <w:r>
                    <w:rPr>
                      <w:rFonts w:hint="eastAsia" w:ascii="宋体" w:hAnsi="宋体" w:cs="宋体"/>
                      <w:color w:val="000000" w:themeColor="text1"/>
                      <w:kern w:val="0"/>
                      <w:sz w:val="18"/>
                      <w:szCs w:val="18"/>
                      <w:lang w:val="en-US" w:eastAsia="zh-CN"/>
                      <w14:textFill>
                        <w14:solidFill>
                          <w14:schemeClr w14:val="tx1"/>
                        </w14:solidFill>
                      </w14:textFill>
                    </w:rPr>
                    <w:t>4</w:t>
                  </w:r>
                </w:p>
              </w:tc>
              <w:tc>
                <w:tcPr>
                  <w:tcW w:w="686" w:type="dxa"/>
                  <w:tcBorders>
                    <w:top w:val="single" w:color="auto" w:sz="4" w:space="0"/>
                    <w:left w:val="single" w:color="auto" w:sz="4" w:space="0"/>
                    <w:bottom w:val="single" w:color="auto" w:sz="4" w:space="0"/>
                    <w:right w:val="single" w:color="auto" w:sz="4" w:space="0"/>
                  </w:tcBorders>
                  <w:shd w:val="clear" w:color="auto" w:fill="auto"/>
                  <w:vAlign w:val="center"/>
                </w:tcPr>
                <w:p w14:paraId="0E15B03E">
                  <w:pPr>
                    <w:jc w:val="center"/>
                    <w:rPr>
                      <w:rFonts w:hint="eastAsia" w:ascii="宋体" w:hAnsi="宋体" w:cs="宋体" w:eastAsiaTheme="minorEastAsia"/>
                      <w:color w:val="000000" w:themeColor="text1"/>
                      <w:kern w:val="0"/>
                      <w:sz w:val="18"/>
                      <w:szCs w:val="18"/>
                      <w:lang w:eastAsia="zh-CN"/>
                      <w14:textFill>
                        <w14:solidFill>
                          <w14:schemeClr w14:val="tx1"/>
                        </w14:solidFill>
                      </w14:textFill>
                    </w:rPr>
                  </w:pPr>
                  <w:r>
                    <w:rPr>
                      <w:rFonts w:hint="eastAsia" w:ascii="宋体" w:hAnsi="宋体" w:cs="宋体"/>
                      <w:color w:val="000000" w:themeColor="text1"/>
                      <w:kern w:val="0"/>
                      <w:sz w:val="18"/>
                      <w:szCs w:val="18"/>
                      <w:lang w:eastAsia="zh-CN"/>
                      <w14:textFill>
                        <w14:solidFill>
                          <w14:schemeClr w14:val="tx1"/>
                        </w14:solidFill>
                      </w14:textFill>
                    </w:rPr>
                    <w:t>砼</w:t>
                  </w:r>
                </w:p>
              </w:tc>
              <w:tc>
                <w:tcPr>
                  <w:tcW w:w="2704" w:type="dxa"/>
                  <w:tcBorders>
                    <w:top w:val="single" w:color="auto" w:sz="4" w:space="0"/>
                    <w:left w:val="single" w:color="auto" w:sz="4" w:space="0"/>
                    <w:bottom w:val="single" w:color="auto" w:sz="4" w:space="0"/>
                    <w:right w:val="single" w:color="auto" w:sz="4" w:space="0"/>
                  </w:tcBorders>
                  <w:shd w:val="clear" w:color="auto" w:fill="auto"/>
                  <w:vAlign w:val="center"/>
                </w:tcPr>
                <w:p w14:paraId="7F739012">
                  <w:pPr>
                    <w:jc w:val="center"/>
                    <w:rPr>
                      <w:rFonts w:hint="eastAsia"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lang w:eastAsia="zh-CN"/>
                      <w14:textFill>
                        <w14:solidFill>
                          <w14:schemeClr w14:val="tx1"/>
                        </w14:solidFill>
                      </w14:textFill>
                    </w:rPr>
                    <w:t>宿舍楼和门卫房、室外砼挡土墙</w:t>
                  </w:r>
                  <w:r>
                    <w:rPr>
                      <w:rFonts w:hint="eastAsia" w:ascii="宋体" w:hAnsi="宋体" w:cs="宋体"/>
                      <w:color w:val="000000" w:themeColor="text1"/>
                      <w:kern w:val="0"/>
                      <w:sz w:val="18"/>
                      <w:szCs w:val="18"/>
                      <w14:textFill>
                        <w14:solidFill>
                          <w14:schemeClr w14:val="tx1"/>
                        </w14:solidFill>
                      </w14:textFill>
                    </w:rPr>
                    <w:t>±0.000以上</w:t>
                  </w:r>
                </w:p>
              </w:tc>
              <w:tc>
                <w:tcPr>
                  <w:tcW w:w="680" w:type="dxa"/>
                  <w:tcBorders>
                    <w:top w:val="single" w:color="auto" w:sz="4" w:space="0"/>
                    <w:left w:val="single" w:color="auto" w:sz="4" w:space="0"/>
                    <w:bottom w:val="single" w:color="auto" w:sz="4" w:space="0"/>
                    <w:right w:val="single" w:color="auto" w:sz="4" w:space="0"/>
                  </w:tcBorders>
                  <w:shd w:val="clear" w:color="auto" w:fill="auto"/>
                  <w:vAlign w:val="center"/>
                </w:tcPr>
                <w:p w14:paraId="3C4AAD58">
                  <w:pPr>
                    <w:jc w:val="center"/>
                    <w:rPr>
                      <w:rFonts w:hint="eastAsia" w:ascii="宋体" w:hAnsi="宋体" w:cs="宋体"/>
                      <w:color w:val="000000" w:themeColor="text1"/>
                      <w:kern w:val="0"/>
                      <w:sz w:val="18"/>
                      <w:szCs w:val="18"/>
                      <w:lang w:eastAsia="zh-CN"/>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m3</w:t>
                  </w:r>
                </w:p>
              </w:tc>
              <w:tc>
                <w:tcPr>
                  <w:tcW w:w="1186" w:type="dxa"/>
                  <w:tcBorders>
                    <w:top w:val="single" w:color="auto" w:sz="4" w:space="0"/>
                    <w:left w:val="single" w:color="auto" w:sz="4" w:space="0"/>
                    <w:bottom w:val="single" w:color="auto" w:sz="4" w:space="0"/>
                    <w:right w:val="single" w:color="auto" w:sz="4" w:space="0"/>
                  </w:tcBorders>
                  <w:shd w:val="clear" w:color="auto" w:fill="auto"/>
                  <w:vAlign w:val="center"/>
                </w:tcPr>
                <w:p w14:paraId="6C4E8548">
                  <w:pPr>
                    <w:jc w:val="center"/>
                    <w:rPr>
                      <w:rFonts w:hint="default" w:ascii="宋体" w:hAnsi="宋体" w:cs="宋体"/>
                      <w:color w:val="000000" w:themeColor="text1"/>
                      <w:kern w:val="0"/>
                      <w:sz w:val="18"/>
                      <w:szCs w:val="18"/>
                      <w:lang w:val="en-US" w:eastAsia="zh-CN"/>
                      <w14:textFill>
                        <w14:solidFill>
                          <w14:schemeClr w14:val="tx1"/>
                        </w14:solidFill>
                      </w14:textFill>
                    </w:rPr>
                  </w:pPr>
                  <w:r>
                    <w:rPr>
                      <w:rFonts w:hint="eastAsia" w:ascii="宋体" w:hAnsi="宋体" w:cs="宋体"/>
                      <w:color w:val="000000" w:themeColor="text1"/>
                      <w:kern w:val="0"/>
                      <w:sz w:val="18"/>
                      <w:szCs w:val="18"/>
                      <w:lang w:val="en-US" w:eastAsia="zh-CN"/>
                      <w14:textFill>
                        <w14:solidFill>
                          <w14:schemeClr w14:val="tx1"/>
                        </w14:solidFill>
                      </w14:textFill>
                    </w:rPr>
                    <w:t>10000</w:t>
                  </w:r>
                </w:p>
              </w:tc>
              <w:tc>
                <w:tcPr>
                  <w:tcW w:w="1280" w:type="dxa"/>
                  <w:tcBorders>
                    <w:top w:val="single" w:color="auto" w:sz="4" w:space="0"/>
                    <w:left w:val="single" w:color="auto" w:sz="4" w:space="0"/>
                    <w:bottom w:val="single" w:color="auto" w:sz="4" w:space="0"/>
                    <w:right w:val="single" w:color="auto" w:sz="4" w:space="0"/>
                  </w:tcBorders>
                  <w:shd w:val="clear" w:color="auto" w:fill="auto"/>
                  <w:vAlign w:val="center"/>
                </w:tcPr>
                <w:p w14:paraId="6C844640">
                  <w:pPr>
                    <w:rPr>
                      <w:rFonts w:hint="eastAsia" w:ascii="宋体" w:hAnsi="宋体" w:cs="宋体"/>
                      <w:color w:val="000000" w:themeColor="text1"/>
                      <w:kern w:val="0"/>
                      <w:sz w:val="18"/>
                      <w:szCs w:val="18"/>
                      <w14:textFill>
                        <w14:solidFill>
                          <w14:schemeClr w14:val="tx1"/>
                        </w14:solidFill>
                      </w14:textFill>
                    </w:rPr>
                  </w:pPr>
                </w:p>
              </w:tc>
              <w:tc>
                <w:tcPr>
                  <w:tcW w:w="1254" w:type="dxa"/>
                  <w:tcBorders>
                    <w:top w:val="single" w:color="auto" w:sz="4" w:space="0"/>
                    <w:left w:val="single" w:color="auto" w:sz="4" w:space="0"/>
                    <w:bottom w:val="single" w:color="auto" w:sz="4" w:space="0"/>
                    <w:right w:val="single" w:color="auto" w:sz="4" w:space="0"/>
                  </w:tcBorders>
                  <w:shd w:val="clear" w:color="auto" w:fill="auto"/>
                  <w:vAlign w:val="center"/>
                </w:tcPr>
                <w:p w14:paraId="7AF5DB54">
                  <w:pPr>
                    <w:rPr>
                      <w:rFonts w:hint="eastAsia" w:ascii="宋体" w:hAnsi="宋体" w:cs="宋体"/>
                      <w:color w:val="000000" w:themeColor="text1"/>
                      <w:kern w:val="0"/>
                      <w:sz w:val="18"/>
                      <w:szCs w:val="18"/>
                      <w14:textFill>
                        <w14:solidFill>
                          <w14:schemeClr w14:val="tx1"/>
                        </w14:solidFill>
                      </w14:textFill>
                    </w:rPr>
                  </w:pPr>
                </w:p>
              </w:tc>
              <w:tc>
                <w:tcPr>
                  <w:tcW w:w="6551" w:type="dxa"/>
                  <w:tcBorders>
                    <w:top w:val="single" w:color="auto" w:sz="4" w:space="0"/>
                    <w:left w:val="single" w:color="auto" w:sz="4" w:space="0"/>
                    <w:bottom w:val="single" w:color="auto" w:sz="4" w:space="0"/>
                    <w:right w:val="single" w:color="auto" w:sz="4" w:space="0"/>
                  </w:tcBorders>
                  <w:shd w:val="clear" w:color="auto" w:fill="auto"/>
                  <w:vAlign w:val="center"/>
                </w:tcPr>
                <w:p w14:paraId="711E9261">
                  <w:pPr>
                    <w:rPr>
                      <w:rFonts w:hint="eastAsia"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混凝土按立方米计算</w:t>
                  </w:r>
                </w:p>
              </w:tc>
            </w:tr>
            <w:tr w14:paraId="2A1E17B3">
              <w:tblPrEx>
                <w:tblCellMar>
                  <w:top w:w="0" w:type="dxa"/>
                  <w:left w:w="108" w:type="dxa"/>
                  <w:bottom w:w="0" w:type="dxa"/>
                  <w:right w:w="108" w:type="dxa"/>
                </w:tblCellMar>
              </w:tblPrEx>
              <w:trPr>
                <w:trHeight w:val="912" w:hRule="atLeast"/>
                <w:jc w:val="center"/>
              </w:trPr>
              <w:tc>
                <w:tcPr>
                  <w:tcW w:w="587" w:type="dxa"/>
                  <w:tcBorders>
                    <w:top w:val="nil"/>
                    <w:left w:val="single" w:color="auto" w:sz="4" w:space="0"/>
                    <w:bottom w:val="single" w:color="auto" w:sz="4" w:space="0"/>
                    <w:right w:val="single" w:color="auto" w:sz="4" w:space="0"/>
                  </w:tcBorders>
                  <w:shd w:val="clear" w:color="auto" w:fill="auto"/>
                  <w:vAlign w:val="center"/>
                </w:tcPr>
                <w:p w14:paraId="06C2C814">
                  <w:pPr>
                    <w:jc w:val="center"/>
                    <w:rPr>
                      <w:rFonts w:hint="eastAsia" w:ascii="宋体" w:hAnsi="宋体" w:cs="宋体"/>
                      <w:color w:val="000000" w:themeColor="text1"/>
                      <w:kern w:val="0"/>
                      <w:sz w:val="18"/>
                      <w:szCs w:val="18"/>
                      <w:lang w:val="en-US" w:eastAsia="zh-CN"/>
                      <w14:textFill>
                        <w14:solidFill>
                          <w14:schemeClr w14:val="tx1"/>
                        </w14:solidFill>
                      </w14:textFill>
                    </w:rPr>
                  </w:pPr>
                  <w:r>
                    <w:rPr>
                      <w:rFonts w:hint="eastAsia" w:ascii="宋体" w:hAnsi="宋体" w:cs="宋体"/>
                      <w:color w:val="000000" w:themeColor="text1"/>
                      <w:kern w:val="0"/>
                      <w:sz w:val="18"/>
                      <w:szCs w:val="18"/>
                      <w:lang w:val="en-US" w:eastAsia="zh-CN"/>
                      <w14:textFill>
                        <w14:solidFill>
                          <w14:schemeClr w14:val="tx1"/>
                        </w14:solidFill>
                      </w14:textFill>
                    </w:rPr>
                    <w:t>5</w:t>
                  </w:r>
                </w:p>
              </w:tc>
              <w:tc>
                <w:tcPr>
                  <w:tcW w:w="686" w:type="dxa"/>
                  <w:tcBorders>
                    <w:left w:val="single" w:color="auto" w:sz="4" w:space="0"/>
                    <w:bottom w:val="single" w:color="auto" w:sz="4" w:space="0"/>
                    <w:right w:val="single" w:color="auto" w:sz="4" w:space="0"/>
                  </w:tcBorders>
                  <w:shd w:val="clear" w:color="auto" w:fill="auto"/>
                  <w:vAlign w:val="center"/>
                </w:tcPr>
                <w:p w14:paraId="62C325DB">
                  <w:pPr>
                    <w:jc w:val="center"/>
                    <w:rPr>
                      <w:rFonts w:hint="eastAsia" w:ascii="宋体" w:hAnsi="宋体" w:cs="宋体"/>
                      <w:color w:val="000000" w:themeColor="text1"/>
                      <w:kern w:val="0"/>
                      <w:sz w:val="18"/>
                      <w:szCs w:val="18"/>
                      <w:lang w:val="en-US" w:eastAsia="zh-CN"/>
                      <w14:textFill>
                        <w14:solidFill>
                          <w14:schemeClr w14:val="tx1"/>
                        </w14:solidFill>
                      </w14:textFill>
                    </w:rPr>
                  </w:pPr>
                  <w:r>
                    <w:rPr>
                      <w:rFonts w:hint="eastAsia" w:ascii="宋体" w:hAnsi="宋体" w:cs="宋体"/>
                      <w:color w:val="000000" w:themeColor="text1"/>
                      <w:kern w:val="0"/>
                      <w:sz w:val="18"/>
                      <w:szCs w:val="18"/>
                      <w:lang w:val="en-US" w:eastAsia="zh-CN"/>
                      <w14:textFill>
                        <w14:solidFill>
                          <w14:schemeClr w14:val="tx1"/>
                        </w14:solidFill>
                      </w14:textFill>
                    </w:rPr>
                    <w:t>钢筋</w:t>
                  </w:r>
                </w:p>
              </w:tc>
              <w:tc>
                <w:tcPr>
                  <w:tcW w:w="2704" w:type="dxa"/>
                  <w:tcBorders>
                    <w:top w:val="single" w:color="000000" w:sz="4" w:space="0"/>
                    <w:left w:val="single" w:color="auto" w:sz="4" w:space="0"/>
                    <w:bottom w:val="single" w:color="000000" w:sz="4" w:space="0"/>
                    <w:right w:val="single" w:color="000000" w:sz="4" w:space="0"/>
                  </w:tcBorders>
                  <w:shd w:val="clear" w:color="auto" w:fill="auto"/>
                  <w:vAlign w:val="center"/>
                </w:tcPr>
                <w:p w14:paraId="1054F0DF">
                  <w:pPr>
                    <w:jc w:val="center"/>
                    <w:rPr>
                      <w:rFonts w:hint="eastAsia" w:ascii="宋体" w:hAnsi="宋体" w:cs="宋体"/>
                      <w:color w:val="000000" w:themeColor="text1"/>
                      <w:kern w:val="0"/>
                      <w:sz w:val="18"/>
                      <w:szCs w:val="18"/>
                      <w:lang w:val="en-US" w:eastAsia="zh-CN"/>
                      <w14:textFill>
                        <w14:solidFill>
                          <w14:schemeClr w14:val="tx1"/>
                        </w14:solidFill>
                      </w14:textFill>
                    </w:rPr>
                  </w:pPr>
                  <w:r>
                    <w:rPr>
                      <w:rFonts w:hint="eastAsia" w:ascii="宋体" w:hAnsi="宋体" w:cs="宋体"/>
                      <w:color w:val="000000" w:themeColor="text1"/>
                      <w:kern w:val="0"/>
                      <w:sz w:val="18"/>
                      <w:szCs w:val="18"/>
                      <w:lang w:eastAsia="zh-CN"/>
                      <w14:textFill>
                        <w14:solidFill>
                          <w14:schemeClr w14:val="tx1"/>
                        </w14:solidFill>
                      </w14:textFill>
                    </w:rPr>
                    <w:t>宿舍楼和门卫房、室外砼挡土墙</w:t>
                  </w:r>
                  <w:r>
                    <w:rPr>
                      <w:rFonts w:hint="eastAsia" w:ascii="宋体" w:hAnsi="宋体" w:cs="宋体"/>
                      <w:color w:val="000000" w:themeColor="text1"/>
                      <w:kern w:val="0"/>
                      <w:sz w:val="18"/>
                      <w:szCs w:val="18"/>
                      <w14:textFill>
                        <w14:solidFill>
                          <w14:schemeClr w14:val="tx1"/>
                        </w14:solidFill>
                      </w14:textFill>
                    </w:rPr>
                    <w:t>±0.000以下</w:t>
                  </w:r>
                </w:p>
              </w:tc>
              <w:tc>
                <w:tcPr>
                  <w:tcW w:w="680" w:type="dxa"/>
                  <w:tcBorders>
                    <w:top w:val="nil"/>
                    <w:left w:val="nil"/>
                    <w:bottom w:val="single" w:color="000000" w:sz="4" w:space="0"/>
                    <w:right w:val="single" w:color="000000" w:sz="4" w:space="0"/>
                  </w:tcBorders>
                  <w:shd w:val="clear" w:color="auto" w:fill="auto"/>
                  <w:vAlign w:val="center"/>
                </w:tcPr>
                <w:p w14:paraId="65C7DA36">
                  <w:pPr>
                    <w:jc w:val="center"/>
                    <w:rPr>
                      <w:rFonts w:hint="eastAsia" w:ascii="宋体" w:hAnsi="宋体" w:cs="宋体"/>
                      <w:color w:val="000000" w:themeColor="text1"/>
                      <w:kern w:val="0"/>
                      <w:sz w:val="18"/>
                      <w:szCs w:val="18"/>
                      <w:lang w:val="en-US" w:eastAsia="zh-CN"/>
                      <w14:textFill>
                        <w14:solidFill>
                          <w14:schemeClr w14:val="tx1"/>
                        </w14:solidFill>
                      </w14:textFill>
                    </w:rPr>
                  </w:pPr>
                  <w:r>
                    <w:rPr>
                      <w:rFonts w:hint="eastAsia" w:ascii="宋体" w:hAnsi="宋体" w:cs="宋体"/>
                      <w:color w:val="000000" w:themeColor="text1"/>
                      <w:kern w:val="0"/>
                      <w:sz w:val="18"/>
                      <w:szCs w:val="18"/>
                      <w:lang w:val="en-US" w:eastAsia="zh-CN"/>
                      <w14:textFill>
                        <w14:solidFill>
                          <w14:schemeClr w14:val="tx1"/>
                        </w14:solidFill>
                      </w14:textFill>
                    </w:rPr>
                    <w:t>t</w:t>
                  </w:r>
                </w:p>
              </w:tc>
              <w:tc>
                <w:tcPr>
                  <w:tcW w:w="1186" w:type="dxa"/>
                  <w:tcBorders>
                    <w:top w:val="nil"/>
                    <w:left w:val="nil"/>
                    <w:bottom w:val="single" w:color="000000" w:sz="4" w:space="0"/>
                    <w:right w:val="single" w:color="000000" w:sz="4" w:space="0"/>
                  </w:tcBorders>
                  <w:shd w:val="clear" w:color="auto" w:fill="auto"/>
                  <w:vAlign w:val="center"/>
                </w:tcPr>
                <w:p w14:paraId="313B2B24">
                  <w:pPr>
                    <w:jc w:val="center"/>
                    <w:rPr>
                      <w:rFonts w:hint="default" w:ascii="宋体" w:hAnsi="宋体" w:cs="宋体"/>
                      <w:color w:val="000000" w:themeColor="text1"/>
                      <w:kern w:val="0"/>
                      <w:sz w:val="18"/>
                      <w:szCs w:val="18"/>
                      <w:lang w:val="en-US" w:eastAsia="zh-CN"/>
                      <w14:textFill>
                        <w14:solidFill>
                          <w14:schemeClr w14:val="tx1"/>
                        </w14:solidFill>
                      </w14:textFill>
                    </w:rPr>
                  </w:pPr>
                  <w:r>
                    <w:rPr>
                      <w:rFonts w:hint="eastAsia" w:ascii="宋体" w:hAnsi="宋体" w:cs="宋体"/>
                      <w:color w:val="000000" w:themeColor="text1"/>
                      <w:kern w:val="0"/>
                      <w:sz w:val="18"/>
                      <w:szCs w:val="18"/>
                      <w:lang w:val="en-US" w:eastAsia="zh-CN"/>
                      <w14:textFill>
                        <w14:solidFill>
                          <w14:schemeClr w14:val="tx1"/>
                        </w14:solidFill>
                      </w14:textFill>
                    </w:rPr>
                    <w:t>320</w:t>
                  </w:r>
                </w:p>
              </w:tc>
              <w:tc>
                <w:tcPr>
                  <w:tcW w:w="1280" w:type="dxa"/>
                  <w:tcBorders>
                    <w:top w:val="nil"/>
                    <w:left w:val="nil"/>
                    <w:bottom w:val="single" w:color="000000" w:sz="4" w:space="0"/>
                    <w:right w:val="single" w:color="auto" w:sz="4" w:space="0"/>
                  </w:tcBorders>
                  <w:shd w:val="clear" w:color="auto" w:fill="auto"/>
                  <w:vAlign w:val="center"/>
                </w:tcPr>
                <w:p w14:paraId="3D532220">
                  <w:pPr>
                    <w:jc w:val="center"/>
                    <w:rPr>
                      <w:rFonts w:hint="eastAsia" w:ascii="宋体" w:hAnsi="宋体" w:cs="宋体"/>
                      <w:color w:val="000000" w:themeColor="text1"/>
                      <w:kern w:val="0"/>
                      <w:sz w:val="18"/>
                      <w:szCs w:val="18"/>
                      <w:lang w:val="en-US" w:eastAsia="zh-CN"/>
                      <w14:textFill>
                        <w14:solidFill>
                          <w14:schemeClr w14:val="tx1"/>
                        </w14:solidFill>
                      </w14:textFill>
                    </w:rPr>
                  </w:pPr>
                </w:p>
              </w:tc>
              <w:tc>
                <w:tcPr>
                  <w:tcW w:w="1254" w:type="dxa"/>
                  <w:tcBorders>
                    <w:top w:val="nil"/>
                    <w:left w:val="single" w:color="auto" w:sz="4" w:space="0"/>
                    <w:bottom w:val="single" w:color="000000" w:sz="4" w:space="0"/>
                    <w:right w:val="single" w:color="000000" w:sz="4" w:space="0"/>
                  </w:tcBorders>
                  <w:shd w:val="clear" w:color="auto" w:fill="auto"/>
                  <w:vAlign w:val="center"/>
                </w:tcPr>
                <w:p w14:paraId="7A6D4021">
                  <w:pPr>
                    <w:jc w:val="center"/>
                    <w:rPr>
                      <w:rFonts w:hint="eastAsia" w:ascii="宋体" w:hAnsi="宋体" w:cs="宋体"/>
                      <w:color w:val="000000" w:themeColor="text1"/>
                      <w:kern w:val="0"/>
                      <w:sz w:val="18"/>
                      <w:szCs w:val="18"/>
                      <w:lang w:val="en-US" w:eastAsia="zh-CN"/>
                      <w14:textFill>
                        <w14:solidFill>
                          <w14:schemeClr w14:val="tx1"/>
                        </w14:solidFill>
                      </w14:textFill>
                    </w:rPr>
                  </w:pPr>
                </w:p>
              </w:tc>
              <w:tc>
                <w:tcPr>
                  <w:tcW w:w="6551" w:type="dxa"/>
                  <w:tcBorders>
                    <w:top w:val="nil"/>
                    <w:left w:val="nil"/>
                    <w:bottom w:val="single" w:color="000000" w:sz="4" w:space="0"/>
                    <w:right w:val="single" w:color="000000" w:sz="4" w:space="0"/>
                  </w:tcBorders>
                  <w:shd w:val="clear" w:color="auto" w:fill="auto"/>
                  <w:vAlign w:val="center"/>
                </w:tcPr>
                <w:p w14:paraId="246C57EE">
                  <w:pPr>
                    <w:jc w:val="both"/>
                    <w:rPr>
                      <w:rFonts w:hint="eastAsia" w:ascii="宋体" w:hAnsi="宋体" w:cs="宋体"/>
                      <w:color w:val="000000" w:themeColor="text1"/>
                      <w:kern w:val="0"/>
                      <w:sz w:val="18"/>
                      <w:szCs w:val="18"/>
                      <w:lang w:val="en-US" w:eastAsia="zh-CN"/>
                      <w14:textFill>
                        <w14:solidFill>
                          <w14:schemeClr w14:val="tx1"/>
                        </w14:solidFill>
                      </w14:textFill>
                    </w:rPr>
                  </w:pPr>
                  <w:r>
                    <w:rPr>
                      <w:rFonts w:hint="eastAsia" w:ascii="宋体" w:hAnsi="宋体" w:cs="宋体"/>
                      <w:color w:val="000000" w:themeColor="text1"/>
                      <w:kern w:val="0"/>
                      <w:sz w:val="18"/>
                      <w:szCs w:val="18"/>
                      <w:lang w:val="en-US" w:eastAsia="zh-CN"/>
                      <w14:textFill>
                        <w14:solidFill>
                          <w14:schemeClr w14:val="tx1"/>
                        </w14:solidFill>
                      </w14:textFill>
                    </w:rPr>
                    <w:t>钢筋按吨位计算</w:t>
                  </w:r>
                </w:p>
              </w:tc>
            </w:tr>
            <w:tr w14:paraId="321452AD">
              <w:tblPrEx>
                <w:tblCellMar>
                  <w:top w:w="0" w:type="dxa"/>
                  <w:left w:w="108" w:type="dxa"/>
                  <w:bottom w:w="0" w:type="dxa"/>
                  <w:right w:w="108" w:type="dxa"/>
                </w:tblCellMar>
              </w:tblPrEx>
              <w:trPr>
                <w:trHeight w:val="499" w:hRule="atLeast"/>
                <w:jc w:val="center"/>
              </w:trPr>
              <w:tc>
                <w:tcPr>
                  <w:tcW w:w="587" w:type="dxa"/>
                  <w:tcBorders>
                    <w:top w:val="single" w:color="auto" w:sz="4" w:space="0"/>
                    <w:left w:val="single" w:color="000000" w:sz="4" w:space="0"/>
                    <w:bottom w:val="single" w:color="000000" w:sz="4" w:space="0"/>
                    <w:right w:val="single" w:color="auto" w:sz="4" w:space="0"/>
                  </w:tcBorders>
                  <w:shd w:val="clear" w:color="auto" w:fill="auto"/>
                  <w:vAlign w:val="center"/>
                </w:tcPr>
                <w:p w14:paraId="39F28505">
                  <w:pPr>
                    <w:jc w:val="center"/>
                    <w:rPr>
                      <w:rFonts w:hint="eastAsia" w:ascii="宋体" w:hAnsi="宋体" w:cs="宋体"/>
                      <w:color w:val="000000" w:themeColor="text1"/>
                      <w:kern w:val="0"/>
                      <w:sz w:val="18"/>
                      <w:szCs w:val="18"/>
                      <w:lang w:val="en-US" w:eastAsia="zh-CN"/>
                      <w14:textFill>
                        <w14:solidFill>
                          <w14:schemeClr w14:val="tx1"/>
                        </w14:solidFill>
                      </w14:textFill>
                    </w:rPr>
                  </w:pPr>
                  <w:r>
                    <w:rPr>
                      <w:rFonts w:hint="eastAsia" w:ascii="宋体" w:hAnsi="宋体" w:cs="宋体"/>
                      <w:color w:val="000000" w:themeColor="text1"/>
                      <w:kern w:val="0"/>
                      <w:sz w:val="18"/>
                      <w:szCs w:val="18"/>
                      <w:lang w:val="en-US" w:eastAsia="zh-CN"/>
                      <w14:textFill>
                        <w14:solidFill>
                          <w14:schemeClr w14:val="tx1"/>
                        </w14:solidFill>
                      </w14:textFill>
                    </w:rPr>
                    <w:t>6</w:t>
                  </w:r>
                </w:p>
              </w:tc>
              <w:tc>
                <w:tcPr>
                  <w:tcW w:w="686" w:type="dxa"/>
                  <w:tcBorders>
                    <w:top w:val="single" w:color="auto" w:sz="4" w:space="0"/>
                    <w:left w:val="single" w:color="auto" w:sz="4" w:space="0"/>
                    <w:bottom w:val="single" w:color="auto" w:sz="4" w:space="0"/>
                    <w:right w:val="single" w:color="auto" w:sz="4" w:space="0"/>
                  </w:tcBorders>
                  <w:shd w:val="clear" w:color="auto" w:fill="auto"/>
                  <w:vAlign w:val="center"/>
                </w:tcPr>
                <w:p w14:paraId="118A2873">
                  <w:pPr>
                    <w:jc w:val="center"/>
                    <w:rPr>
                      <w:rFonts w:hint="eastAsia" w:ascii="宋体" w:hAnsi="宋体" w:cs="宋体"/>
                      <w:color w:val="000000" w:themeColor="text1"/>
                      <w:kern w:val="0"/>
                      <w:sz w:val="18"/>
                      <w:szCs w:val="18"/>
                      <w:lang w:val="en-US" w:eastAsia="zh-CN"/>
                      <w14:textFill>
                        <w14:solidFill>
                          <w14:schemeClr w14:val="tx1"/>
                        </w14:solidFill>
                      </w14:textFill>
                    </w:rPr>
                  </w:pPr>
                  <w:r>
                    <w:rPr>
                      <w:rFonts w:hint="eastAsia" w:ascii="宋体" w:hAnsi="宋体" w:cs="宋体"/>
                      <w:color w:val="000000" w:themeColor="text1"/>
                      <w:kern w:val="0"/>
                      <w:sz w:val="18"/>
                      <w:szCs w:val="18"/>
                      <w:lang w:val="en-US" w:eastAsia="zh-CN"/>
                      <w14:textFill>
                        <w14:solidFill>
                          <w14:schemeClr w14:val="tx1"/>
                        </w14:solidFill>
                      </w14:textFill>
                    </w:rPr>
                    <w:t>钢筋</w:t>
                  </w:r>
                </w:p>
              </w:tc>
              <w:tc>
                <w:tcPr>
                  <w:tcW w:w="2704" w:type="dxa"/>
                  <w:tcBorders>
                    <w:top w:val="single" w:color="000000" w:sz="4" w:space="0"/>
                    <w:left w:val="single" w:color="auto" w:sz="4" w:space="0"/>
                    <w:bottom w:val="single" w:color="000000" w:sz="4" w:space="0"/>
                    <w:right w:val="single" w:color="000000" w:sz="4" w:space="0"/>
                  </w:tcBorders>
                  <w:shd w:val="clear" w:color="auto" w:fill="auto"/>
                  <w:vAlign w:val="center"/>
                </w:tcPr>
                <w:p w14:paraId="0E79C194">
                  <w:pPr>
                    <w:jc w:val="center"/>
                    <w:rPr>
                      <w:rFonts w:hint="eastAsia" w:ascii="宋体" w:hAnsi="宋体" w:cs="宋体"/>
                      <w:color w:val="000000" w:themeColor="text1"/>
                      <w:kern w:val="0"/>
                      <w:sz w:val="18"/>
                      <w:szCs w:val="18"/>
                      <w:lang w:val="en-US" w:eastAsia="zh-CN"/>
                      <w14:textFill>
                        <w14:solidFill>
                          <w14:schemeClr w14:val="tx1"/>
                        </w14:solidFill>
                      </w14:textFill>
                    </w:rPr>
                  </w:pPr>
                  <w:r>
                    <w:rPr>
                      <w:rFonts w:hint="eastAsia" w:ascii="宋体" w:hAnsi="宋体" w:cs="宋体"/>
                      <w:color w:val="000000" w:themeColor="text1"/>
                      <w:kern w:val="0"/>
                      <w:sz w:val="18"/>
                      <w:szCs w:val="18"/>
                      <w:lang w:eastAsia="zh-CN"/>
                      <w14:textFill>
                        <w14:solidFill>
                          <w14:schemeClr w14:val="tx1"/>
                        </w14:solidFill>
                      </w14:textFill>
                    </w:rPr>
                    <w:t>宿舍楼和门卫房、室外砼挡土墙</w:t>
                  </w:r>
                  <w:r>
                    <w:rPr>
                      <w:rFonts w:hint="eastAsia" w:ascii="宋体" w:hAnsi="宋体" w:cs="宋体"/>
                      <w:color w:val="000000" w:themeColor="text1"/>
                      <w:kern w:val="0"/>
                      <w:sz w:val="18"/>
                      <w:szCs w:val="18"/>
                      <w:lang w:val="en-US" w:eastAsia="zh-CN"/>
                      <w14:textFill>
                        <w14:solidFill>
                          <w14:schemeClr w14:val="tx1"/>
                        </w14:solidFill>
                      </w14:textFill>
                    </w:rPr>
                    <w:t>±0.000以上</w:t>
                  </w:r>
                </w:p>
              </w:tc>
              <w:tc>
                <w:tcPr>
                  <w:tcW w:w="680" w:type="dxa"/>
                  <w:tcBorders>
                    <w:top w:val="nil"/>
                    <w:left w:val="nil"/>
                    <w:bottom w:val="single" w:color="000000" w:sz="4" w:space="0"/>
                    <w:right w:val="single" w:color="000000" w:sz="4" w:space="0"/>
                  </w:tcBorders>
                  <w:shd w:val="clear" w:color="auto" w:fill="auto"/>
                  <w:vAlign w:val="center"/>
                </w:tcPr>
                <w:p w14:paraId="132D970A">
                  <w:pPr>
                    <w:jc w:val="center"/>
                    <w:rPr>
                      <w:rFonts w:hint="eastAsia" w:ascii="宋体" w:hAnsi="宋体" w:cs="宋体"/>
                      <w:color w:val="000000" w:themeColor="text1"/>
                      <w:kern w:val="0"/>
                      <w:sz w:val="18"/>
                      <w:szCs w:val="18"/>
                      <w:lang w:val="en-US" w:eastAsia="zh-CN"/>
                      <w14:textFill>
                        <w14:solidFill>
                          <w14:schemeClr w14:val="tx1"/>
                        </w14:solidFill>
                      </w14:textFill>
                    </w:rPr>
                  </w:pPr>
                  <w:r>
                    <w:rPr>
                      <w:rFonts w:hint="eastAsia" w:ascii="宋体" w:hAnsi="宋体" w:cs="宋体"/>
                      <w:color w:val="000000" w:themeColor="text1"/>
                      <w:kern w:val="0"/>
                      <w:sz w:val="18"/>
                      <w:szCs w:val="18"/>
                      <w:lang w:val="en-US" w:eastAsia="zh-CN"/>
                      <w14:textFill>
                        <w14:solidFill>
                          <w14:schemeClr w14:val="tx1"/>
                        </w14:solidFill>
                      </w14:textFill>
                    </w:rPr>
                    <w:t>t</w:t>
                  </w:r>
                </w:p>
              </w:tc>
              <w:tc>
                <w:tcPr>
                  <w:tcW w:w="1186" w:type="dxa"/>
                  <w:tcBorders>
                    <w:top w:val="nil"/>
                    <w:left w:val="nil"/>
                    <w:bottom w:val="single" w:color="000000" w:sz="4" w:space="0"/>
                    <w:right w:val="single" w:color="000000" w:sz="4" w:space="0"/>
                  </w:tcBorders>
                  <w:shd w:val="clear" w:color="auto" w:fill="auto"/>
                  <w:vAlign w:val="center"/>
                </w:tcPr>
                <w:p w14:paraId="30665C02">
                  <w:pPr>
                    <w:ind w:firstLine="180" w:firstLineChars="100"/>
                    <w:jc w:val="both"/>
                    <w:rPr>
                      <w:rFonts w:hint="default" w:ascii="宋体" w:hAnsi="宋体" w:cs="宋体"/>
                      <w:color w:val="000000" w:themeColor="text1"/>
                      <w:kern w:val="0"/>
                      <w:sz w:val="18"/>
                      <w:szCs w:val="18"/>
                      <w:lang w:val="en-US" w:eastAsia="zh-CN"/>
                      <w14:textFill>
                        <w14:solidFill>
                          <w14:schemeClr w14:val="tx1"/>
                        </w14:solidFill>
                      </w14:textFill>
                    </w:rPr>
                  </w:pPr>
                  <w:r>
                    <w:rPr>
                      <w:rFonts w:hint="eastAsia" w:ascii="宋体" w:hAnsi="宋体" w:cs="宋体"/>
                      <w:color w:val="000000" w:themeColor="text1"/>
                      <w:kern w:val="0"/>
                      <w:sz w:val="18"/>
                      <w:szCs w:val="18"/>
                      <w:lang w:val="en-US" w:eastAsia="zh-CN"/>
                      <w14:textFill>
                        <w14:solidFill>
                          <w14:schemeClr w14:val="tx1"/>
                        </w14:solidFill>
                      </w14:textFill>
                    </w:rPr>
                    <w:t>1200</w:t>
                  </w:r>
                </w:p>
              </w:tc>
              <w:tc>
                <w:tcPr>
                  <w:tcW w:w="1280" w:type="dxa"/>
                  <w:tcBorders>
                    <w:top w:val="nil"/>
                    <w:left w:val="nil"/>
                    <w:bottom w:val="single" w:color="000000" w:sz="4" w:space="0"/>
                    <w:right w:val="single" w:color="auto" w:sz="4" w:space="0"/>
                  </w:tcBorders>
                  <w:shd w:val="clear" w:color="auto" w:fill="auto"/>
                  <w:vAlign w:val="center"/>
                </w:tcPr>
                <w:p w14:paraId="47186955">
                  <w:pPr>
                    <w:jc w:val="center"/>
                    <w:rPr>
                      <w:rFonts w:hint="eastAsia" w:ascii="宋体" w:hAnsi="宋体" w:cs="宋体"/>
                      <w:color w:val="000000" w:themeColor="text1"/>
                      <w:kern w:val="0"/>
                      <w:sz w:val="18"/>
                      <w:szCs w:val="18"/>
                      <w:lang w:val="en-US" w:eastAsia="zh-CN"/>
                      <w14:textFill>
                        <w14:solidFill>
                          <w14:schemeClr w14:val="tx1"/>
                        </w14:solidFill>
                      </w14:textFill>
                    </w:rPr>
                  </w:pPr>
                </w:p>
              </w:tc>
              <w:tc>
                <w:tcPr>
                  <w:tcW w:w="1254" w:type="dxa"/>
                  <w:tcBorders>
                    <w:top w:val="nil"/>
                    <w:left w:val="single" w:color="auto" w:sz="4" w:space="0"/>
                    <w:bottom w:val="single" w:color="000000" w:sz="4" w:space="0"/>
                    <w:right w:val="single" w:color="000000" w:sz="4" w:space="0"/>
                  </w:tcBorders>
                  <w:shd w:val="clear" w:color="auto" w:fill="auto"/>
                  <w:vAlign w:val="center"/>
                </w:tcPr>
                <w:p w14:paraId="601440FB">
                  <w:pPr>
                    <w:jc w:val="center"/>
                    <w:rPr>
                      <w:rFonts w:hint="eastAsia" w:ascii="宋体" w:hAnsi="宋体" w:cs="宋体"/>
                      <w:color w:val="000000" w:themeColor="text1"/>
                      <w:kern w:val="0"/>
                      <w:sz w:val="18"/>
                      <w:szCs w:val="18"/>
                      <w:lang w:val="en-US" w:eastAsia="zh-CN"/>
                      <w14:textFill>
                        <w14:solidFill>
                          <w14:schemeClr w14:val="tx1"/>
                        </w14:solidFill>
                      </w14:textFill>
                    </w:rPr>
                  </w:pPr>
                </w:p>
              </w:tc>
              <w:tc>
                <w:tcPr>
                  <w:tcW w:w="6551" w:type="dxa"/>
                  <w:tcBorders>
                    <w:top w:val="nil"/>
                    <w:left w:val="nil"/>
                    <w:bottom w:val="single" w:color="000000" w:sz="4" w:space="0"/>
                    <w:right w:val="single" w:color="000000" w:sz="4" w:space="0"/>
                  </w:tcBorders>
                  <w:shd w:val="clear" w:color="auto" w:fill="auto"/>
                  <w:vAlign w:val="center"/>
                </w:tcPr>
                <w:p w14:paraId="7B74E524">
                  <w:pPr>
                    <w:jc w:val="both"/>
                    <w:rPr>
                      <w:rFonts w:hint="eastAsia" w:ascii="宋体" w:hAnsi="宋体" w:cs="宋体"/>
                      <w:color w:val="000000" w:themeColor="text1"/>
                      <w:kern w:val="0"/>
                      <w:sz w:val="18"/>
                      <w:szCs w:val="18"/>
                      <w:lang w:val="en-US" w:eastAsia="zh-CN"/>
                      <w14:textFill>
                        <w14:solidFill>
                          <w14:schemeClr w14:val="tx1"/>
                        </w14:solidFill>
                      </w14:textFill>
                    </w:rPr>
                  </w:pPr>
                  <w:r>
                    <w:rPr>
                      <w:rFonts w:hint="eastAsia" w:ascii="宋体" w:hAnsi="宋体" w:cs="宋体"/>
                      <w:color w:val="000000" w:themeColor="text1"/>
                      <w:kern w:val="0"/>
                      <w:sz w:val="18"/>
                      <w:szCs w:val="18"/>
                      <w:lang w:val="en-US" w:eastAsia="zh-CN"/>
                      <w14:textFill>
                        <w14:solidFill>
                          <w14:schemeClr w14:val="tx1"/>
                        </w14:solidFill>
                      </w14:textFill>
                    </w:rPr>
                    <w:t>钢筋按吨位计算</w:t>
                  </w:r>
                </w:p>
              </w:tc>
            </w:tr>
            <w:tr w14:paraId="66B30615">
              <w:tblPrEx>
                <w:tblCellMar>
                  <w:top w:w="0" w:type="dxa"/>
                  <w:left w:w="108" w:type="dxa"/>
                  <w:bottom w:w="0" w:type="dxa"/>
                  <w:right w:w="108" w:type="dxa"/>
                </w:tblCellMar>
              </w:tblPrEx>
              <w:trPr>
                <w:trHeight w:val="402" w:hRule="atLeast"/>
                <w:jc w:val="center"/>
              </w:trPr>
              <w:tc>
                <w:tcPr>
                  <w:tcW w:w="587" w:type="dxa"/>
                  <w:tcBorders>
                    <w:top w:val="nil"/>
                    <w:left w:val="single" w:color="000000" w:sz="4" w:space="0"/>
                    <w:bottom w:val="single" w:color="000000" w:sz="4" w:space="0"/>
                    <w:right w:val="single" w:color="000000" w:sz="4" w:space="0"/>
                  </w:tcBorders>
                  <w:shd w:val="clear" w:color="auto" w:fill="auto"/>
                  <w:vAlign w:val="center"/>
                </w:tcPr>
                <w:p w14:paraId="736593CB">
                  <w:pPr>
                    <w:jc w:val="center"/>
                    <w:rPr>
                      <w:rFonts w:hint="eastAsia" w:ascii="宋体" w:hAnsi="宋体" w:cs="宋体"/>
                      <w:color w:val="000000" w:themeColor="text1"/>
                      <w:kern w:val="0"/>
                      <w:sz w:val="18"/>
                      <w:szCs w:val="18"/>
                      <w:lang w:val="en-US" w:eastAsia="zh-CN"/>
                      <w14:textFill>
                        <w14:solidFill>
                          <w14:schemeClr w14:val="tx1"/>
                        </w14:solidFill>
                      </w14:textFill>
                    </w:rPr>
                  </w:pPr>
                  <w:r>
                    <w:rPr>
                      <w:rFonts w:hint="eastAsia" w:ascii="宋体" w:hAnsi="宋体" w:cs="宋体"/>
                      <w:color w:val="000000" w:themeColor="text1"/>
                      <w:kern w:val="0"/>
                      <w:sz w:val="18"/>
                      <w:szCs w:val="18"/>
                      <w:lang w:val="en-US" w:eastAsia="zh-CN"/>
                      <w14:textFill>
                        <w14:solidFill>
                          <w14:schemeClr w14:val="tx1"/>
                        </w14:solidFill>
                      </w14:textFill>
                    </w:rPr>
                    <w:t>7</w:t>
                  </w:r>
                </w:p>
              </w:tc>
              <w:tc>
                <w:tcPr>
                  <w:tcW w:w="339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3057A5E">
                  <w:pPr>
                    <w:jc w:val="center"/>
                    <w:rPr>
                      <w:rFonts w:hint="eastAsia" w:ascii="宋体" w:hAnsi="宋体" w:cs="宋体"/>
                      <w:color w:val="000000" w:themeColor="text1"/>
                      <w:kern w:val="0"/>
                      <w:sz w:val="18"/>
                      <w:szCs w:val="18"/>
                      <w:lang w:val="en-US" w:eastAsia="zh-CN"/>
                      <w14:textFill>
                        <w14:solidFill>
                          <w14:schemeClr w14:val="tx1"/>
                        </w14:solidFill>
                      </w14:textFill>
                    </w:rPr>
                  </w:pPr>
                  <w:r>
                    <w:rPr>
                      <w:rFonts w:hint="eastAsia" w:ascii="宋体" w:hAnsi="宋体" w:cs="宋体"/>
                      <w:color w:val="000000" w:themeColor="text1"/>
                      <w:kern w:val="0"/>
                      <w:sz w:val="18"/>
                      <w:szCs w:val="18"/>
                      <w:lang w:val="en-US" w:eastAsia="zh-CN"/>
                      <w14:textFill>
                        <w14:solidFill>
                          <w14:schemeClr w14:val="tx1"/>
                        </w14:solidFill>
                      </w14:textFill>
                    </w:rPr>
                    <w:t>电渣压力焊</w:t>
                  </w:r>
                </w:p>
              </w:tc>
              <w:tc>
                <w:tcPr>
                  <w:tcW w:w="680" w:type="dxa"/>
                  <w:tcBorders>
                    <w:top w:val="nil"/>
                    <w:left w:val="nil"/>
                    <w:bottom w:val="single" w:color="000000" w:sz="4" w:space="0"/>
                    <w:right w:val="single" w:color="000000" w:sz="4" w:space="0"/>
                  </w:tcBorders>
                  <w:shd w:val="clear" w:color="auto" w:fill="auto"/>
                  <w:vAlign w:val="center"/>
                </w:tcPr>
                <w:p w14:paraId="72960DE1">
                  <w:pPr>
                    <w:jc w:val="center"/>
                    <w:rPr>
                      <w:rFonts w:hint="eastAsia" w:ascii="宋体" w:hAnsi="宋体" w:cs="宋体"/>
                      <w:color w:val="000000" w:themeColor="text1"/>
                      <w:kern w:val="0"/>
                      <w:sz w:val="18"/>
                      <w:szCs w:val="18"/>
                      <w:lang w:val="en-US" w:eastAsia="zh-CN"/>
                      <w14:textFill>
                        <w14:solidFill>
                          <w14:schemeClr w14:val="tx1"/>
                        </w14:solidFill>
                      </w14:textFill>
                    </w:rPr>
                  </w:pPr>
                  <w:r>
                    <w:rPr>
                      <w:rFonts w:hint="eastAsia" w:ascii="宋体" w:hAnsi="宋体" w:cs="宋体"/>
                      <w:color w:val="000000" w:themeColor="text1"/>
                      <w:kern w:val="0"/>
                      <w:sz w:val="18"/>
                      <w:szCs w:val="18"/>
                      <w:lang w:val="en-US" w:eastAsia="zh-CN"/>
                      <w14:textFill>
                        <w14:solidFill>
                          <w14:schemeClr w14:val="tx1"/>
                        </w14:solidFill>
                      </w14:textFill>
                    </w:rPr>
                    <w:t>根</w:t>
                  </w:r>
                </w:p>
              </w:tc>
              <w:tc>
                <w:tcPr>
                  <w:tcW w:w="1186" w:type="dxa"/>
                  <w:tcBorders>
                    <w:top w:val="nil"/>
                    <w:left w:val="nil"/>
                    <w:bottom w:val="single" w:color="000000" w:sz="4" w:space="0"/>
                    <w:right w:val="single" w:color="000000" w:sz="4" w:space="0"/>
                  </w:tcBorders>
                  <w:shd w:val="clear" w:color="auto" w:fill="auto"/>
                  <w:vAlign w:val="center"/>
                </w:tcPr>
                <w:p w14:paraId="1313208E">
                  <w:pPr>
                    <w:jc w:val="center"/>
                    <w:rPr>
                      <w:rFonts w:hint="default" w:ascii="宋体" w:hAnsi="宋体" w:cs="宋体"/>
                      <w:color w:val="000000" w:themeColor="text1"/>
                      <w:kern w:val="0"/>
                      <w:sz w:val="18"/>
                      <w:szCs w:val="18"/>
                      <w:lang w:val="en-US" w:eastAsia="zh-CN"/>
                      <w14:textFill>
                        <w14:solidFill>
                          <w14:schemeClr w14:val="tx1"/>
                        </w14:solidFill>
                      </w14:textFill>
                    </w:rPr>
                  </w:pPr>
                  <w:r>
                    <w:rPr>
                      <w:rFonts w:hint="eastAsia" w:ascii="宋体" w:hAnsi="宋体" w:cs="宋体"/>
                      <w:color w:val="000000" w:themeColor="text1"/>
                      <w:kern w:val="0"/>
                      <w:sz w:val="18"/>
                      <w:szCs w:val="18"/>
                      <w:lang w:val="en-US" w:eastAsia="zh-CN"/>
                      <w14:textFill>
                        <w14:solidFill>
                          <w14:schemeClr w14:val="tx1"/>
                        </w14:solidFill>
                      </w14:textFill>
                    </w:rPr>
                    <w:t>2000</w:t>
                  </w:r>
                </w:p>
              </w:tc>
              <w:tc>
                <w:tcPr>
                  <w:tcW w:w="1280" w:type="dxa"/>
                  <w:tcBorders>
                    <w:top w:val="nil"/>
                    <w:left w:val="nil"/>
                    <w:bottom w:val="single" w:color="000000" w:sz="4" w:space="0"/>
                    <w:right w:val="single" w:color="auto" w:sz="4" w:space="0"/>
                  </w:tcBorders>
                  <w:shd w:val="clear" w:color="auto" w:fill="auto"/>
                  <w:vAlign w:val="center"/>
                </w:tcPr>
                <w:p w14:paraId="1A009CE7">
                  <w:pPr>
                    <w:jc w:val="center"/>
                    <w:rPr>
                      <w:rFonts w:hint="default" w:ascii="宋体" w:hAnsi="宋体" w:cs="宋体"/>
                      <w:color w:val="000000" w:themeColor="text1"/>
                      <w:kern w:val="0"/>
                      <w:sz w:val="18"/>
                      <w:szCs w:val="18"/>
                      <w:lang w:val="en-US" w:eastAsia="zh-CN"/>
                      <w14:textFill>
                        <w14:solidFill>
                          <w14:schemeClr w14:val="tx1"/>
                        </w14:solidFill>
                      </w14:textFill>
                    </w:rPr>
                  </w:pPr>
                  <w:r>
                    <w:rPr>
                      <w:rFonts w:hint="eastAsia" w:ascii="宋体" w:hAnsi="宋体" w:cs="宋体"/>
                      <w:color w:val="000000" w:themeColor="text1"/>
                      <w:kern w:val="0"/>
                      <w:sz w:val="18"/>
                      <w:szCs w:val="18"/>
                      <w:lang w:val="en-US" w:eastAsia="zh-CN"/>
                      <w14:textFill>
                        <w14:solidFill>
                          <w14:schemeClr w14:val="tx1"/>
                        </w14:solidFill>
                      </w14:textFill>
                    </w:rPr>
                    <w:t>2.5</w:t>
                  </w:r>
                </w:p>
              </w:tc>
              <w:tc>
                <w:tcPr>
                  <w:tcW w:w="1254" w:type="dxa"/>
                  <w:tcBorders>
                    <w:top w:val="nil"/>
                    <w:left w:val="single" w:color="auto" w:sz="4" w:space="0"/>
                    <w:bottom w:val="single" w:color="000000" w:sz="4" w:space="0"/>
                    <w:right w:val="single" w:color="000000" w:sz="4" w:space="0"/>
                  </w:tcBorders>
                  <w:shd w:val="clear" w:color="auto" w:fill="auto"/>
                  <w:vAlign w:val="center"/>
                </w:tcPr>
                <w:p w14:paraId="22E9FBCB">
                  <w:pPr>
                    <w:widowControl/>
                    <w:pBdr>
                      <w:top w:val="none" w:color="auto" w:sz="0" w:space="1"/>
                      <w:left w:val="none" w:color="auto" w:sz="0" w:space="4"/>
                      <w:bottom w:val="none" w:color="auto" w:sz="0" w:space="1"/>
                      <w:right w:val="none" w:color="auto" w:sz="0" w:space="4"/>
                    </w:pBdr>
                    <w:suppressAutoHyphens w:val="0"/>
                    <w:autoSpaceDN/>
                    <w:textAlignment w:val="auto"/>
                    <w:rPr>
                      <w:rFonts w:hint="eastAsia" w:ascii="宋体" w:hAnsi="宋体" w:cs="宋体"/>
                      <w:color w:val="000000"/>
                      <w:kern w:val="0"/>
                      <w:sz w:val="18"/>
                      <w:szCs w:val="18"/>
                      <w:lang w:val="en-US" w:eastAsia="zh-CN"/>
                    </w:rPr>
                  </w:pPr>
                </w:p>
              </w:tc>
              <w:tc>
                <w:tcPr>
                  <w:tcW w:w="6551" w:type="dxa"/>
                  <w:tcBorders>
                    <w:top w:val="nil"/>
                    <w:left w:val="nil"/>
                    <w:bottom w:val="single" w:color="000000" w:sz="4" w:space="0"/>
                    <w:right w:val="single" w:color="000000" w:sz="4" w:space="0"/>
                  </w:tcBorders>
                  <w:shd w:val="clear" w:color="auto" w:fill="auto"/>
                  <w:vAlign w:val="center"/>
                </w:tcPr>
                <w:p w14:paraId="0A754DB0">
                  <w:pPr>
                    <w:widowControl/>
                    <w:pBdr>
                      <w:top w:val="none" w:color="auto" w:sz="0" w:space="1"/>
                      <w:left w:val="none" w:color="auto" w:sz="0" w:space="4"/>
                      <w:bottom w:val="none" w:color="auto" w:sz="0" w:space="1"/>
                      <w:right w:val="none" w:color="auto" w:sz="0" w:space="4"/>
                    </w:pBdr>
                    <w:suppressAutoHyphens w:val="0"/>
                    <w:autoSpaceDN/>
                    <w:textAlignment w:val="auto"/>
                    <w:rPr>
                      <w:rFonts w:hint="eastAsia" w:ascii="宋体" w:hAnsi="宋体" w:cs="宋体"/>
                      <w:color w:val="000000"/>
                      <w:kern w:val="0"/>
                      <w:sz w:val="18"/>
                      <w:szCs w:val="18"/>
                      <w:lang w:val="en-US" w:eastAsia="zh-CN"/>
                    </w:rPr>
                  </w:pPr>
                  <w:r>
                    <w:rPr>
                      <w:rFonts w:hint="eastAsia" w:ascii="宋体" w:hAnsi="宋体" w:cs="宋体"/>
                      <w:color w:val="000000"/>
                      <w:kern w:val="0"/>
                      <w:sz w:val="18"/>
                      <w:szCs w:val="18"/>
                    </w:rPr>
                    <w:t>固定单价2.5</w:t>
                  </w:r>
                </w:p>
              </w:tc>
            </w:tr>
            <w:tr w14:paraId="23EEA0BC">
              <w:tblPrEx>
                <w:tblCellMar>
                  <w:top w:w="0" w:type="dxa"/>
                  <w:left w:w="108" w:type="dxa"/>
                  <w:bottom w:w="0" w:type="dxa"/>
                  <w:right w:w="108" w:type="dxa"/>
                </w:tblCellMar>
              </w:tblPrEx>
              <w:trPr>
                <w:trHeight w:val="402" w:hRule="atLeast"/>
                <w:jc w:val="center"/>
              </w:trPr>
              <w:tc>
                <w:tcPr>
                  <w:tcW w:w="587" w:type="dxa"/>
                  <w:tcBorders>
                    <w:top w:val="nil"/>
                    <w:left w:val="single" w:color="000000" w:sz="4" w:space="0"/>
                    <w:bottom w:val="single" w:color="000000" w:sz="4" w:space="0"/>
                    <w:right w:val="single" w:color="000000" w:sz="4" w:space="0"/>
                  </w:tcBorders>
                  <w:shd w:val="clear" w:color="auto" w:fill="auto"/>
                  <w:vAlign w:val="center"/>
                </w:tcPr>
                <w:p w14:paraId="21B3D7F3">
                  <w:pPr>
                    <w:jc w:val="center"/>
                    <w:rPr>
                      <w:rFonts w:hint="default" w:ascii="宋体" w:hAnsi="宋体" w:cs="宋体"/>
                      <w:color w:val="000000" w:themeColor="text1"/>
                      <w:kern w:val="0"/>
                      <w:sz w:val="18"/>
                      <w:szCs w:val="18"/>
                      <w:lang w:val="en-US" w:eastAsia="zh-CN"/>
                      <w14:textFill>
                        <w14:solidFill>
                          <w14:schemeClr w14:val="tx1"/>
                        </w14:solidFill>
                      </w14:textFill>
                    </w:rPr>
                  </w:pPr>
                  <w:r>
                    <w:rPr>
                      <w:rFonts w:hint="eastAsia" w:ascii="宋体" w:hAnsi="宋体" w:cs="宋体"/>
                      <w:color w:val="000000" w:themeColor="text1"/>
                      <w:kern w:val="0"/>
                      <w:sz w:val="18"/>
                      <w:szCs w:val="18"/>
                      <w:lang w:val="en-US" w:eastAsia="zh-CN"/>
                      <w14:textFill>
                        <w14:solidFill>
                          <w14:schemeClr w14:val="tx1"/>
                        </w14:solidFill>
                      </w14:textFill>
                    </w:rPr>
                    <w:t>8</w:t>
                  </w:r>
                </w:p>
              </w:tc>
              <w:tc>
                <w:tcPr>
                  <w:tcW w:w="339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126D7BC">
                  <w:pPr>
                    <w:widowControl/>
                    <w:pBdr>
                      <w:top w:val="none" w:color="auto" w:sz="0" w:space="1"/>
                      <w:left w:val="none" w:color="auto" w:sz="0" w:space="4"/>
                      <w:bottom w:val="none" w:color="auto" w:sz="0" w:space="1"/>
                      <w:right w:val="none" w:color="auto" w:sz="0" w:space="4"/>
                    </w:pBdr>
                    <w:suppressAutoHyphens w:val="0"/>
                    <w:autoSpaceDN/>
                    <w:jc w:val="center"/>
                    <w:textAlignment w:val="auto"/>
                    <w:rPr>
                      <w:rFonts w:hint="eastAsia" w:ascii="宋体" w:hAnsi="宋体" w:cs="宋体" w:eastAsiaTheme="minorEastAsia"/>
                      <w:color w:val="000000"/>
                      <w:kern w:val="0"/>
                      <w:sz w:val="18"/>
                      <w:szCs w:val="18"/>
                      <w:lang w:val="en-US" w:eastAsia="zh-CN" w:bidi="ar-SA"/>
                    </w:rPr>
                  </w:pPr>
                  <w:r>
                    <w:rPr>
                      <w:rFonts w:hint="eastAsia" w:ascii="宋体" w:hAnsi="宋体" w:cs="宋体"/>
                      <w:color w:val="000000"/>
                      <w:kern w:val="0"/>
                      <w:sz w:val="18"/>
                      <w:szCs w:val="18"/>
                    </w:rPr>
                    <w:t>二次结构钢筋制作-箍筋</w:t>
                  </w:r>
                </w:p>
              </w:tc>
              <w:tc>
                <w:tcPr>
                  <w:tcW w:w="680" w:type="dxa"/>
                  <w:tcBorders>
                    <w:top w:val="nil"/>
                    <w:left w:val="nil"/>
                    <w:bottom w:val="single" w:color="000000" w:sz="4" w:space="0"/>
                    <w:right w:val="single" w:color="000000" w:sz="4" w:space="0"/>
                  </w:tcBorders>
                  <w:shd w:val="clear" w:color="auto" w:fill="auto"/>
                  <w:vAlign w:val="center"/>
                </w:tcPr>
                <w:p w14:paraId="741A5795">
                  <w:pPr>
                    <w:widowControl/>
                    <w:pBdr>
                      <w:top w:val="none" w:color="auto" w:sz="0" w:space="1"/>
                      <w:left w:val="none" w:color="auto" w:sz="0" w:space="4"/>
                      <w:bottom w:val="none" w:color="auto" w:sz="0" w:space="1"/>
                      <w:right w:val="none" w:color="auto" w:sz="0" w:space="4"/>
                    </w:pBdr>
                    <w:suppressAutoHyphens w:val="0"/>
                    <w:autoSpaceDN/>
                    <w:jc w:val="center"/>
                    <w:textAlignment w:val="auto"/>
                    <w:rPr>
                      <w:rFonts w:hint="eastAsia" w:ascii="宋体" w:hAnsi="宋体" w:cs="宋体" w:eastAsiaTheme="minorEastAsia"/>
                      <w:color w:val="000000"/>
                      <w:kern w:val="0"/>
                      <w:sz w:val="18"/>
                      <w:szCs w:val="18"/>
                      <w:lang w:val="en-US" w:eastAsia="zh-CN" w:bidi="ar-SA"/>
                    </w:rPr>
                  </w:pPr>
                  <w:r>
                    <w:rPr>
                      <w:rFonts w:hint="eastAsia" w:ascii="宋体" w:hAnsi="宋体" w:cs="宋体"/>
                      <w:color w:val="000000"/>
                      <w:kern w:val="0"/>
                      <w:sz w:val="18"/>
                      <w:szCs w:val="18"/>
                    </w:rPr>
                    <w:t>吨</w:t>
                  </w:r>
                </w:p>
              </w:tc>
              <w:tc>
                <w:tcPr>
                  <w:tcW w:w="1186" w:type="dxa"/>
                  <w:tcBorders>
                    <w:top w:val="nil"/>
                    <w:left w:val="nil"/>
                    <w:bottom w:val="single" w:color="000000" w:sz="4" w:space="0"/>
                    <w:right w:val="single" w:color="000000" w:sz="4" w:space="0"/>
                  </w:tcBorders>
                  <w:shd w:val="clear" w:color="auto" w:fill="auto"/>
                  <w:vAlign w:val="center"/>
                </w:tcPr>
                <w:p w14:paraId="5CC079FC">
                  <w:pPr>
                    <w:widowControl/>
                    <w:pBdr>
                      <w:top w:val="none" w:color="auto" w:sz="0" w:space="1"/>
                      <w:left w:val="none" w:color="auto" w:sz="0" w:space="4"/>
                      <w:bottom w:val="none" w:color="auto" w:sz="0" w:space="1"/>
                      <w:right w:val="none" w:color="auto" w:sz="0" w:space="4"/>
                    </w:pBdr>
                    <w:suppressAutoHyphens w:val="0"/>
                    <w:autoSpaceDN/>
                    <w:jc w:val="center"/>
                    <w:textAlignment w:val="auto"/>
                    <w:rPr>
                      <w:rFonts w:hint="eastAsia" w:ascii="宋体" w:hAnsi="宋体" w:cs="宋体" w:eastAsiaTheme="minorEastAsia"/>
                      <w:color w:val="000000"/>
                      <w:kern w:val="0"/>
                      <w:sz w:val="18"/>
                      <w:szCs w:val="18"/>
                      <w:lang w:val="en-US" w:eastAsia="zh-CN" w:bidi="ar-SA"/>
                    </w:rPr>
                  </w:pPr>
                  <w:r>
                    <w:rPr>
                      <w:rFonts w:hint="eastAsia" w:ascii="宋体" w:hAnsi="宋体" w:cs="宋体"/>
                      <w:color w:val="000000"/>
                      <w:kern w:val="0"/>
                      <w:sz w:val="18"/>
                      <w:szCs w:val="18"/>
                    </w:rPr>
                    <w:t>50</w:t>
                  </w:r>
                </w:p>
              </w:tc>
              <w:tc>
                <w:tcPr>
                  <w:tcW w:w="1280" w:type="dxa"/>
                  <w:tcBorders>
                    <w:top w:val="nil"/>
                    <w:left w:val="nil"/>
                    <w:bottom w:val="single" w:color="000000" w:sz="4" w:space="0"/>
                    <w:right w:val="single" w:color="auto" w:sz="4" w:space="0"/>
                  </w:tcBorders>
                  <w:shd w:val="clear" w:color="auto" w:fill="auto"/>
                  <w:vAlign w:val="center"/>
                </w:tcPr>
                <w:p w14:paraId="0AF430A5">
                  <w:pPr>
                    <w:widowControl/>
                    <w:pBdr>
                      <w:top w:val="none" w:color="auto" w:sz="0" w:space="1"/>
                      <w:left w:val="none" w:color="auto" w:sz="0" w:space="4"/>
                      <w:bottom w:val="none" w:color="auto" w:sz="0" w:space="1"/>
                      <w:right w:val="none" w:color="auto" w:sz="0" w:space="4"/>
                    </w:pBdr>
                    <w:suppressAutoHyphens w:val="0"/>
                    <w:autoSpaceDN/>
                    <w:jc w:val="center"/>
                    <w:textAlignment w:val="auto"/>
                    <w:rPr>
                      <w:rFonts w:hint="eastAsia" w:ascii="宋体" w:hAnsi="宋体" w:cs="宋体" w:eastAsiaTheme="minorEastAsia"/>
                      <w:color w:val="000000"/>
                      <w:kern w:val="0"/>
                      <w:sz w:val="18"/>
                      <w:szCs w:val="18"/>
                      <w:lang w:val="en-US" w:eastAsia="zh-CN" w:bidi="ar-SA"/>
                    </w:rPr>
                  </w:pPr>
                  <w:r>
                    <w:rPr>
                      <w:rFonts w:hint="eastAsia" w:ascii="宋体" w:hAnsi="宋体" w:cs="宋体"/>
                      <w:color w:val="000000"/>
                      <w:kern w:val="0"/>
                      <w:sz w:val="18"/>
                      <w:szCs w:val="18"/>
                    </w:rPr>
                    <w:t>300</w:t>
                  </w:r>
                </w:p>
              </w:tc>
              <w:tc>
                <w:tcPr>
                  <w:tcW w:w="1254" w:type="dxa"/>
                  <w:tcBorders>
                    <w:top w:val="nil"/>
                    <w:left w:val="single" w:color="auto" w:sz="4" w:space="0"/>
                    <w:bottom w:val="single" w:color="000000" w:sz="4" w:space="0"/>
                    <w:right w:val="single" w:color="000000" w:sz="4" w:space="0"/>
                  </w:tcBorders>
                  <w:shd w:val="clear" w:color="auto" w:fill="auto"/>
                  <w:vAlign w:val="center"/>
                </w:tcPr>
                <w:p w14:paraId="4FE5F8A9">
                  <w:pPr>
                    <w:widowControl/>
                    <w:jc w:val="center"/>
                    <w:textAlignment w:val="center"/>
                    <w:rPr>
                      <w:rFonts w:hint="eastAsia" w:ascii="宋体" w:hAnsi="宋体" w:cs="宋体" w:eastAsiaTheme="minorEastAsia"/>
                      <w:color w:val="000000"/>
                      <w:kern w:val="0"/>
                      <w:sz w:val="18"/>
                      <w:szCs w:val="18"/>
                      <w:lang w:val="en-US" w:eastAsia="zh-CN" w:bidi="ar"/>
                    </w:rPr>
                  </w:pPr>
                </w:p>
              </w:tc>
              <w:tc>
                <w:tcPr>
                  <w:tcW w:w="6551" w:type="dxa"/>
                  <w:tcBorders>
                    <w:top w:val="nil"/>
                    <w:left w:val="nil"/>
                    <w:bottom w:val="single" w:color="000000" w:sz="4" w:space="0"/>
                    <w:right w:val="single" w:color="000000" w:sz="4" w:space="0"/>
                  </w:tcBorders>
                  <w:shd w:val="clear" w:color="auto" w:fill="auto"/>
                  <w:vAlign w:val="center"/>
                </w:tcPr>
                <w:p w14:paraId="4C9742DE">
                  <w:pPr>
                    <w:widowControl/>
                    <w:pBdr>
                      <w:top w:val="none" w:color="auto" w:sz="0" w:space="1"/>
                      <w:left w:val="none" w:color="auto" w:sz="0" w:space="4"/>
                      <w:bottom w:val="none" w:color="auto" w:sz="0" w:space="1"/>
                      <w:right w:val="none" w:color="auto" w:sz="0" w:space="4"/>
                    </w:pBdr>
                    <w:suppressAutoHyphens w:val="0"/>
                    <w:autoSpaceDN/>
                    <w:textAlignment w:val="auto"/>
                    <w:rPr>
                      <w:rFonts w:hint="eastAsia" w:ascii="宋体" w:hAnsi="宋体" w:cs="宋体" w:eastAsiaTheme="minorEastAsia"/>
                      <w:color w:val="000000"/>
                      <w:kern w:val="0"/>
                      <w:sz w:val="18"/>
                      <w:szCs w:val="18"/>
                      <w:lang w:val="en-US" w:eastAsia="zh-CN" w:bidi="ar-SA"/>
                    </w:rPr>
                  </w:pPr>
                  <w:r>
                    <w:rPr>
                      <w:rFonts w:hint="eastAsia" w:ascii="宋体" w:hAnsi="宋体" w:cs="宋体"/>
                      <w:color w:val="000000"/>
                      <w:kern w:val="0"/>
                      <w:sz w:val="18"/>
                      <w:szCs w:val="18"/>
                    </w:rPr>
                    <w:t>固定单价300</w:t>
                  </w:r>
                </w:p>
              </w:tc>
            </w:tr>
            <w:tr w14:paraId="3BFD76EE">
              <w:tblPrEx>
                <w:tblCellMar>
                  <w:top w:w="0" w:type="dxa"/>
                  <w:left w:w="108" w:type="dxa"/>
                  <w:bottom w:w="0" w:type="dxa"/>
                  <w:right w:w="108" w:type="dxa"/>
                </w:tblCellMar>
              </w:tblPrEx>
              <w:trPr>
                <w:trHeight w:val="402" w:hRule="atLeast"/>
                <w:jc w:val="center"/>
              </w:trPr>
              <w:tc>
                <w:tcPr>
                  <w:tcW w:w="587" w:type="dxa"/>
                  <w:tcBorders>
                    <w:top w:val="nil"/>
                    <w:left w:val="single" w:color="000000" w:sz="4" w:space="0"/>
                    <w:bottom w:val="single" w:color="000000" w:sz="4" w:space="0"/>
                    <w:right w:val="single" w:color="000000" w:sz="4" w:space="0"/>
                  </w:tcBorders>
                  <w:shd w:val="clear" w:color="auto" w:fill="auto"/>
                  <w:vAlign w:val="center"/>
                </w:tcPr>
                <w:p w14:paraId="2F6E370B">
                  <w:pPr>
                    <w:jc w:val="center"/>
                    <w:rPr>
                      <w:rFonts w:hint="default" w:ascii="宋体" w:hAnsi="宋体" w:cs="宋体"/>
                      <w:color w:val="000000" w:themeColor="text1"/>
                      <w:kern w:val="0"/>
                      <w:sz w:val="18"/>
                      <w:szCs w:val="18"/>
                      <w:lang w:val="en-US" w:eastAsia="zh-CN"/>
                      <w14:textFill>
                        <w14:solidFill>
                          <w14:schemeClr w14:val="tx1"/>
                        </w14:solidFill>
                      </w14:textFill>
                    </w:rPr>
                  </w:pPr>
                  <w:r>
                    <w:rPr>
                      <w:rFonts w:hint="eastAsia" w:ascii="宋体" w:hAnsi="宋体" w:cs="宋体"/>
                      <w:color w:val="000000" w:themeColor="text1"/>
                      <w:kern w:val="0"/>
                      <w:sz w:val="18"/>
                      <w:szCs w:val="18"/>
                      <w:lang w:val="en-US" w:eastAsia="zh-CN"/>
                      <w14:textFill>
                        <w14:solidFill>
                          <w14:schemeClr w14:val="tx1"/>
                        </w14:solidFill>
                      </w14:textFill>
                    </w:rPr>
                    <w:t>9</w:t>
                  </w:r>
                </w:p>
              </w:tc>
              <w:tc>
                <w:tcPr>
                  <w:tcW w:w="339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A8B4BAA">
                  <w:pPr>
                    <w:widowControl/>
                    <w:pBdr>
                      <w:top w:val="none" w:color="auto" w:sz="0" w:space="1"/>
                      <w:left w:val="none" w:color="auto" w:sz="0" w:space="4"/>
                      <w:bottom w:val="none" w:color="auto" w:sz="0" w:space="1"/>
                      <w:right w:val="none" w:color="auto" w:sz="0" w:space="4"/>
                    </w:pBdr>
                    <w:suppressAutoHyphens w:val="0"/>
                    <w:autoSpaceDN/>
                    <w:jc w:val="center"/>
                    <w:textAlignment w:val="auto"/>
                    <w:rPr>
                      <w:rFonts w:hint="eastAsia" w:ascii="宋体" w:hAnsi="宋体" w:cs="宋体" w:eastAsiaTheme="minorEastAsia"/>
                      <w:color w:val="000000"/>
                      <w:kern w:val="0"/>
                      <w:sz w:val="18"/>
                      <w:szCs w:val="18"/>
                      <w:lang w:val="en-US" w:eastAsia="zh-CN" w:bidi="ar-SA"/>
                    </w:rPr>
                  </w:pPr>
                  <w:r>
                    <w:rPr>
                      <w:rFonts w:hint="eastAsia" w:ascii="宋体" w:hAnsi="宋体" w:cs="宋体"/>
                      <w:color w:val="000000"/>
                      <w:kern w:val="0"/>
                      <w:sz w:val="18"/>
                      <w:szCs w:val="18"/>
                    </w:rPr>
                    <w:t>二次结构钢筋制作-直条</w:t>
                  </w:r>
                </w:p>
              </w:tc>
              <w:tc>
                <w:tcPr>
                  <w:tcW w:w="680" w:type="dxa"/>
                  <w:tcBorders>
                    <w:top w:val="nil"/>
                    <w:left w:val="nil"/>
                    <w:bottom w:val="single" w:color="000000" w:sz="4" w:space="0"/>
                    <w:right w:val="single" w:color="000000" w:sz="4" w:space="0"/>
                  </w:tcBorders>
                  <w:shd w:val="clear" w:color="auto" w:fill="auto"/>
                  <w:vAlign w:val="center"/>
                </w:tcPr>
                <w:p w14:paraId="4667937F">
                  <w:pPr>
                    <w:widowControl/>
                    <w:pBdr>
                      <w:top w:val="none" w:color="auto" w:sz="0" w:space="1"/>
                      <w:left w:val="none" w:color="auto" w:sz="0" w:space="4"/>
                      <w:bottom w:val="none" w:color="auto" w:sz="0" w:space="1"/>
                      <w:right w:val="none" w:color="auto" w:sz="0" w:space="4"/>
                    </w:pBdr>
                    <w:suppressAutoHyphens w:val="0"/>
                    <w:autoSpaceDN/>
                    <w:jc w:val="center"/>
                    <w:textAlignment w:val="auto"/>
                    <w:rPr>
                      <w:rFonts w:hint="eastAsia" w:ascii="宋体" w:hAnsi="宋体" w:cs="宋体" w:eastAsiaTheme="minorEastAsia"/>
                      <w:color w:val="000000"/>
                      <w:kern w:val="0"/>
                      <w:sz w:val="18"/>
                      <w:szCs w:val="18"/>
                      <w:lang w:val="en-US" w:eastAsia="zh-CN" w:bidi="ar-SA"/>
                    </w:rPr>
                  </w:pPr>
                  <w:r>
                    <w:rPr>
                      <w:rFonts w:hint="eastAsia" w:ascii="宋体" w:hAnsi="宋体" w:cs="宋体"/>
                      <w:color w:val="000000"/>
                      <w:kern w:val="0"/>
                      <w:sz w:val="18"/>
                      <w:szCs w:val="18"/>
                    </w:rPr>
                    <w:t>吨</w:t>
                  </w:r>
                </w:p>
              </w:tc>
              <w:tc>
                <w:tcPr>
                  <w:tcW w:w="1186" w:type="dxa"/>
                  <w:tcBorders>
                    <w:top w:val="nil"/>
                    <w:left w:val="nil"/>
                    <w:bottom w:val="single" w:color="000000" w:sz="4" w:space="0"/>
                    <w:right w:val="single" w:color="000000" w:sz="4" w:space="0"/>
                  </w:tcBorders>
                  <w:shd w:val="clear" w:color="auto" w:fill="auto"/>
                  <w:vAlign w:val="center"/>
                </w:tcPr>
                <w:p w14:paraId="2C968D14">
                  <w:pPr>
                    <w:widowControl/>
                    <w:pBdr>
                      <w:top w:val="none" w:color="auto" w:sz="0" w:space="1"/>
                      <w:left w:val="none" w:color="auto" w:sz="0" w:space="4"/>
                      <w:bottom w:val="none" w:color="auto" w:sz="0" w:space="1"/>
                      <w:right w:val="none" w:color="auto" w:sz="0" w:space="4"/>
                    </w:pBdr>
                    <w:suppressAutoHyphens w:val="0"/>
                    <w:autoSpaceDN/>
                    <w:jc w:val="center"/>
                    <w:textAlignment w:val="auto"/>
                    <w:rPr>
                      <w:rFonts w:hint="default" w:ascii="宋体" w:hAnsi="宋体" w:cs="宋体" w:eastAsiaTheme="minorEastAsia"/>
                      <w:color w:val="000000"/>
                      <w:kern w:val="0"/>
                      <w:sz w:val="18"/>
                      <w:szCs w:val="18"/>
                      <w:lang w:val="en-US" w:eastAsia="zh-CN" w:bidi="ar-SA"/>
                    </w:rPr>
                  </w:pPr>
                  <w:r>
                    <w:rPr>
                      <w:rFonts w:hint="eastAsia" w:ascii="宋体" w:hAnsi="宋体" w:cs="宋体"/>
                      <w:color w:val="000000"/>
                      <w:kern w:val="0"/>
                      <w:sz w:val="18"/>
                      <w:szCs w:val="18"/>
                      <w:lang w:val="en-US" w:eastAsia="zh-CN"/>
                    </w:rPr>
                    <w:t>50</w:t>
                  </w:r>
                </w:p>
              </w:tc>
              <w:tc>
                <w:tcPr>
                  <w:tcW w:w="1280" w:type="dxa"/>
                  <w:tcBorders>
                    <w:top w:val="nil"/>
                    <w:left w:val="nil"/>
                    <w:bottom w:val="single" w:color="000000" w:sz="4" w:space="0"/>
                    <w:right w:val="single" w:color="auto" w:sz="4" w:space="0"/>
                  </w:tcBorders>
                  <w:shd w:val="clear" w:color="auto" w:fill="auto"/>
                  <w:vAlign w:val="center"/>
                </w:tcPr>
                <w:p w14:paraId="1A678E71">
                  <w:pPr>
                    <w:widowControl/>
                    <w:pBdr>
                      <w:top w:val="none" w:color="auto" w:sz="0" w:space="1"/>
                      <w:left w:val="none" w:color="auto" w:sz="0" w:space="4"/>
                      <w:bottom w:val="none" w:color="auto" w:sz="0" w:space="1"/>
                      <w:right w:val="none" w:color="auto" w:sz="0" w:space="4"/>
                    </w:pBdr>
                    <w:suppressAutoHyphens w:val="0"/>
                    <w:autoSpaceDN/>
                    <w:jc w:val="center"/>
                    <w:textAlignment w:val="auto"/>
                    <w:rPr>
                      <w:rFonts w:hint="eastAsia" w:ascii="宋体" w:hAnsi="宋体" w:cs="宋体" w:eastAsiaTheme="minorEastAsia"/>
                      <w:color w:val="000000"/>
                      <w:kern w:val="0"/>
                      <w:sz w:val="18"/>
                      <w:szCs w:val="18"/>
                      <w:lang w:val="en-US" w:eastAsia="zh-CN" w:bidi="ar-SA"/>
                    </w:rPr>
                  </w:pPr>
                  <w:r>
                    <w:rPr>
                      <w:rFonts w:hint="eastAsia" w:ascii="宋体" w:hAnsi="宋体" w:cs="宋体"/>
                      <w:color w:val="000000"/>
                      <w:kern w:val="0"/>
                      <w:sz w:val="18"/>
                      <w:szCs w:val="18"/>
                    </w:rPr>
                    <w:t>150</w:t>
                  </w:r>
                </w:p>
              </w:tc>
              <w:tc>
                <w:tcPr>
                  <w:tcW w:w="1254" w:type="dxa"/>
                  <w:tcBorders>
                    <w:top w:val="nil"/>
                    <w:left w:val="single" w:color="auto" w:sz="4" w:space="0"/>
                    <w:bottom w:val="single" w:color="000000" w:sz="4" w:space="0"/>
                    <w:right w:val="single" w:color="000000" w:sz="4" w:space="0"/>
                  </w:tcBorders>
                  <w:shd w:val="clear" w:color="auto" w:fill="auto"/>
                  <w:vAlign w:val="center"/>
                </w:tcPr>
                <w:p w14:paraId="1D616319">
                  <w:pPr>
                    <w:widowControl/>
                    <w:jc w:val="center"/>
                    <w:textAlignment w:val="center"/>
                    <w:rPr>
                      <w:rFonts w:hint="eastAsia" w:ascii="宋体" w:hAnsi="宋体" w:cs="宋体" w:eastAsiaTheme="minorEastAsia"/>
                      <w:color w:val="000000"/>
                      <w:kern w:val="0"/>
                      <w:sz w:val="18"/>
                      <w:szCs w:val="18"/>
                      <w:lang w:val="en-US" w:eastAsia="zh-CN" w:bidi="ar"/>
                    </w:rPr>
                  </w:pPr>
                </w:p>
              </w:tc>
              <w:tc>
                <w:tcPr>
                  <w:tcW w:w="6551" w:type="dxa"/>
                  <w:tcBorders>
                    <w:top w:val="nil"/>
                    <w:left w:val="nil"/>
                    <w:bottom w:val="single" w:color="000000" w:sz="4" w:space="0"/>
                    <w:right w:val="single" w:color="000000" w:sz="4" w:space="0"/>
                  </w:tcBorders>
                  <w:shd w:val="clear" w:color="auto" w:fill="auto"/>
                  <w:vAlign w:val="center"/>
                </w:tcPr>
                <w:p w14:paraId="349D214E">
                  <w:pPr>
                    <w:widowControl/>
                    <w:pBdr>
                      <w:top w:val="none" w:color="auto" w:sz="0" w:space="1"/>
                      <w:left w:val="none" w:color="auto" w:sz="0" w:space="4"/>
                      <w:bottom w:val="none" w:color="auto" w:sz="0" w:space="1"/>
                      <w:right w:val="none" w:color="auto" w:sz="0" w:space="4"/>
                    </w:pBdr>
                    <w:suppressAutoHyphens w:val="0"/>
                    <w:autoSpaceDN/>
                    <w:textAlignment w:val="auto"/>
                    <w:rPr>
                      <w:rFonts w:hint="eastAsia" w:ascii="宋体" w:hAnsi="宋体" w:cs="宋体" w:eastAsiaTheme="minorEastAsia"/>
                      <w:color w:val="000000"/>
                      <w:kern w:val="0"/>
                      <w:sz w:val="18"/>
                      <w:szCs w:val="18"/>
                      <w:lang w:val="en-US" w:eastAsia="zh-CN" w:bidi="ar-SA"/>
                    </w:rPr>
                  </w:pPr>
                  <w:r>
                    <w:rPr>
                      <w:rFonts w:hint="eastAsia" w:ascii="宋体" w:hAnsi="宋体" w:cs="宋体"/>
                      <w:color w:val="000000"/>
                      <w:kern w:val="0"/>
                      <w:sz w:val="18"/>
                      <w:szCs w:val="18"/>
                    </w:rPr>
                    <w:t>固定单价150</w:t>
                  </w:r>
                </w:p>
              </w:tc>
            </w:tr>
            <w:tr w14:paraId="45701ABC">
              <w:tblPrEx>
                <w:tblCellMar>
                  <w:top w:w="0" w:type="dxa"/>
                  <w:left w:w="108" w:type="dxa"/>
                  <w:bottom w:w="0" w:type="dxa"/>
                  <w:right w:w="108" w:type="dxa"/>
                </w:tblCellMar>
              </w:tblPrEx>
              <w:trPr>
                <w:trHeight w:val="382" w:hRule="atLeast"/>
                <w:jc w:val="center"/>
              </w:trPr>
              <w:tc>
                <w:tcPr>
                  <w:tcW w:w="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C5A838">
                  <w:pPr>
                    <w:jc w:val="center"/>
                    <w:rPr>
                      <w:rFonts w:hint="default" w:ascii="宋体" w:hAnsi="宋体" w:cs="宋体"/>
                      <w:color w:val="000000" w:themeColor="text1"/>
                      <w:kern w:val="0"/>
                      <w:sz w:val="18"/>
                      <w:szCs w:val="18"/>
                      <w:lang w:val="en-US" w:eastAsia="zh-CN"/>
                      <w14:textFill>
                        <w14:solidFill>
                          <w14:schemeClr w14:val="tx1"/>
                        </w14:solidFill>
                      </w14:textFill>
                    </w:rPr>
                  </w:pPr>
                  <w:r>
                    <w:rPr>
                      <w:rFonts w:hint="eastAsia" w:ascii="宋体" w:hAnsi="宋体" w:cs="宋体"/>
                      <w:color w:val="000000" w:themeColor="text1"/>
                      <w:kern w:val="0"/>
                      <w:sz w:val="18"/>
                      <w:szCs w:val="18"/>
                      <w:lang w:val="en-US" w:eastAsia="zh-CN"/>
                      <w14:textFill>
                        <w14:solidFill>
                          <w14:schemeClr w14:val="tx1"/>
                        </w14:solidFill>
                      </w14:textFill>
                    </w:rPr>
                    <w:t>10</w:t>
                  </w:r>
                </w:p>
              </w:tc>
              <w:tc>
                <w:tcPr>
                  <w:tcW w:w="3390" w:type="dxa"/>
                  <w:gridSpan w:val="2"/>
                  <w:tcBorders>
                    <w:top w:val="single" w:color="000000" w:sz="4" w:space="0"/>
                    <w:left w:val="nil"/>
                    <w:bottom w:val="single" w:color="000000" w:sz="4" w:space="0"/>
                    <w:right w:val="single" w:color="000000" w:sz="4" w:space="0"/>
                  </w:tcBorders>
                  <w:shd w:val="clear" w:color="auto" w:fill="auto"/>
                  <w:vAlign w:val="center"/>
                </w:tcPr>
                <w:p w14:paraId="5A065DFB">
                  <w:pPr>
                    <w:jc w:val="center"/>
                    <w:rPr>
                      <w:rFonts w:hint="eastAsia" w:ascii="宋体" w:hAnsi="宋体" w:cs="宋体"/>
                      <w:color w:val="000000" w:themeColor="text1"/>
                      <w:kern w:val="0"/>
                      <w:sz w:val="18"/>
                      <w:szCs w:val="18"/>
                      <w:highlight w:val="none"/>
                      <w:lang w:val="en-US" w:eastAsia="zh-CN"/>
                      <w14:textFill>
                        <w14:solidFill>
                          <w14:schemeClr w14:val="tx1"/>
                        </w14:solidFill>
                      </w14:textFill>
                    </w:rPr>
                  </w:pPr>
                  <w:r>
                    <w:rPr>
                      <w:rFonts w:hint="eastAsia" w:ascii="宋体" w:hAnsi="宋体" w:cs="宋体"/>
                      <w:color w:val="000000" w:themeColor="text1"/>
                      <w:kern w:val="0"/>
                      <w:sz w:val="18"/>
                      <w:szCs w:val="18"/>
                      <w:highlight w:val="none"/>
                      <w:lang w:val="en-US" w:eastAsia="zh-CN"/>
                      <w14:textFill>
                        <w14:solidFill>
                          <w14:schemeClr w14:val="tx1"/>
                        </w14:solidFill>
                      </w14:textFill>
                    </w:rPr>
                    <w:t>砼挡土墙止水钢板焊接安装</w:t>
                  </w:r>
                </w:p>
              </w:tc>
              <w:tc>
                <w:tcPr>
                  <w:tcW w:w="680" w:type="dxa"/>
                  <w:tcBorders>
                    <w:top w:val="single" w:color="000000" w:sz="4" w:space="0"/>
                    <w:left w:val="nil"/>
                    <w:bottom w:val="single" w:color="000000" w:sz="4" w:space="0"/>
                    <w:right w:val="single" w:color="000000" w:sz="4" w:space="0"/>
                  </w:tcBorders>
                  <w:shd w:val="clear" w:color="auto" w:fill="auto"/>
                  <w:vAlign w:val="center"/>
                </w:tcPr>
                <w:p w14:paraId="4AB3A4D0">
                  <w:pPr>
                    <w:jc w:val="center"/>
                    <w:rPr>
                      <w:rFonts w:hint="eastAsia" w:ascii="宋体" w:hAnsi="宋体" w:cs="宋体"/>
                      <w:color w:val="000000" w:themeColor="text1"/>
                      <w:kern w:val="0"/>
                      <w:sz w:val="18"/>
                      <w:szCs w:val="18"/>
                      <w:highlight w:val="none"/>
                      <w:lang w:val="en-US" w:eastAsia="zh-CN"/>
                      <w14:textFill>
                        <w14:solidFill>
                          <w14:schemeClr w14:val="tx1"/>
                        </w14:solidFill>
                      </w14:textFill>
                    </w:rPr>
                  </w:pPr>
                  <w:r>
                    <w:rPr>
                      <w:rFonts w:hint="eastAsia" w:ascii="宋体" w:hAnsi="宋体" w:cs="宋体"/>
                      <w:color w:val="000000" w:themeColor="text1"/>
                      <w:kern w:val="0"/>
                      <w:sz w:val="18"/>
                      <w:szCs w:val="18"/>
                      <w:highlight w:val="none"/>
                      <w:lang w:val="en-US" w:eastAsia="zh-CN"/>
                      <w14:textFill>
                        <w14:solidFill>
                          <w14:schemeClr w14:val="tx1"/>
                        </w14:solidFill>
                      </w14:textFill>
                    </w:rPr>
                    <w:t>m</w:t>
                  </w:r>
                </w:p>
              </w:tc>
              <w:tc>
                <w:tcPr>
                  <w:tcW w:w="1186" w:type="dxa"/>
                  <w:tcBorders>
                    <w:top w:val="single" w:color="000000" w:sz="4" w:space="0"/>
                    <w:left w:val="nil"/>
                    <w:bottom w:val="single" w:color="000000" w:sz="4" w:space="0"/>
                    <w:right w:val="single" w:color="000000" w:sz="4" w:space="0"/>
                  </w:tcBorders>
                  <w:shd w:val="clear" w:color="auto" w:fill="auto"/>
                  <w:vAlign w:val="center"/>
                </w:tcPr>
                <w:p w14:paraId="224E652E">
                  <w:pPr>
                    <w:jc w:val="center"/>
                    <w:rPr>
                      <w:rFonts w:hint="default" w:ascii="宋体" w:hAnsi="宋体" w:cs="宋体"/>
                      <w:color w:val="000000" w:themeColor="text1"/>
                      <w:kern w:val="0"/>
                      <w:sz w:val="18"/>
                      <w:szCs w:val="18"/>
                      <w:highlight w:val="none"/>
                      <w:lang w:val="en-US" w:eastAsia="zh-CN"/>
                      <w14:textFill>
                        <w14:solidFill>
                          <w14:schemeClr w14:val="tx1"/>
                        </w14:solidFill>
                      </w14:textFill>
                    </w:rPr>
                  </w:pPr>
                  <w:r>
                    <w:rPr>
                      <w:rFonts w:hint="eastAsia" w:ascii="宋体" w:hAnsi="宋体" w:cs="宋体"/>
                      <w:color w:val="000000" w:themeColor="text1"/>
                      <w:kern w:val="0"/>
                      <w:sz w:val="18"/>
                      <w:szCs w:val="18"/>
                      <w:highlight w:val="none"/>
                      <w:lang w:val="en-US" w:eastAsia="zh-CN"/>
                      <w14:textFill>
                        <w14:solidFill>
                          <w14:schemeClr w14:val="tx1"/>
                        </w14:solidFill>
                      </w14:textFill>
                    </w:rPr>
                    <w:t>100</w:t>
                  </w:r>
                </w:p>
              </w:tc>
              <w:tc>
                <w:tcPr>
                  <w:tcW w:w="1280" w:type="dxa"/>
                  <w:tcBorders>
                    <w:top w:val="single" w:color="000000" w:sz="4" w:space="0"/>
                    <w:left w:val="nil"/>
                    <w:bottom w:val="single" w:color="000000" w:sz="4" w:space="0"/>
                    <w:right w:val="single" w:color="auto" w:sz="4" w:space="0"/>
                  </w:tcBorders>
                  <w:shd w:val="clear" w:color="auto" w:fill="auto"/>
                  <w:vAlign w:val="center"/>
                </w:tcPr>
                <w:p w14:paraId="18FBB060">
                  <w:pPr>
                    <w:jc w:val="center"/>
                    <w:rPr>
                      <w:rFonts w:hint="default" w:ascii="宋体" w:hAnsi="宋体" w:cs="宋体"/>
                      <w:color w:val="000000" w:themeColor="text1"/>
                      <w:kern w:val="0"/>
                      <w:sz w:val="18"/>
                      <w:szCs w:val="18"/>
                      <w:highlight w:val="none"/>
                      <w:lang w:val="en-US" w:eastAsia="zh-CN"/>
                      <w14:textFill>
                        <w14:solidFill>
                          <w14:schemeClr w14:val="tx1"/>
                        </w14:solidFill>
                      </w14:textFill>
                    </w:rPr>
                  </w:pPr>
                  <w:r>
                    <w:rPr>
                      <w:rFonts w:hint="eastAsia" w:ascii="宋体" w:hAnsi="宋体" w:cs="宋体"/>
                      <w:color w:val="000000" w:themeColor="text1"/>
                      <w:kern w:val="0"/>
                      <w:sz w:val="18"/>
                      <w:szCs w:val="18"/>
                      <w:highlight w:val="none"/>
                      <w:lang w:val="en-US" w:eastAsia="zh-CN"/>
                      <w14:textFill>
                        <w14:solidFill>
                          <w14:schemeClr w14:val="tx1"/>
                        </w14:solidFill>
                      </w14:textFill>
                    </w:rPr>
                    <w:t>20</w:t>
                  </w:r>
                </w:p>
              </w:tc>
              <w:tc>
                <w:tcPr>
                  <w:tcW w:w="1254" w:type="dxa"/>
                  <w:tcBorders>
                    <w:top w:val="single" w:color="000000" w:sz="4" w:space="0"/>
                    <w:left w:val="single" w:color="auto" w:sz="4" w:space="0"/>
                    <w:bottom w:val="single" w:color="000000" w:sz="4" w:space="0"/>
                    <w:right w:val="single" w:color="000000" w:sz="4" w:space="0"/>
                  </w:tcBorders>
                  <w:shd w:val="clear" w:color="auto" w:fill="auto"/>
                  <w:vAlign w:val="center"/>
                </w:tcPr>
                <w:p w14:paraId="287B741B">
                  <w:pPr>
                    <w:jc w:val="center"/>
                    <w:rPr>
                      <w:rFonts w:hint="eastAsia" w:ascii="宋体" w:hAnsi="宋体" w:cs="宋体"/>
                      <w:color w:val="000000" w:themeColor="text1"/>
                      <w:kern w:val="0"/>
                      <w:sz w:val="18"/>
                      <w:szCs w:val="18"/>
                      <w:lang w:val="en-US" w:eastAsia="zh-CN"/>
                      <w14:textFill>
                        <w14:solidFill>
                          <w14:schemeClr w14:val="tx1"/>
                        </w14:solidFill>
                      </w14:textFill>
                    </w:rPr>
                  </w:pPr>
                </w:p>
              </w:tc>
              <w:tc>
                <w:tcPr>
                  <w:tcW w:w="6551" w:type="dxa"/>
                  <w:tcBorders>
                    <w:top w:val="single" w:color="000000" w:sz="4" w:space="0"/>
                    <w:left w:val="nil"/>
                    <w:bottom w:val="single" w:color="000000" w:sz="4" w:space="0"/>
                    <w:right w:val="single" w:color="000000" w:sz="4" w:space="0"/>
                  </w:tcBorders>
                  <w:shd w:val="clear" w:color="auto" w:fill="auto"/>
                  <w:vAlign w:val="center"/>
                </w:tcPr>
                <w:p w14:paraId="51F2481E">
                  <w:pPr>
                    <w:jc w:val="both"/>
                    <w:rPr>
                      <w:rFonts w:hint="default" w:ascii="宋体" w:hAnsi="宋体" w:cs="宋体" w:eastAsiaTheme="minorEastAsia"/>
                      <w:color w:val="000000" w:themeColor="text1"/>
                      <w:kern w:val="0"/>
                      <w:sz w:val="18"/>
                      <w:szCs w:val="18"/>
                      <w:lang w:val="en-US" w:eastAsia="zh-CN"/>
                      <w14:textFill>
                        <w14:solidFill>
                          <w14:schemeClr w14:val="tx1"/>
                        </w14:solidFill>
                      </w14:textFill>
                    </w:rPr>
                  </w:pPr>
                  <w:r>
                    <w:rPr>
                      <w:rFonts w:hint="eastAsia" w:ascii="宋体" w:hAnsi="宋体" w:cs="宋体"/>
                      <w:color w:val="000000"/>
                      <w:kern w:val="0"/>
                      <w:sz w:val="18"/>
                      <w:szCs w:val="18"/>
                    </w:rPr>
                    <w:t>固定单价</w:t>
                  </w:r>
                  <w:r>
                    <w:rPr>
                      <w:rFonts w:hint="eastAsia" w:ascii="宋体" w:hAnsi="宋体" w:cs="宋体"/>
                      <w:color w:val="000000"/>
                      <w:kern w:val="0"/>
                      <w:sz w:val="18"/>
                      <w:szCs w:val="18"/>
                      <w:lang w:val="en-US" w:eastAsia="zh-CN"/>
                    </w:rPr>
                    <w:t>20元</w:t>
                  </w:r>
                </w:p>
              </w:tc>
            </w:tr>
            <w:tr w14:paraId="48FC5DAA">
              <w:tblPrEx>
                <w:tblCellMar>
                  <w:top w:w="0" w:type="dxa"/>
                  <w:left w:w="108" w:type="dxa"/>
                  <w:bottom w:w="0" w:type="dxa"/>
                  <w:right w:w="108" w:type="dxa"/>
                </w:tblCellMar>
              </w:tblPrEx>
              <w:trPr>
                <w:trHeight w:val="444" w:hRule="atLeast"/>
                <w:jc w:val="center"/>
              </w:trPr>
              <w:tc>
                <w:tcPr>
                  <w:tcW w:w="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BAF401">
                  <w:pPr>
                    <w:jc w:val="center"/>
                    <w:rPr>
                      <w:rFonts w:hint="default" w:ascii="宋体" w:hAnsi="宋体" w:cs="宋体"/>
                      <w:color w:val="000000" w:themeColor="text1"/>
                      <w:kern w:val="0"/>
                      <w:sz w:val="18"/>
                      <w:szCs w:val="18"/>
                      <w:lang w:val="en-US" w:eastAsia="zh-CN"/>
                      <w14:textFill>
                        <w14:solidFill>
                          <w14:schemeClr w14:val="tx1"/>
                        </w14:solidFill>
                      </w14:textFill>
                    </w:rPr>
                  </w:pPr>
                  <w:r>
                    <w:rPr>
                      <w:rFonts w:hint="eastAsia" w:ascii="宋体" w:hAnsi="宋体" w:cs="宋体"/>
                      <w:color w:val="000000" w:themeColor="text1"/>
                      <w:kern w:val="0"/>
                      <w:sz w:val="18"/>
                      <w:szCs w:val="18"/>
                      <w:lang w:val="en-US" w:eastAsia="zh-CN"/>
                      <w14:textFill>
                        <w14:solidFill>
                          <w14:schemeClr w14:val="tx1"/>
                        </w14:solidFill>
                      </w14:textFill>
                    </w:rPr>
                    <w:t>11</w:t>
                  </w:r>
                </w:p>
              </w:tc>
              <w:tc>
                <w:tcPr>
                  <w:tcW w:w="3390" w:type="dxa"/>
                  <w:gridSpan w:val="2"/>
                  <w:tcBorders>
                    <w:top w:val="single" w:color="000000" w:sz="4" w:space="0"/>
                    <w:left w:val="nil"/>
                    <w:bottom w:val="single" w:color="000000" w:sz="4" w:space="0"/>
                    <w:right w:val="single" w:color="000000" w:sz="4" w:space="0"/>
                  </w:tcBorders>
                  <w:shd w:val="clear" w:color="auto" w:fill="auto"/>
                  <w:vAlign w:val="center"/>
                </w:tcPr>
                <w:p w14:paraId="10104491">
                  <w:pPr>
                    <w:jc w:val="center"/>
                    <w:rPr>
                      <w:rFonts w:hint="eastAsia" w:ascii="宋体" w:hAnsi="宋体" w:cs="宋体"/>
                      <w:color w:val="000000" w:themeColor="text1"/>
                      <w:kern w:val="0"/>
                      <w:sz w:val="18"/>
                      <w:szCs w:val="18"/>
                      <w:lang w:val="en-US" w:eastAsia="zh-CN"/>
                      <w14:textFill>
                        <w14:solidFill>
                          <w14:schemeClr w14:val="tx1"/>
                        </w14:solidFill>
                      </w14:textFill>
                    </w:rPr>
                  </w:pPr>
                  <w:r>
                    <w:rPr>
                      <w:rFonts w:hint="eastAsia" w:ascii="宋体" w:hAnsi="宋体" w:cs="宋体"/>
                      <w:color w:val="000000" w:themeColor="text1"/>
                      <w:kern w:val="0"/>
                      <w:sz w:val="18"/>
                      <w:szCs w:val="18"/>
                      <w:lang w:val="en-US" w:eastAsia="zh-CN"/>
                      <w14:textFill>
                        <w14:solidFill>
                          <w14:schemeClr w14:val="tx1"/>
                        </w14:solidFill>
                      </w14:textFill>
                    </w:rPr>
                    <w:t>零星木工</w:t>
                  </w:r>
                </w:p>
              </w:tc>
              <w:tc>
                <w:tcPr>
                  <w:tcW w:w="680" w:type="dxa"/>
                  <w:tcBorders>
                    <w:top w:val="single" w:color="000000" w:sz="4" w:space="0"/>
                    <w:left w:val="nil"/>
                    <w:bottom w:val="single" w:color="000000" w:sz="4" w:space="0"/>
                    <w:right w:val="single" w:color="000000" w:sz="4" w:space="0"/>
                  </w:tcBorders>
                  <w:shd w:val="clear" w:color="auto" w:fill="auto"/>
                  <w:vAlign w:val="center"/>
                </w:tcPr>
                <w:p w14:paraId="3AD57DFC">
                  <w:pPr>
                    <w:jc w:val="center"/>
                    <w:rPr>
                      <w:rFonts w:hint="eastAsia" w:ascii="宋体" w:hAnsi="宋体" w:cs="宋体"/>
                      <w:color w:val="000000" w:themeColor="text1"/>
                      <w:kern w:val="0"/>
                      <w:sz w:val="18"/>
                      <w:szCs w:val="18"/>
                      <w:lang w:val="en-US" w:eastAsia="zh-CN"/>
                      <w14:textFill>
                        <w14:solidFill>
                          <w14:schemeClr w14:val="tx1"/>
                        </w14:solidFill>
                      </w14:textFill>
                    </w:rPr>
                  </w:pPr>
                  <w:r>
                    <w:rPr>
                      <w:rFonts w:hint="eastAsia" w:ascii="宋体" w:hAnsi="宋体" w:cs="宋体"/>
                      <w:color w:val="000000" w:themeColor="text1"/>
                      <w:kern w:val="0"/>
                      <w:sz w:val="18"/>
                      <w:szCs w:val="18"/>
                      <w:lang w:val="en-US" w:eastAsia="zh-CN"/>
                      <w14:textFill>
                        <w14:solidFill>
                          <w14:schemeClr w14:val="tx1"/>
                        </w14:solidFill>
                      </w14:textFill>
                    </w:rPr>
                    <w:t>工日</w:t>
                  </w:r>
                </w:p>
              </w:tc>
              <w:tc>
                <w:tcPr>
                  <w:tcW w:w="1186" w:type="dxa"/>
                  <w:tcBorders>
                    <w:top w:val="single" w:color="000000" w:sz="4" w:space="0"/>
                    <w:left w:val="nil"/>
                    <w:bottom w:val="single" w:color="000000" w:sz="4" w:space="0"/>
                    <w:right w:val="single" w:color="000000" w:sz="4" w:space="0"/>
                  </w:tcBorders>
                  <w:shd w:val="clear" w:color="auto" w:fill="auto"/>
                  <w:vAlign w:val="center"/>
                </w:tcPr>
                <w:p w14:paraId="5B383846">
                  <w:pPr>
                    <w:jc w:val="center"/>
                    <w:rPr>
                      <w:rFonts w:hint="default" w:ascii="宋体" w:hAnsi="宋体" w:cs="宋体"/>
                      <w:color w:val="000000" w:themeColor="text1"/>
                      <w:kern w:val="0"/>
                      <w:sz w:val="18"/>
                      <w:szCs w:val="18"/>
                      <w:lang w:val="en-US" w:eastAsia="zh-CN"/>
                      <w14:textFill>
                        <w14:solidFill>
                          <w14:schemeClr w14:val="tx1"/>
                        </w14:solidFill>
                      </w14:textFill>
                    </w:rPr>
                  </w:pPr>
                  <w:r>
                    <w:rPr>
                      <w:rFonts w:hint="eastAsia" w:ascii="宋体" w:hAnsi="宋体" w:cs="宋体"/>
                      <w:color w:val="000000" w:themeColor="text1"/>
                      <w:kern w:val="0"/>
                      <w:sz w:val="18"/>
                      <w:szCs w:val="18"/>
                      <w:lang w:val="en-US" w:eastAsia="zh-CN"/>
                      <w14:textFill>
                        <w14:solidFill>
                          <w14:schemeClr w14:val="tx1"/>
                        </w14:solidFill>
                      </w14:textFill>
                    </w:rPr>
                    <w:t>200</w:t>
                  </w:r>
                </w:p>
              </w:tc>
              <w:tc>
                <w:tcPr>
                  <w:tcW w:w="1280" w:type="dxa"/>
                  <w:tcBorders>
                    <w:top w:val="single" w:color="000000" w:sz="4" w:space="0"/>
                    <w:left w:val="nil"/>
                    <w:bottom w:val="single" w:color="000000" w:sz="4" w:space="0"/>
                    <w:right w:val="single" w:color="auto" w:sz="4" w:space="0"/>
                  </w:tcBorders>
                  <w:shd w:val="clear" w:color="auto" w:fill="auto"/>
                  <w:vAlign w:val="center"/>
                </w:tcPr>
                <w:p w14:paraId="7368833E">
                  <w:pPr>
                    <w:jc w:val="center"/>
                    <w:rPr>
                      <w:rFonts w:hint="default" w:ascii="宋体" w:hAnsi="宋体" w:cs="宋体"/>
                      <w:color w:val="000000" w:themeColor="text1"/>
                      <w:kern w:val="0"/>
                      <w:sz w:val="18"/>
                      <w:szCs w:val="18"/>
                      <w:lang w:val="en-US" w:eastAsia="zh-CN"/>
                      <w14:textFill>
                        <w14:solidFill>
                          <w14:schemeClr w14:val="tx1"/>
                        </w14:solidFill>
                      </w14:textFill>
                    </w:rPr>
                  </w:pPr>
                  <w:r>
                    <w:rPr>
                      <w:rFonts w:hint="eastAsia" w:ascii="宋体" w:hAnsi="宋体" w:cs="宋体"/>
                      <w:color w:val="000000" w:themeColor="text1"/>
                      <w:kern w:val="0"/>
                      <w:sz w:val="18"/>
                      <w:szCs w:val="18"/>
                      <w:lang w:val="en-US" w:eastAsia="zh-CN"/>
                      <w14:textFill>
                        <w14:solidFill>
                          <w14:schemeClr w14:val="tx1"/>
                        </w14:solidFill>
                      </w14:textFill>
                    </w:rPr>
                    <w:t>350</w:t>
                  </w:r>
                </w:p>
              </w:tc>
              <w:tc>
                <w:tcPr>
                  <w:tcW w:w="1254" w:type="dxa"/>
                  <w:tcBorders>
                    <w:top w:val="single" w:color="000000" w:sz="4" w:space="0"/>
                    <w:left w:val="single" w:color="auto" w:sz="4" w:space="0"/>
                    <w:bottom w:val="single" w:color="000000" w:sz="4" w:space="0"/>
                    <w:right w:val="single" w:color="000000" w:sz="4" w:space="0"/>
                  </w:tcBorders>
                  <w:shd w:val="clear" w:color="auto" w:fill="auto"/>
                  <w:vAlign w:val="center"/>
                </w:tcPr>
                <w:p w14:paraId="5BA85E8D">
                  <w:pPr>
                    <w:jc w:val="center"/>
                    <w:rPr>
                      <w:rFonts w:hint="eastAsia" w:ascii="宋体" w:hAnsi="宋体" w:cs="宋体"/>
                      <w:color w:val="000000" w:themeColor="text1"/>
                      <w:kern w:val="0"/>
                      <w:sz w:val="18"/>
                      <w:szCs w:val="18"/>
                      <w:lang w:val="en-US" w:eastAsia="zh-CN"/>
                      <w14:textFill>
                        <w14:solidFill>
                          <w14:schemeClr w14:val="tx1"/>
                        </w14:solidFill>
                      </w14:textFill>
                    </w:rPr>
                  </w:pPr>
                </w:p>
              </w:tc>
              <w:tc>
                <w:tcPr>
                  <w:tcW w:w="6551" w:type="dxa"/>
                  <w:tcBorders>
                    <w:top w:val="single" w:color="000000" w:sz="4" w:space="0"/>
                    <w:left w:val="nil"/>
                    <w:bottom w:val="single" w:color="000000" w:sz="4" w:space="0"/>
                    <w:right w:val="single" w:color="000000" w:sz="4" w:space="0"/>
                  </w:tcBorders>
                  <w:shd w:val="clear" w:color="auto" w:fill="auto"/>
                  <w:vAlign w:val="center"/>
                </w:tcPr>
                <w:p w14:paraId="09496644">
                  <w:pPr>
                    <w:widowControl/>
                    <w:pBdr>
                      <w:top w:val="none" w:color="auto" w:sz="0" w:space="1"/>
                      <w:left w:val="none" w:color="auto" w:sz="0" w:space="4"/>
                      <w:bottom w:val="none" w:color="auto" w:sz="0" w:space="1"/>
                      <w:right w:val="none" w:color="auto" w:sz="0" w:space="4"/>
                    </w:pBdr>
                    <w:suppressAutoHyphens w:val="0"/>
                    <w:autoSpaceDN/>
                    <w:textAlignment w:val="auto"/>
                    <w:rPr>
                      <w:rFonts w:hint="eastAsia" w:ascii="宋体" w:hAnsi="宋体" w:cs="宋体" w:eastAsiaTheme="minorEastAsia"/>
                      <w:color w:val="000000"/>
                      <w:kern w:val="0"/>
                      <w:sz w:val="18"/>
                      <w:szCs w:val="18"/>
                      <w:lang w:val="en-US" w:eastAsia="zh-CN" w:bidi="ar-SA"/>
                    </w:rPr>
                  </w:pPr>
                  <w:r>
                    <w:rPr>
                      <w:rFonts w:hint="eastAsia" w:ascii="宋体" w:hAnsi="宋体" w:cs="宋体"/>
                      <w:color w:val="000000"/>
                      <w:kern w:val="0"/>
                      <w:sz w:val="18"/>
                      <w:szCs w:val="18"/>
                    </w:rPr>
                    <w:t>固定单价350</w:t>
                  </w:r>
                </w:p>
              </w:tc>
            </w:tr>
            <w:tr w14:paraId="4AE8B4AB">
              <w:tblPrEx>
                <w:tblCellMar>
                  <w:top w:w="0" w:type="dxa"/>
                  <w:left w:w="108" w:type="dxa"/>
                  <w:bottom w:w="0" w:type="dxa"/>
                  <w:right w:w="108" w:type="dxa"/>
                </w:tblCellMar>
              </w:tblPrEx>
              <w:trPr>
                <w:trHeight w:val="402" w:hRule="atLeast"/>
                <w:jc w:val="center"/>
              </w:trPr>
              <w:tc>
                <w:tcPr>
                  <w:tcW w:w="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2980B8">
                  <w:pPr>
                    <w:jc w:val="center"/>
                    <w:rPr>
                      <w:rFonts w:hint="default" w:ascii="宋体" w:hAnsi="宋体" w:cs="宋体"/>
                      <w:color w:val="000000" w:themeColor="text1"/>
                      <w:kern w:val="0"/>
                      <w:sz w:val="18"/>
                      <w:szCs w:val="18"/>
                      <w:lang w:val="en-US" w:eastAsia="zh-CN"/>
                      <w14:textFill>
                        <w14:solidFill>
                          <w14:schemeClr w14:val="tx1"/>
                        </w14:solidFill>
                      </w14:textFill>
                    </w:rPr>
                  </w:pPr>
                  <w:r>
                    <w:rPr>
                      <w:rFonts w:hint="eastAsia" w:ascii="宋体" w:hAnsi="宋体" w:cs="宋体"/>
                      <w:color w:val="000000" w:themeColor="text1"/>
                      <w:kern w:val="0"/>
                      <w:sz w:val="18"/>
                      <w:szCs w:val="18"/>
                      <w:lang w:val="en-US" w:eastAsia="zh-CN"/>
                      <w14:textFill>
                        <w14:solidFill>
                          <w14:schemeClr w14:val="tx1"/>
                        </w14:solidFill>
                      </w14:textFill>
                    </w:rPr>
                    <w:t>12</w:t>
                  </w:r>
                </w:p>
              </w:tc>
              <w:tc>
                <w:tcPr>
                  <w:tcW w:w="3390" w:type="dxa"/>
                  <w:gridSpan w:val="2"/>
                  <w:tcBorders>
                    <w:top w:val="single" w:color="000000" w:sz="4" w:space="0"/>
                    <w:left w:val="nil"/>
                    <w:bottom w:val="single" w:color="000000" w:sz="4" w:space="0"/>
                    <w:right w:val="single" w:color="000000" w:sz="4" w:space="0"/>
                  </w:tcBorders>
                  <w:shd w:val="clear" w:color="auto" w:fill="auto"/>
                  <w:vAlign w:val="center"/>
                </w:tcPr>
                <w:p w14:paraId="5C16E2CE">
                  <w:pPr>
                    <w:jc w:val="center"/>
                    <w:rPr>
                      <w:rFonts w:hint="eastAsia" w:ascii="宋体" w:hAnsi="宋体" w:cs="宋体"/>
                      <w:color w:val="000000" w:themeColor="text1"/>
                      <w:kern w:val="0"/>
                      <w:sz w:val="18"/>
                      <w:szCs w:val="18"/>
                      <w:lang w:val="en-US" w:eastAsia="zh-CN"/>
                      <w14:textFill>
                        <w14:solidFill>
                          <w14:schemeClr w14:val="tx1"/>
                        </w14:solidFill>
                      </w14:textFill>
                    </w:rPr>
                  </w:pPr>
                  <w:r>
                    <w:rPr>
                      <w:rFonts w:hint="eastAsia" w:ascii="宋体" w:hAnsi="宋体" w:cs="宋体"/>
                      <w:color w:val="000000" w:themeColor="text1"/>
                      <w:kern w:val="0"/>
                      <w:sz w:val="18"/>
                      <w:szCs w:val="18"/>
                      <w:lang w:val="en-US" w:eastAsia="zh-CN"/>
                      <w14:textFill>
                        <w14:solidFill>
                          <w14:schemeClr w14:val="tx1"/>
                        </w14:solidFill>
                      </w14:textFill>
                    </w:rPr>
                    <w:t>零星钢筋工</w:t>
                  </w:r>
                </w:p>
              </w:tc>
              <w:tc>
                <w:tcPr>
                  <w:tcW w:w="680" w:type="dxa"/>
                  <w:tcBorders>
                    <w:top w:val="single" w:color="000000" w:sz="4" w:space="0"/>
                    <w:left w:val="nil"/>
                    <w:bottom w:val="single" w:color="000000" w:sz="4" w:space="0"/>
                    <w:right w:val="single" w:color="000000" w:sz="4" w:space="0"/>
                  </w:tcBorders>
                  <w:shd w:val="clear" w:color="auto" w:fill="auto"/>
                  <w:vAlign w:val="center"/>
                </w:tcPr>
                <w:p w14:paraId="43B2020D">
                  <w:pPr>
                    <w:jc w:val="center"/>
                    <w:rPr>
                      <w:rFonts w:hint="eastAsia" w:ascii="宋体" w:hAnsi="宋体" w:cs="宋体"/>
                      <w:color w:val="000000" w:themeColor="text1"/>
                      <w:kern w:val="0"/>
                      <w:sz w:val="18"/>
                      <w:szCs w:val="18"/>
                      <w:lang w:val="en-US" w:eastAsia="zh-CN"/>
                      <w14:textFill>
                        <w14:solidFill>
                          <w14:schemeClr w14:val="tx1"/>
                        </w14:solidFill>
                      </w14:textFill>
                    </w:rPr>
                  </w:pPr>
                  <w:r>
                    <w:rPr>
                      <w:rFonts w:hint="eastAsia" w:ascii="宋体" w:hAnsi="宋体" w:cs="宋体"/>
                      <w:color w:val="000000" w:themeColor="text1"/>
                      <w:kern w:val="0"/>
                      <w:sz w:val="18"/>
                      <w:szCs w:val="18"/>
                      <w:lang w:val="en-US" w:eastAsia="zh-CN"/>
                      <w14:textFill>
                        <w14:solidFill>
                          <w14:schemeClr w14:val="tx1"/>
                        </w14:solidFill>
                      </w14:textFill>
                    </w:rPr>
                    <w:t>工日</w:t>
                  </w:r>
                </w:p>
              </w:tc>
              <w:tc>
                <w:tcPr>
                  <w:tcW w:w="1186" w:type="dxa"/>
                  <w:tcBorders>
                    <w:top w:val="single" w:color="000000" w:sz="4" w:space="0"/>
                    <w:left w:val="nil"/>
                    <w:bottom w:val="single" w:color="000000" w:sz="4" w:space="0"/>
                    <w:right w:val="single" w:color="000000" w:sz="4" w:space="0"/>
                  </w:tcBorders>
                  <w:shd w:val="clear" w:color="auto" w:fill="auto"/>
                  <w:vAlign w:val="center"/>
                </w:tcPr>
                <w:p w14:paraId="08DF3EEB">
                  <w:pPr>
                    <w:jc w:val="center"/>
                    <w:rPr>
                      <w:rFonts w:hint="default" w:ascii="宋体" w:hAnsi="宋体" w:cs="宋体"/>
                      <w:color w:val="000000" w:themeColor="text1"/>
                      <w:kern w:val="0"/>
                      <w:sz w:val="18"/>
                      <w:szCs w:val="18"/>
                      <w:lang w:val="en-US" w:eastAsia="zh-CN"/>
                      <w14:textFill>
                        <w14:solidFill>
                          <w14:schemeClr w14:val="tx1"/>
                        </w14:solidFill>
                      </w14:textFill>
                    </w:rPr>
                  </w:pPr>
                  <w:r>
                    <w:rPr>
                      <w:rFonts w:hint="eastAsia" w:ascii="宋体" w:hAnsi="宋体" w:cs="宋体"/>
                      <w:color w:val="000000" w:themeColor="text1"/>
                      <w:kern w:val="0"/>
                      <w:sz w:val="18"/>
                      <w:szCs w:val="18"/>
                      <w:lang w:val="en-US" w:eastAsia="zh-CN"/>
                      <w14:textFill>
                        <w14:solidFill>
                          <w14:schemeClr w14:val="tx1"/>
                        </w14:solidFill>
                      </w14:textFill>
                    </w:rPr>
                    <w:t>200</w:t>
                  </w:r>
                </w:p>
              </w:tc>
              <w:tc>
                <w:tcPr>
                  <w:tcW w:w="1280" w:type="dxa"/>
                  <w:tcBorders>
                    <w:top w:val="single" w:color="000000" w:sz="4" w:space="0"/>
                    <w:left w:val="nil"/>
                    <w:bottom w:val="single" w:color="000000" w:sz="4" w:space="0"/>
                    <w:right w:val="single" w:color="auto" w:sz="4" w:space="0"/>
                  </w:tcBorders>
                  <w:shd w:val="clear" w:color="auto" w:fill="auto"/>
                  <w:vAlign w:val="center"/>
                </w:tcPr>
                <w:p w14:paraId="055C2945">
                  <w:pPr>
                    <w:jc w:val="center"/>
                    <w:rPr>
                      <w:rFonts w:hint="default" w:ascii="宋体" w:hAnsi="宋体" w:cs="宋体"/>
                      <w:color w:val="000000" w:themeColor="text1"/>
                      <w:kern w:val="0"/>
                      <w:sz w:val="18"/>
                      <w:szCs w:val="18"/>
                      <w:lang w:val="en-US" w:eastAsia="zh-CN"/>
                      <w14:textFill>
                        <w14:solidFill>
                          <w14:schemeClr w14:val="tx1"/>
                        </w14:solidFill>
                      </w14:textFill>
                    </w:rPr>
                  </w:pPr>
                  <w:r>
                    <w:rPr>
                      <w:rFonts w:hint="eastAsia" w:ascii="宋体" w:hAnsi="宋体" w:cs="宋体"/>
                      <w:color w:val="000000" w:themeColor="text1"/>
                      <w:kern w:val="0"/>
                      <w:sz w:val="18"/>
                      <w:szCs w:val="18"/>
                      <w:lang w:val="en-US" w:eastAsia="zh-CN"/>
                      <w14:textFill>
                        <w14:solidFill>
                          <w14:schemeClr w14:val="tx1"/>
                        </w14:solidFill>
                      </w14:textFill>
                    </w:rPr>
                    <w:t>300</w:t>
                  </w:r>
                </w:p>
              </w:tc>
              <w:tc>
                <w:tcPr>
                  <w:tcW w:w="1254" w:type="dxa"/>
                  <w:tcBorders>
                    <w:top w:val="single" w:color="000000" w:sz="4" w:space="0"/>
                    <w:left w:val="single" w:color="auto" w:sz="4" w:space="0"/>
                    <w:bottom w:val="single" w:color="000000" w:sz="4" w:space="0"/>
                    <w:right w:val="single" w:color="000000" w:sz="4" w:space="0"/>
                  </w:tcBorders>
                  <w:shd w:val="clear" w:color="auto" w:fill="auto"/>
                  <w:vAlign w:val="center"/>
                </w:tcPr>
                <w:p w14:paraId="4996313F">
                  <w:pPr>
                    <w:jc w:val="center"/>
                    <w:rPr>
                      <w:rFonts w:hint="eastAsia" w:ascii="宋体" w:hAnsi="宋体" w:cs="宋体"/>
                      <w:color w:val="000000" w:themeColor="text1"/>
                      <w:kern w:val="0"/>
                      <w:sz w:val="18"/>
                      <w:szCs w:val="18"/>
                      <w:lang w:val="en-US" w:eastAsia="zh-CN"/>
                      <w14:textFill>
                        <w14:solidFill>
                          <w14:schemeClr w14:val="tx1"/>
                        </w14:solidFill>
                      </w14:textFill>
                    </w:rPr>
                  </w:pPr>
                </w:p>
              </w:tc>
              <w:tc>
                <w:tcPr>
                  <w:tcW w:w="6551" w:type="dxa"/>
                  <w:tcBorders>
                    <w:top w:val="single" w:color="000000" w:sz="4" w:space="0"/>
                    <w:left w:val="nil"/>
                    <w:bottom w:val="single" w:color="000000" w:sz="4" w:space="0"/>
                    <w:right w:val="single" w:color="000000" w:sz="4" w:space="0"/>
                  </w:tcBorders>
                  <w:shd w:val="clear" w:color="auto" w:fill="auto"/>
                  <w:vAlign w:val="center"/>
                </w:tcPr>
                <w:p w14:paraId="44AC027D">
                  <w:pPr>
                    <w:widowControl/>
                    <w:pBdr>
                      <w:top w:val="none" w:color="auto" w:sz="0" w:space="1"/>
                      <w:left w:val="none" w:color="auto" w:sz="0" w:space="4"/>
                      <w:bottom w:val="none" w:color="auto" w:sz="0" w:space="1"/>
                      <w:right w:val="none" w:color="auto" w:sz="0" w:space="4"/>
                    </w:pBdr>
                    <w:suppressAutoHyphens w:val="0"/>
                    <w:autoSpaceDN/>
                    <w:textAlignment w:val="auto"/>
                    <w:rPr>
                      <w:rFonts w:hint="eastAsia" w:ascii="宋体" w:hAnsi="宋体" w:cs="宋体" w:eastAsiaTheme="minorEastAsia"/>
                      <w:color w:val="000000"/>
                      <w:kern w:val="0"/>
                      <w:sz w:val="18"/>
                      <w:szCs w:val="18"/>
                      <w:lang w:val="en-US" w:eastAsia="zh-CN" w:bidi="ar-SA"/>
                    </w:rPr>
                  </w:pPr>
                  <w:r>
                    <w:rPr>
                      <w:rFonts w:hint="eastAsia" w:ascii="宋体" w:hAnsi="宋体" w:cs="宋体"/>
                      <w:color w:val="000000"/>
                      <w:kern w:val="0"/>
                      <w:sz w:val="18"/>
                      <w:szCs w:val="18"/>
                    </w:rPr>
                    <w:t>固定单价300</w:t>
                  </w:r>
                </w:p>
              </w:tc>
            </w:tr>
            <w:tr w14:paraId="45E2393A">
              <w:tblPrEx>
                <w:tblCellMar>
                  <w:top w:w="0" w:type="dxa"/>
                  <w:left w:w="108" w:type="dxa"/>
                  <w:bottom w:w="0" w:type="dxa"/>
                  <w:right w:w="108" w:type="dxa"/>
                </w:tblCellMar>
              </w:tblPrEx>
              <w:trPr>
                <w:trHeight w:val="402" w:hRule="atLeast"/>
                <w:jc w:val="center"/>
              </w:trPr>
              <w:tc>
                <w:tcPr>
                  <w:tcW w:w="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14C4C6">
                  <w:pPr>
                    <w:jc w:val="center"/>
                    <w:rPr>
                      <w:rFonts w:hint="default" w:ascii="宋体" w:hAnsi="宋体" w:cs="宋体"/>
                      <w:color w:val="000000" w:themeColor="text1"/>
                      <w:kern w:val="0"/>
                      <w:sz w:val="18"/>
                      <w:szCs w:val="18"/>
                      <w:lang w:val="en-US" w:eastAsia="zh-CN"/>
                      <w14:textFill>
                        <w14:solidFill>
                          <w14:schemeClr w14:val="tx1"/>
                        </w14:solidFill>
                      </w14:textFill>
                    </w:rPr>
                  </w:pPr>
                  <w:r>
                    <w:rPr>
                      <w:rFonts w:hint="eastAsia" w:ascii="宋体" w:hAnsi="宋体" w:cs="宋体"/>
                      <w:color w:val="000000" w:themeColor="text1"/>
                      <w:kern w:val="0"/>
                      <w:sz w:val="18"/>
                      <w:szCs w:val="18"/>
                      <w:lang w:val="en-US" w:eastAsia="zh-CN"/>
                      <w14:textFill>
                        <w14:solidFill>
                          <w14:schemeClr w14:val="tx1"/>
                        </w14:solidFill>
                      </w14:textFill>
                    </w:rPr>
                    <w:t>13</w:t>
                  </w:r>
                </w:p>
              </w:tc>
              <w:tc>
                <w:tcPr>
                  <w:tcW w:w="3390" w:type="dxa"/>
                  <w:gridSpan w:val="2"/>
                  <w:tcBorders>
                    <w:top w:val="single" w:color="000000" w:sz="4" w:space="0"/>
                    <w:left w:val="nil"/>
                    <w:bottom w:val="single" w:color="000000" w:sz="4" w:space="0"/>
                    <w:right w:val="single" w:color="000000" w:sz="4" w:space="0"/>
                  </w:tcBorders>
                  <w:shd w:val="clear" w:color="auto" w:fill="auto"/>
                  <w:vAlign w:val="center"/>
                </w:tcPr>
                <w:p w14:paraId="6CFAAD73">
                  <w:pPr>
                    <w:jc w:val="center"/>
                    <w:rPr>
                      <w:rFonts w:hint="eastAsia" w:ascii="宋体" w:hAnsi="宋体" w:cs="宋体"/>
                      <w:color w:val="000000" w:themeColor="text1"/>
                      <w:kern w:val="0"/>
                      <w:sz w:val="18"/>
                      <w:szCs w:val="18"/>
                      <w:lang w:val="en-US" w:eastAsia="zh-CN"/>
                      <w14:textFill>
                        <w14:solidFill>
                          <w14:schemeClr w14:val="tx1"/>
                        </w14:solidFill>
                      </w14:textFill>
                    </w:rPr>
                  </w:pPr>
                  <w:r>
                    <w:rPr>
                      <w:rFonts w:hint="eastAsia" w:ascii="宋体" w:hAnsi="宋体" w:cs="宋体"/>
                      <w:color w:val="000000" w:themeColor="text1"/>
                      <w:kern w:val="0"/>
                      <w:sz w:val="18"/>
                      <w:szCs w:val="18"/>
                      <w:lang w:val="en-US" w:eastAsia="zh-CN"/>
                      <w14:textFill>
                        <w14:solidFill>
                          <w14:schemeClr w14:val="tx1"/>
                        </w14:solidFill>
                      </w14:textFill>
                    </w:rPr>
                    <w:t>零星混凝土</w:t>
                  </w:r>
                </w:p>
              </w:tc>
              <w:tc>
                <w:tcPr>
                  <w:tcW w:w="680" w:type="dxa"/>
                  <w:tcBorders>
                    <w:top w:val="single" w:color="000000" w:sz="4" w:space="0"/>
                    <w:left w:val="nil"/>
                    <w:bottom w:val="single" w:color="000000" w:sz="4" w:space="0"/>
                    <w:right w:val="single" w:color="000000" w:sz="4" w:space="0"/>
                  </w:tcBorders>
                  <w:shd w:val="clear" w:color="auto" w:fill="auto"/>
                  <w:vAlign w:val="center"/>
                </w:tcPr>
                <w:p w14:paraId="0E76A129">
                  <w:pPr>
                    <w:jc w:val="center"/>
                    <w:rPr>
                      <w:rFonts w:hint="eastAsia" w:ascii="宋体" w:hAnsi="宋体" w:cs="宋体"/>
                      <w:color w:val="000000" w:themeColor="text1"/>
                      <w:kern w:val="0"/>
                      <w:sz w:val="18"/>
                      <w:szCs w:val="18"/>
                      <w:lang w:val="en-US" w:eastAsia="zh-CN"/>
                      <w14:textFill>
                        <w14:solidFill>
                          <w14:schemeClr w14:val="tx1"/>
                        </w14:solidFill>
                      </w14:textFill>
                    </w:rPr>
                  </w:pPr>
                  <w:r>
                    <w:rPr>
                      <w:rFonts w:hint="eastAsia" w:ascii="宋体" w:hAnsi="宋体" w:cs="宋体"/>
                      <w:color w:val="000000" w:themeColor="text1"/>
                      <w:kern w:val="0"/>
                      <w:sz w:val="18"/>
                      <w:szCs w:val="18"/>
                      <w:lang w:val="en-US" w:eastAsia="zh-CN"/>
                      <w14:textFill>
                        <w14:solidFill>
                          <w14:schemeClr w14:val="tx1"/>
                        </w14:solidFill>
                      </w14:textFill>
                    </w:rPr>
                    <w:t>工日</w:t>
                  </w:r>
                </w:p>
              </w:tc>
              <w:tc>
                <w:tcPr>
                  <w:tcW w:w="1186" w:type="dxa"/>
                  <w:tcBorders>
                    <w:top w:val="single" w:color="000000" w:sz="4" w:space="0"/>
                    <w:left w:val="nil"/>
                    <w:bottom w:val="single" w:color="000000" w:sz="4" w:space="0"/>
                    <w:right w:val="single" w:color="000000" w:sz="4" w:space="0"/>
                  </w:tcBorders>
                  <w:shd w:val="clear" w:color="auto" w:fill="auto"/>
                  <w:vAlign w:val="center"/>
                </w:tcPr>
                <w:p w14:paraId="5F38E0D7">
                  <w:pPr>
                    <w:jc w:val="center"/>
                    <w:rPr>
                      <w:rFonts w:hint="default" w:ascii="宋体" w:hAnsi="宋体" w:cs="宋体"/>
                      <w:color w:val="000000" w:themeColor="text1"/>
                      <w:kern w:val="0"/>
                      <w:sz w:val="18"/>
                      <w:szCs w:val="18"/>
                      <w:lang w:val="en-US" w:eastAsia="zh-CN"/>
                      <w14:textFill>
                        <w14:solidFill>
                          <w14:schemeClr w14:val="tx1"/>
                        </w14:solidFill>
                      </w14:textFill>
                    </w:rPr>
                  </w:pPr>
                  <w:r>
                    <w:rPr>
                      <w:rFonts w:hint="eastAsia" w:ascii="宋体" w:hAnsi="宋体" w:cs="宋体"/>
                      <w:color w:val="000000" w:themeColor="text1"/>
                      <w:kern w:val="0"/>
                      <w:sz w:val="18"/>
                      <w:szCs w:val="18"/>
                      <w:lang w:val="en-US" w:eastAsia="zh-CN"/>
                      <w14:textFill>
                        <w14:solidFill>
                          <w14:schemeClr w14:val="tx1"/>
                        </w14:solidFill>
                      </w14:textFill>
                    </w:rPr>
                    <w:t>100</w:t>
                  </w:r>
                </w:p>
              </w:tc>
              <w:tc>
                <w:tcPr>
                  <w:tcW w:w="1280" w:type="dxa"/>
                  <w:tcBorders>
                    <w:top w:val="single" w:color="000000" w:sz="4" w:space="0"/>
                    <w:left w:val="nil"/>
                    <w:bottom w:val="single" w:color="000000" w:sz="4" w:space="0"/>
                    <w:right w:val="single" w:color="auto" w:sz="4" w:space="0"/>
                  </w:tcBorders>
                  <w:shd w:val="clear" w:color="auto" w:fill="auto"/>
                  <w:vAlign w:val="center"/>
                </w:tcPr>
                <w:p w14:paraId="178E3E14">
                  <w:pPr>
                    <w:jc w:val="center"/>
                    <w:rPr>
                      <w:rFonts w:hint="default" w:ascii="宋体" w:hAnsi="宋体" w:cs="宋体"/>
                      <w:color w:val="000000" w:themeColor="text1"/>
                      <w:kern w:val="0"/>
                      <w:sz w:val="18"/>
                      <w:szCs w:val="18"/>
                      <w:lang w:val="en-US" w:eastAsia="zh-CN"/>
                      <w14:textFill>
                        <w14:solidFill>
                          <w14:schemeClr w14:val="tx1"/>
                        </w14:solidFill>
                      </w14:textFill>
                    </w:rPr>
                  </w:pPr>
                  <w:r>
                    <w:rPr>
                      <w:rFonts w:hint="eastAsia" w:ascii="宋体" w:hAnsi="宋体" w:cs="宋体"/>
                      <w:color w:val="000000" w:themeColor="text1"/>
                      <w:kern w:val="0"/>
                      <w:sz w:val="18"/>
                      <w:szCs w:val="18"/>
                      <w:lang w:val="en-US" w:eastAsia="zh-CN"/>
                      <w14:textFill>
                        <w14:solidFill>
                          <w14:schemeClr w14:val="tx1"/>
                        </w14:solidFill>
                      </w14:textFill>
                    </w:rPr>
                    <w:t>280</w:t>
                  </w:r>
                </w:p>
              </w:tc>
              <w:tc>
                <w:tcPr>
                  <w:tcW w:w="1254" w:type="dxa"/>
                  <w:tcBorders>
                    <w:top w:val="single" w:color="000000" w:sz="4" w:space="0"/>
                    <w:left w:val="single" w:color="auto" w:sz="4" w:space="0"/>
                    <w:bottom w:val="single" w:color="000000" w:sz="4" w:space="0"/>
                    <w:right w:val="single" w:color="000000" w:sz="4" w:space="0"/>
                  </w:tcBorders>
                  <w:shd w:val="clear" w:color="auto" w:fill="auto"/>
                  <w:vAlign w:val="center"/>
                </w:tcPr>
                <w:p w14:paraId="37D6D9D5">
                  <w:pPr>
                    <w:jc w:val="center"/>
                    <w:rPr>
                      <w:rFonts w:hint="eastAsia" w:ascii="宋体" w:hAnsi="宋体" w:cs="宋体"/>
                      <w:color w:val="000000" w:themeColor="text1"/>
                      <w:kern w:val="0"/>
                      <w:sz w:val="18"/>
                      <w:szCs w:val="18"/>
                      <w:lang w:val="en-US" w:eastAsia="zh-CN"/>
                      <w14:textFill>
                        <w14:solidFill>
                          <w14:schemeClr w14:val="tx1"/>
                        </w14:solidFill>
                      </w14:textFill>
                    </w:rPr>
                  </w:pPr>
                </w:p>
              </w:tc>
              <w:tc>
                <w:tcPr>
                  <w:tcW w:w="6551" w:type="dxa"/>
                  <w:tcBorders>
                    <w:top w:val="single" w:color="000000" w:sz="4" w:space="0"/>
                    <w:left w:val="nil"/>
                    <w:bottom w:val="single" w:color="000000" w:sz="4" w:space="0"/>
                    <w:right w:val="single" w:color="000000" w:sz="4" w:space="0"/>
                  </w:tcBorders>
                  <w:shd w:val="clear" w:color="auto" w:fill="auto"/>
                  <w:vAlign w:val="center"/>
                </w:tcPr>
                <w:p w14:paraId="15E83E7A">
                  <w:pPr>
                    <w:widowControl/>
                    <w:pBdr>
                      <w:top w:val="none" w:color="auto" w:sz="0" w:space="1"/>
                      <w:left w:val="none" w:color="auto" w:sz="0" w:space="4"/>
                      <w:bottom w:val="none" w:color="auto" w:sz="0" w:space="1"/>
                      <w:right w:val="none" w:color="auto" w:sz="0" w:space="4"/>
                    </w:pBdr>
                    <w:suppressAutoHyphens w:val="0"/>
                    <w:autoSpaceDN/>
                    <w:textAlignment w:val="auto"/>
                    <w:rPr>
                      <w:rFonts w:hint="eastAsia" w:ascii="宋体" w:hAnsi="宋体" w:cs="宋体" w:eastAsiaTheme="minorEastAsia"/>
                      <w:color w:val="000000"/>
                      <w:kern w:val="0"/>
                      <w:sz w:val="18"/>
                      <w:szCs w:val="18"/>
                      <w:lang w:val="en-US" w:eastAsia="zh-CN" w:bidi="ar-SA"/>
                    </w:rPr>
                  </w:pPr>
                  <w:r>
                    <w:rPr>
                      <w:rFonts w:hint="eastAsia" w:ascii="宋体" w:hAnsi="宋体" w:cs="宋体"/>
                      <w:color w:val="000000"/>
                      <w:kern w:val="0"/>
                      <w:sz w:val="18"/>
                      <w:szCs w:val="18"/>
                    </w:rPr>
                    <w:t>固定单价280</w:t>
                  </w:r>
                </w:p>
              </w:tc>
            </w:tr>
            <w:tr w14:paraId="3B172437">
              <w:tblPrEx>
                <w:tblCellMar>
                  <w:top w:w="0" w:type="dxa"/>
                  <w:left w:w="108" w:type="dxa"/>
                  <w:bottom w:w="0" w:type="dxa"/>
                  <w:right w:w="108" w:type="dxa"/>
                </w:tblCellMar>
              </w:tblPrEx>
              <w:trPr>
                <w:trHeight w:val="402" w:hRule="atLeast"/>
                <w:jc w:val="center"/>
              </w:trPr>
              <w:tc>
                <w:tcPr>
                  <w:tcW w:w="587" w:type="dxa"/>
                  <w:tcBorders>
                    <w:top w:val="nil"/>
                    <w:left w:val="single" w:color="000000" w:sz="4" w:space="0"/>
                    <w:bottom w:val="single" w:color="auto" w:sz="4" w:space="0"/>
                    <w:right w:val="single" w:color="000000" w:sz="4" w:space="0"/>
                  </w:tcBorders>
                  <w:shd w:val="clear" w:color="auto" w:fill="auto"/>
                  <w:vAlign w:val="center"/>
                </w:tcPr>
                <w:p w14:paraId="386725F2">
                  <w:pPr>
                    <w:jc w:val="center"/>
                    <w:rPr>
                      <w:rFonts w:hint="default" w:ascii="宋体" w:hAnsi="宋体" w:cs="宋体"/>
                      <w:color w:val="000000" w:themeColor="text1"/>
                      <w:kern w:val="0"/>
                      <w:sz w:val="18"/>
                      <w:szCs w:val="18"/>
                      <w:lang w:val="en-US" w:eastAsia="zh-CN"/>
                      <w14:textFill>
                        <w14:solidFill>
                          <w14:schemeClr w14:val="tx1"/>
                        </w14:solidFill>
                      </w14:textFill>
                    </w:rPr>
                  </w:pPr>
                  <w:r>
                    <w:rPr>
                      <w:rFonts w:hint="eastAsia" w:ascii="宋体" w:hAnsi="宋体" w:cs="宋体"/>
                      <w:color w:val="000000" w:themeColor="text1"/>
                      <w:kern w:val="0"/>
                      <w:sz w:val="18"/>
                      <w:szCs w:val="18"/>
                      <w:lang w:val="en-US" w:eastAsia="zh-CN"/>
                      <w14:textFill>
                        <w14:solidFill>
                          <w14:schemeClr w14:val="tx1"/>
                        </w14:solidFill>
                      </w14:textFill>
                    </w:rPr>
                    <w:t>14</w:t>
                  </w:r>
                </w:p>
              </w:tc>
              <w:tc>
                <w:tcPr>
                  <w:tcW w:w="3390" w:type="dxa"/>
                  <w:gridSpan w:val="2"/>
                  <w:tcBorders>
                    <w:top w:val="single" w:color="000000" w:sz="4" w:space="0"/>
                    <w:left w:val="nil"/>
                    <w:bottom w:val="single" w:color="000000" w:sz="4" w:space="0"/>
                    <w:right w:val="single" w:color="000000" w:sz="4" w:space="0"/>
                  </w:tcBorders>
                  <w:shd w:val="clear" w:color="auto" w:fill="auto"/>
                  <w:vAlign w:val="center"/>
                </w:tcPr>
                <w:p w14:paraId="294C4C4C">
                  <w:pPr>
                    <w:jc w:val="center"/>
                    <w:rPr>
                      <w:rFonts w:hint="eastAsia" w:ascii="宋体" w:hAnsi="宋体" w:cs="宋体"/>
                      <w:color w:val="000000" w:themeColor="text1"/>
                      <w:kern w:val="0"/>
                      <w:sz w:val="18"/>
                      <w:szCs w:val="18"/>
                      <w:lang w:val="en-US" w:eastAsia="zh-CN"/>
                      <w14:textFill>
                        <w14:solidFill>
                          <w14:schemeClr w14:val="tx1"/>
                        </w14:solidFill>
                      </w14:textFill>
                    </w:rPr>
                  </w:pPr>
                  <w:r>
                    <w:rPr>
                      <w:rFonts w:hint="eastAsia" w:ascii="宋体" w:hAnsi="宋体" w:cs="宋体"/>
                      <w:color w:val="000000" w:themeColor="text1"/>
                      <w:kern w:val="0"/>
                      <w:sz w:val="18"/>
                      <w:szCs w:val="18"/>
                      <w:lang w:val="en-US" w:eastAsia="zh-CN"/>
                      <w14:textFill>
                        <w14:solidFill>
                          <w14:schemeClr w14:val="tx1"/>
                        </w14:solidFill>
                      </w14:textFill>
                    </w:rPr>
                    <w:t>零星力工</w:t>
                  </w:r>
                </w:p>
              </w:tc>
              <w:tc>
                <w:tcPr>
                  <w:tcW w:w="680" w:type="dxa"/>
                  <w:tcBorders>
                    <w:top w:val="nil"/>
                    <w:left w:val="nil"/>
                    <w:bottom w:val="nil"/>
                    <w:right w:val="single" w:color="000000" w:sz="4" w:space="0"/>
                  </w:tcBorders>
                  <w:shd w:val="clear" w:color="auto" w:fill="auto"/>
                  <w:vAlign w:val="center"/>
                </w:tcPr>
                <w:p w14:paraId="1F4FD664">
                  <w:pPr>
                    <w:jc w:val="center"/>
                    <w:rPr>
                      <w:rFonts w:hint="eastAsia" w:ascii="宋体" w:hAnsi="宋体" w:cs="宋体"/>
                      <w:color w:val="000000" w:themeColor="text1"/>
                      <w:kern w:val="0"/>
                      <w:sz w:val="18"/>
                      <w:szCs w:val="18"/>
                      <w:lang w:val="en-US" w:eastAsia="zh-CN"/>
                      <w14:textFill>
                        <w14:solidFill>
                          <w14:schemeClr w14:val="tx1"/>
                        </w14:solidFill>
                      </w14:textFill>
                    </w:rPr>
                  </w:pPr>
                  <w:r>
                    <w:rPr>
                      <w:rFonts w:hint="eastAsia" w:ascii="宋体" w:hAnsi="宋体" w:cs="宋体"/>
                      <w:color w:val="000000" w:themeColor="text1"/>
                      <w:kern w:val="0"/>
                      <w:sz w:val="18"/>
                      <w:szCs w:val="18"/>
                      <w:lang w:val="en-US" w:eastAsia="zh-CN"/>
                      <w14:textFill>
                        <w14:solidFill>
                          <w14:schemeClr w14:val="tx1"/>
                        </w14:solidFill>
                      </w14:textFill>
                    </w:rPr>
                    <w:t>工日</w:t>
                  </w:r>
                </w:p>
              </w:tc>
              <w:tc>
                <w:tcPr>
                  <w:tcW w:w="1186" w:type="dxa"/>
                  <w:tcBorders>
                    <w:top w:val="nil"/>
                    <w:left w:val="nil"/>
                    <w:bottom w:val="nil"/>
                    <w:right w:val="single" w:color="000000" w:sz="4" w:space="0"/>
                  </w:tcBorders>
                  <w:shd w:val="clear" w:color="auto" w:fill="auto"/>
                  <w:vAlign w:val="center"/>
                </w:tcPr>
                <w:p w14:paraId="7BF07844">
                  <w:pPr>
                    <w:jc w:val="center"/>
                    <w:rPr>
                      <w:rFonts w:hint="default" w:ascii="宋体" w:hAnsi="宋体" w:cs="宋体"/>
                      <w:color w:val="000000" w:themeColor="text1"/>
                      <w:kern w:val="0"/>
                      <w:sz w:val="18"/>
                      <w:szCs w:val="18"/>
                      <w:lang w:val="en-US" w:eastAsia="zh-CN"/>
                      <w14:textFill>
                        <w14:solidFill>
                          <w14:schemeClr w14:val="tx1"/>
                        </w14:solidFill>
                      </w14:textFill>
                    </w:rPr>
                  </w:pPr>
                  <w:r>
                    <w:rPr>
                      <w:rFonts w:hint="eastAsia" w:ascii="宋体" w:hAnsi="宋体" w:cs="宋体"/>
                      <w:color w:val="000000" w:themeColor="text1"/>
                      <w:kern w:val="0"/>
                      <w:sz w:val="18"/>
                      <w:szCs w:val="18"/>
                      <w:lang w:val="en-US" w:eastAsia="zh-CN"/>
                      <w14:textFill>
                        <w14:solidFill>
                          <w14:schemeClr w14:val="tx1"/>
                        </w14:solidFill>
                      </w14:textFill>
                    </w:rPr>
                    <w:t>300</w:t>
                  </w:r>
                </w:p>
              </w:tc>
              <w:tc>
                <w:tcPr>
                  <w:tcW w:w="1280" w:type="dxa"/>
                  <w:tcBorders>
                    <w:top w:val="nil"/>
                    <w:left w:val="nil"/>
                    <w:bottom w:val="nil"/>
                    <w:right w:val="single" w:color="auto" w:sz="4" w:space="0"/>
                  </w:tcBorders>
                  <w:shd w:val="clear" w:color="auto" w:fill="auto"/>
                  <w:vAlign w:val="center"/>
                </w:tcPr>
                <w:p w14:paraId="3D92C320">
                  <w:pPr>
                    <w:jc w:val="center"/>
                    <w:rPr>
                      <w:rFonts w:hint="default" w:ascii="宋体" w:hAnsi="宋体" w:cs="宋体"/>
                      <w:color w:val="000000" w:themeColor="text1"/>
                      <w:kern w:val="0"/>
                      <w:sz w:val="18"/>
                      <w:szCs w:val="18"/>
                      <w:lang w:val="en-US" w:eastAsia="zh-CN"/>
                      <w14:textFill>
                        <w14:solidFill>
                          <w14:schemeClr w14:val="tx1"/>
                        </w14:solidFill>
                      </w14:textFill>
                    </w:rPr>
                  </w:pPr>
                  <w:r>
                    <w:rPr>
                      <w:rFonts w:hint="eastAsia" w:ascii="宋体" w:hAnsi="宋体" w:cs="宋体"/>
                      <w:color w:val="000000" w:themeColor="text1"/>
                      <w:kern w:val="0"/>
                      <w:sz w:val="18"/>
                      <w:szCs w:val="18"/>
                      <w:lang w:val="en-US" w:eastAsia="zh-CN"/>
                      <w14:textFill>
                        <w14:solidFill>
                          <w14:schemeClr w14:val="tx1"/>
                        </w14:solidFill>
                      </w14:textFill>
                    </w:rPr>
                    <w:t>180</w:t>
                  </w:r>
                </w:p>
              </w:tc>
              <w:tc>
                <w:tcPr>
                  <w:tcW w:w="1254" w:type="dxa"/>
                  <w:tcBorders>
                    <w:top w:val="nil"/>
                    <w:left w:val="single" w:color="auto" w:sz="4" w:space="0"/>
                    <w:bottom w:val="nil"/>
                    <w:right w:val="single" w:color="000000" w:sz="4" w:space="0"/>
                  </w:tcBorders>
                  <w:shd w:val="clear" w:color="auto" w:fill="auto"/>
                  <w:vAlign w:val="center"/>
                </w:tcPr>
                <w:p w14:paraId="782A6E23">
                  <w:pPr>
                    <w:jc w:val="center"/>
                    <w:rPr>
                      <w:rFonts w:hint="eastAsia" w:ascii="宋体" w:hAnsi="宋体" w:cs="宋体"/>
                      <w:color w:val="000000" w:themeColor="text1"/>
                      <w:kern w:val="0"/>
                      <w:sz w:val="18"/>
                      <w:szCs w:val="18"/>
                      <w:lang w:val="en-US" w:eastAsia="zh-CN"/>
                      <w14:textFill>
                        <w14:solidFill>
                          <w14:schemeClr w14:val="tx1"/>
                        </w14:solidFill>
                      </w14:textFill>
                    </w:rPr>
                  </w:pPr>
                </w:p>
              </w:tc>
              <w:tc>
                <w:tcPr>
                  <w:tcW w:w="6551" w:type="dxa"/>
                  <w:tcBorders>
                    <w:top w:val="nil"/>
                    <w:left w:val="nil"/>
                    <w:bottom w:val="nil"/>
                    <w:right w:val="single" w:color="000000" w:sz="4" w:space="0"/>
                  </w:tcBorders>
                  <w:shd w:val="clear" w:color="auto" w:fill="auto"/>
                  <w:vAlign w:val="center"/>
                </w:tcPr>
                <w:p w14:paraId="475045EE">
                  <w:pPr>
                    <w:widowControl/>
                    <w:pBdr>
                      <w:top w:val="none" w:color="auto" w:sz="0" w:space="1"/>
                      <w:left w:val="none" w:color="auto" w:sz="0" w:space="4"/>
                      <w:bottom w:val="none" w:color="auto" w:sz="0" w:space="1"/>
                      <w:right w:val="none" w:color="auto" w:sz="0" w:space="4"/>
                    </w:pBdr>
                    <w:suppressAutoHyphens w:val="0"/>
                    <w:autoSpaceDN/>
                    <w:textAlignment w:val="auto"/>
                    <w:rPr>
                      <w:rFonts w:hint="eastAsia" w:ascii="宋体" w:hAnsi="宋体" w:cs="宋体" w:eastAsiaTheme="minorEastAsia"/>
                      <w:color w:val="000000"/>
                      <w:kern w:val="0"/>
                      <w:sz w:val="18"/>
                      <w:szCs w:val="18"/>
                      <w:lang w:val="en-US" w:eastAsia="zh-CN" w:bidi="ar-SA"/>
                    </w:rPr>
                  </w:pPr>
                  <w:r>
                    <w:rPr>
                      <w:rFonts w:hint="eastAsia" w:ascii="宋体" w:hAnsi="宋体" w:cs="宋体"/>
                      <w:color w:val="000000"/>
                      <w:kern w:val="0"/>
                      <w:sz w:val="18"/>
                      <w:szCs w:val="18"/>
                    </w:rPr>
                    <w:t>固定单价180</w:t>
                  </w:r>
                </w:p>
              </w:tc>
            </w:tr>
            <w:tr w14:paraId="1BD4F5DD">
              <w:tblPrEx>
                <w:tblCellMar>
                  <w:top w:w="0" w:type="dxa"/>
                  <w:left w:w="108" w:type="dxa"/>
                  <w:bottom w:w="0" w:type="dxa"/>
                  <w:right w:w="108" w:type="dxa"/>
                </w:tblCellMar>
              </w:tblPrEx>
              <w:trPr>
                <w:trHeight w:val="402" w:hRule="atLeast"/>
                <w:jc w:val="center"/>
              </w:trPr>
              <w:tc>
                <w:tcPr>
                  <w:tcW w:w="587" w:type="dxa"/>
                  <w:tcBorders>
                    <w:top w:val="single" w:color="auto" w:sz="4" w:space="0"/>
                    <w:left w:val="single" w:color="000000" w:sz="4" w:space="0"/>
                    <w:bottom w:val="single" w:color="000000" w:sz="4" w:space="0"/>
                    <w:right w:val="single" w:color="000000" w:sz="4" w:space="0"/>
                  </w:tcBorders>
                  <w:shd w:val="clear" w:color="auto" w:fill="auto"/>
                  <w:vAlign w:val="center"/>
                </w:tcPr>
                <w:p w14:paraId="277C544A">
                  <w:pPr>
                    <w:jc w:val="center"/>
                    <w:rPr>
                      <w:rFonts w:hint="eastAsia" w:ascii="宋体" w:hAnsi="宋体" w:cs="宋体"/>
                      <w:color w:val="000000" w:themeColor="text1"/>
                      <w:kern w:val="0"/>
                      <w:sz w:val="18"/>
                      <w:szCs w:val="18"/>
                      <w:highlight w:val="none"/>
                      <w:lang w:val="en-US" w:eastAsia="zh-CN"/>
                      <w14:textFill>
                        <w14:solidFill>
                          <w14:schemeClr w14:val="tx1"/>
                        </w14:solidFill>
                      </w14:textFill>
                    </w:rPr>
                  </w:pPr>
                </w:p>
              </w:tc>
              <w:tc>
                <w:tcPr>
                  <w:tcW w:w="14341" w:type="dxa"/>
                  <w:gridSpan w:val="7"/>
                  <w:tcBorders>
                    <w:top w:val="single" w:color="000000" w:sz="4" w:space="0"/>
                    <w:left w:val="nil"/>
                    <w:bottom w:val="single" w:color="000000" w:sz="4" w:space="0"/>
                    <w:right w:val="single" w:color="000000" w:sz="4" w:space="0"/>
                  </w:tcBorders>
                  <w:shd w:val="clear" w:color="auto" w:fill="auto"/>
                  <w:vAlign w:val="center"/>
                </w:tcPr>
                <w:p w14:paraId="677FE0D0">
                  <w:pPr>
                    <w:widowControl/>
                    <w:pBdr>
                      <w:top w:val="none" w:color="auto" w:sz="0" w:space="1"/>
                      <w:left w:val="none" w:color="auto" w:sz="0" w:space="4"/>
                      <w:bottom w:val="none" w:color="auto" w:sz="0" w:space="1"/>
                      <w:right w:val="none" w:color="auto" w:sz="0" w:space="4"/>
                    </w:pBdr>
                    <w:tabs>
                      <w:tab w:val="left" w:pos="2744"/>
                    </w:tabs>
                    <w:suppressAutoHyphens w:val="0"/>
                    <w:autoSpaceDN/>
                    <w:textAlignment w:val="auto"/>
                    <w:rPr>
                      <w:rFonts w:hint="eastAsia" w:ascii="宋体" w:hAnsi="宋体" w:cs="宋体" w:eastAsiaTheme="minorEastAsia"/>
                      <w:color w:val="000000"/>
                      <w:kern w:val="0"/>
                      <w:sz w:val="18"/>
                      <w:szCs w:val="18"/>
                      <w:highlight w:val="none"/>
                      <w:lang w:eastAsia="zh-CN"/>
                    </w:rPr>
                  </w:pPr>
                  <w:r>
                    <w:rPr>
                      <w:rFonts w:hint="eastAsia" w:ascii="宋体" w:hAnsi="宋体" w:cs="宋体"/>
                      <w:color w:val="000000"/>
                      <w:kern w:val="0"/>
                      <w:sz w:val="20"/>
                      <w:szCs w:val="20"/>
                      <w:highlight w:val="none"/>
                    </w:rPr>
                    <w:t>备注：本次招标工程量为暂定工程量，模板、木方等待图纸明确后核准控制量；合同签订后,锁定抵顶房源。</w:t>
                  </w:r>
                </w:p>
              </w:tc>
            </w:tr>
          </w:tbl>
          <w:p w14:paraId="60FD16FD">
            <w:pPr>
              <w:rPr>
                <w:sz w:val="21"/>
                <w:szCs w:val="21"/>
              </w:rPr>
            </w:pPr>
            <w:r>
              <w:rPr>
                <w:rFonts w:hint="eastAsia"/>
                <w:sz w:val="21"/>
                <w:szCs w:val="21"/>
              </w:rPr>
              <w:t>报价特别注意事项如下：</w:t>
            </w:r>
          </w:p>
          <w:p w14:paraId="4EB8B702">
            <w:pPr>
              <w:rPr>
                <w:sz w:val="21"/>
                <w:szCs w:val="21"/>
              </w:rPr>
            </w:pPr>
            <w:r>
              <w:rPr>
                <w:rFonts w:hint="eastAsia"/>
                <w:sz w:val="21"/>
                <w:szCs w:val="21"/>
                <w:lang w:val="en-US" w:eastAsia="zh-CN"/>
              </w:rPr>
              <w:t>1</w:t>
            </w:r>
            <w:r>
              <w:rPr>
                <w:rFonts w:hint="eastAsia"/>
                <w:sz w:val="21"/>
                <w:szCs w:val="21"/>
              </w:rPr>
              <w:t>、中标人不限一个，招标人根据投标情况酌情考虑中标人数量及各中标人施工的楼号；</w:t>
            </w:r>
          </w:p>
          <w:p w14:paraId="6ED227AD">
            <w:pPr>
              <w:rPr>
                <w:sz w:val="21"/>
                <w:szCs w:val="21"/>
              </w:rPr>
            </w:pPr>
            <w:r>
              <w:rPr>
                <w:rFonts w:hint="eastAsia"/>
                <w:sz w:val="21"/>
                <w:szCs w:val="21"/>
                <w:lang w:val="en-US" w:eastAsia="zh-CN"/>
              </w:rPr>
              <w:t>2</w:t>
            </w:r>
            <w:r>
              <w:rPr>
                <w:rFonts w:hint="eastAsia"/>
                <w:sz w:val="21"/>
                <w:szCs w:val="21"/>
              </w:rPr>
              <w:t>、本次招标不包含的工程，若后期需要施工，招标人后期会根据现场前期的施工情况及分包人的施工能力分包给本次中标的分包人，价格同本次中标同等类型的工程价格，不再举行招标；</w:t>
            </w:r>
          </w:p>
          <w:p w14:paraId="1578E477">
            <w:pPr>
              <w:rPr>
                <w:rFonts w:hint="eastAsia"/>
                <w:sz w:val="21"/>
                <w:szCs w:val="21"/>
                <w:lang w:eastAsia="zh-CN"/>
              </w:rPr>
            </w:pPr>
            <w:r>
              <w:rPr>
                <w:rFonts w:hint="eastAsia"/>
                <w:sz w:val="21"/>
                <w:szCs w:val="21"/>
                <w:lang w:val="en-US" w:eastAsia="zh-CN"/>
              </w:rPr>
              <w:t>3</w:t>
            </w:r>
            <w:r>
              <w:rPr>
                <w:rFonts w:hint="eastAsia"/>
                <w:sz w:val="21"/>
                <w:szCs w:val="21"/>
              </w:rPr>
              <w:t>、表中所列工程量为预估工程量，不作为最终结算的依据，最终结算工程量按照招标文件的要求以双方核对工程量为准</w:t>
            </w:r>
            <w:r>
              <w:rPr>
                <w:rFonts w:hint="eastAsia"/>
                <w:sz w:val="21"/>
                <w:szCs w:val="21"/>
                <w:lang w:eastAsia="zh-CN"/>
              </w:rPr>
              <w:t>。</w:t>
            </w:r>
          </w:p>
          <w:p w14:paraId="2F6F936D">
            <w:pPr>
              <w:rPr>
                <w:sz w:val="21"/>
                <w:szCs w:val="21"/>
              </w:rPr>
            </w:pPr>
            <w:r>
              <w:rPr>
                <w:rFonts w:hint="eastAsia"/>
                <w:sz w:val="21"/>
                <w:szCs w:val="21"/>
                <w:lang w:val="en-US" w:eastAsia="zh-CN"/>
              </w:rPr>
              <w:t>4</w:t>
            </w:r>
            <w:r>
              <w:rPr>
                <w:rFonts w:hint="eastAsia"/>
                <w:sz w:val="21"/>
                <w:szCs w:val="21"/>
              </w:rPr>
              <w:t>、建筑面积按建筑面积计算规则计算，不含预制楼梯面积；叠合板</w:t>
            </w:r>
            <w:r>
              <w:rPr>
                <w:rFonts w:hint="eastAsia"/>
                <w:sz w:val="21"/>
                <w:szCs w:val="21"/>
                <w:lang w:val="en-US" w:eastAsia="zh-CN"/>
              </w:rPr>
              <w:t>只</w:t>
            </w:r>
            <w:r>
              <w:rPr>
                <w:rFonts w:hint="eastAsia"/>
                <w:sz w:val="21"/>
                <w:szCs w:val="21"/>
              </w:rPr>
              <w:t>计算模板面积</w:t>
            </w:r>
            <w:r>
              <w:rPr>
                <w:rFonts w:hint="eastAsia"/>
                <w:sz w:val="21"/>
                <w:szCs w:val="21"/>
                <w:lang w:eastAsia="zh-CN"/>
              </w:rPr>
              <w:t>，</w:t>
            </w:r>
            <w:r>
              <w:rPr>
                <w:rFonts w:hint="eastAsia"/>
                <w:sz w:val="21"/>
                <w:szCs w:val="21"/>
                <w:lang w:val="en-US" w:eastAsia="zh-CN"/>
              </w:rPr>
              <w:t>不计算安装费，双T板位置不计算模板面积，只计算混凝土和钢筋</w:t>
            </w:r>
            <w:r>
              <w:rPr>
                <w:rFonts w:hint="eastAsia"/>
                <w:sz w:val="21"/>
                <w:szCs w:val="21"/>
              </w:rPr>
              <w:t>；</w:t>
            </w:r>
          </w:p>
          <w:p w14:paraId="3EA0D803">
            <w:pPr>
              <w:rPr>
                <w:sz w:val="21"/>
                <w:szCs w:val="21"/>
              </w:rPr>
            </w:pPr>
            <w:r>
              <w:rPr>
                <w:rFonts w:hint="eastAsia"/>
                <w:sz w:val="21"/>
                <w:szCs w:val="21"/>
                <w:lang w:val="en-US" w:eastAsia="zh-CN"/>
              </w:rPr>
              <w:t>5</w:t>
            </w:r>
            <w:r>
              <w:rPr>
                <w:rFonts w:hint="eastAsia"/>
                <w:sz w:val="21"/>
                <w:szCs w:val="21"/>
              </w:rPr>
              <w:t>、混凝土的养护如果劳务分包人累计出现3次养护不及时情况，项目部有权接管混凝土的养护工作，并按照建筑面积1元/平米（按照合同约定的建筑面积的计算规则计算）的标准自劳务分包结算中扣除。</w:t>
            </w:r>
          </w:p>
          <w:p w14:paraId="33165F04">
            <w:pPr>
              <w:rPr>
                <w:sz w:val="21"/>
                <w:szCs w:val="21"/>
              </w:rPr>
            </w:pPr>
            <w:r>
              <w:rPr>
                <w:rFonts w:hint="eastAsia"/>
                <w:sz w:val="21"/>
                <w:szCs w:val="21"/>
                <w:lang w:val="en-US" w:eastAsia="zh-CN"/>
              </w:rPr>
              <w:t>6</w:t>
            </w:r>
            <w:r>
              <w:rPr>
                <w:rFonts w:hint="eastAsia"/>
                <w:sz w:val="21"/>
                <w:szCs w:val="21"/>
              </w:rPr>
              <w:t>、现场劳务管理人员至少达到5人，劳务自行考虑，需满足现场施工需要（一个项目负责人、一个质检员、2个技术员、一个保管员），达不到该要求的，每减少一人，从劳务管理人员工资中扣除1元/平方（建筑面积）。</w:t>
            </w:r>
          </w:p>
          <w:p w14:paraId="1F9533FE">
            <w:pPr>
              <w:rPr>
                <w:sz w:val="21"/>
                <w:szCs w:val="21"/>
              </w:rPr>
            </w:pPr>
            <w:r>
              <w:rPr>
                <w:rFonts w:hint="eastAsia"/>
                <w:sz w:val="21"/>
                <w:szCs w:val="21"/>
                <w:lang w:val="en-US" w:eastAsia="zh-CN"/>
              </w:rPr>
              <w:t>7</w:t>
            </w:r>
            <w:r>
              <w:rPr>
                <w:rFonts w:hint="eastAsia"/>
                <w:sz w:val="21"/>
                <w:szCs w:val="21"/>
              </w:rPr>
              <w:t>、需分包人自行提供钢筋加工制作所需所有机械设备包含但不限于每个钢筋加工区平口钢筋切断机、钢筋调直机、弯箍机、无齿锯（包括使用的无齿锯片）、等钢筋加工设备。此部分钢筋加工设备考虑在综合单价内，项目不再单独计费。</w:t>
            </w:r>
          </w:p>
          <w:p w14:paraId="6885FF80">
            <w:pPr>
              <w:rPr>
                <w:sz w:val="21"/>
                <w:szCs w:val="21"/>
              </w:rPr>
            </w:pPr>
            <w:r>
              <w:rPr>
                <w:rFonts w:hint="eastAsia"/>
                <w:sz w:val="21"/>
                <w:szCs w:val="21"/>
                <w:lang w:val="en-US" w:eastAsia="zh-CN"/>
              </w:rPr>
              <w:t>8</w:t>
            </w:r>
            <w:r>
              <w:rPr>
                <w:rFonts w:hint="eastAsia"/>
                <w:sz w:val="21"/>
                <w:szCs w:val="21"/>
              </w:rPr>
              <w:t>、所有措施筋，包括马镫筋、梁垫铁、剪力墙梯子筋、基础定位筋等以及木工和架子工等工种使用的其他措施筋，型号尺寸数量等必须经过项目部审批签字确认后，方可按需加工，不可私自加工，否则每发现一次罚款5000元。若有其他班组乱用钢筋，每发现一次除处罚其他班组外，罚钢筋班组1000-2000元。</w:t>
            </w:r>
          </w:p>
          <w:p w14:paraId="15A71969">
            <w:pPr>
              <w:rPr>
                <w:sz w:val="21"/>
                <w:szCs w:val="21"/>
              </w:rPr>
            </w:pPr>
            <w:r>
              <w:rPr>
                <w:rFonts w:hint="eastAsia"/>
                <w:sz w:val="21"/>
                <w:szCs w:val="21"/>
                <w:lang w:val="en-US" w:eastAsia="zh-CN"/>
              </w:rPr>
              <w:t>9</w:t>
            </w:r>
            <w:r>
              <w:rPr>
                <w:rFonts w:hint="eastAsia"/>
                <w:sz w:val="21"/>
                <w:szCs w:val="21"/>
              </w:rPr>
              <w:t>、</w:t>
            </w:r>
            <w:r>
              <w:rPr>
                <w:rFonts w:hint="eastAsia"/>
                <w:b/>
                <w:bCs/>
                <w:sz w:val="21"/>
                <w:szCs w:val="21"/>
              </w:rPr>
              <w:t>在规范允许的范围内尽可能优化料单、节约钢材，每个钢筋加工区的钢筋损耗率都要控制在1.</w:t>
            </w:r>
            <w:r>
              <w:rPr>
                <w:rFonts w:hint="eastAsia"/>
                <w:b/>
                <w:bCs/>
                <w:sz w:val="21"/>
                <w:szCs w:val="21"/>
                <w:lang w:val="en-US" w:eastAsia="zh-CN"/>
              </w:rPr>
              <w:t>3</w:t>
            </w:r>
            <w:r>
              <w:rPr>
                <w:rFonts w:hint="eastAsia"/>
                <w:b/>
                <w:bCs/>
                <w:sz w:val="21"/>
                <w:szCs w:val="21"/>
              </w:rPr>
              <w:t>%以内，若废品率超出此范围（1.5%），则超出部分的废品量按每吨</w:t>
            </w:r>
            <w:r>
              <w:rPr>
                <w:rFonts w:hint="eastAsia"/>
                <w:b/>
                <w:bCs/>
                <w:sz w:val="21"/>
                <w:szCs w:val="21"/>
                <w:lang w:val="en-US" w:eastAsia="zh-CN"/>
              </w:rPr>
              <w:t>38</w:t>
            </w:r>
            <w:r>
              <w:rPr>
                <w:rFonts w:hint="eastAsia"/>
                <w:b/>
                <w:bCs/>
                <w:sz w:val="21"/>
                <w:szCs w:val="21"/>
              </w:rPr>
              <w:t>00元，直接在班组的结算中扣除。</w:t>
            </w:r>
          </w:p>
          <w:p w14:paraId="2FE24820">
            <w:pPr>
              <w:rPr>
                <w:sz w:val="21"/>
                <w:szCs w:val="21"/>
              </w:rPr>
            </w:pPr>
            <w:r>
              <w:rPr>
                <w:rFonts w:hint="eastAsia"/>
                <w:sz w:val="21"/>
                <w:szCs w:val="21"/>
              </w:rPr>
              <w:t>1</w:t>
            </w:r>
            <w:r>
              <w:rPr>
                <w:rFonts w:hint="eastAsia"/>
                <w:sz w:val="21"/>
                <w:szCs w:val="21"/>
                <w:lang w:val="en-US" w:eastAsia="zh-CN"/>
              </w:rPr>
              <w:t>0</w:t>
            </w:r>
            <w:r>
              <w:rPr>
                <w:rFonts w:hint="eastAsia"/>
                <w:sz w:val="21"/>
                <w:szCs w:val="21"/>
              </w:rPr>
              <w:t>、现场钢筋间距及保护层扫描的实测实量必须达到公司标准，否则予以考核。</w:t>
            </w:r>
          </w:p>
          <w:p w14:paraId="4AB90060">
            <w:pPr>
              <w:rPr>
                <w:sz w:val="21"/>
                <w:szCs w:val="21"/>
              </w:rPr>
            </w:pPr>
            <w:r>
              <w:rPr>
                <w:rFonts w:hint="eastAsia"/>
                <w:sz w:val="21"/>
                <w:szCs w:val="21"/>
                <w:lang w:val="en-US" w:eastAsia="zh-CN"/>
              </w:rPr>
              <w:t>11</w:t>
            </w:r>
            <w:r>
              <w:rPr>
                <w:rFonts w:hint="eastAsia"/>
                <w:sz w:val="21"/>
                <w:szCs w:val="21"/>
              </w:rPr>
              <w:t>、所有剪力墙需增加定位撑并加固，单价综合考虑；</w:t>
            </w:r>
          </w:p>
          <w:p w14:paraId="4C147A61">
            <w:pPr>
              <w:rPr>
                <w:sz w:val="21"/>
                <w:szCs w:val="21"/>
              </w:rPr>
            </w:pPr>
            <w:r>
              <w:rPr>
                <w:rFonts w:hint="eastAsia"/>
                <w:sz w:val="21"/>
                <w:szCs w:val="21"/>
                <w:lang w:val="en-US" w:eastAsia="zh-CN"/>
              </w:rPr>
              <w:t>12</w:t>
            </w:r>
            <w:r>
              <w:rPr>
                <w:rFonts w:hint="eastAsia"/>
                <w:sz w:val="21"/>
                <w:szCs w:val="21"/>
              </w:rPr>
              <w:t>、分包人报价中包含的</w:t>
            </w:r>
            <w:r>
              <w:rPr>
                <w:sz w:val="21"/>
                <w:szCs w:val="21"/>
              </w:rPr>
              <w:t>施工设备</w:t>
            </w:r>
            <w:r>
              <w:rPr>
                <w:rFonts w:hint="eastAsia"/>
                <w:sz w:val="21"/>
                <w:szCs w:val="21"/>
              </w:rPr>
              <w:t>（分包自带）：木工</w:t>
            </w:r>
            <w:r>
              <w:rPr>
                <w:sz w:val="21"/>
                <w:szCs w:val="21"/>
              </w:rPr>
              <w:t>裁板机</w:t>
            </w:r>
            <w:r>
              <w:rPr>
                <w:rFonts w:hint="eastAsia"/>
                <w:sz w:val="21"/>
                <w:szCs w:val="21"/>
              </w:rPr>
              <w:t>（不得使用圆盘锯）</w:t>
            </w:r>
            <w:r>
              <w:rPr>
                <w:sz w:val="21"/>
                <w:szCs w:val="21"/>
              </w:rPr>
              <w:t>、</w:t>
            </w:r>
            <w:r>
              <w:rPr>
                <w:rFonts w:hint="eastAsia" w:ascii="宋体" w:hAnsi="宋体" w:cs="宋体"/>
                <w:sz w:val="21"/>
                <w:szCs w:val="21"/>
              </w:rPr>
              <w:t>振动棒、插入电机等振捣设备、</w:t>
            </w:r>
            <w:r>
              <w:rPr>
                <w:rFonts w:hint="eastAsia"/>
                <w:sz w:val="21"/>
                <w:szCs w:val="21"/>
              </w:rPr>
              <w:t>电动刨子、</w:t>
            </w:r>
            <w:r>
              <w:rPr>
                <w:sz w:val="21"/>
                <w:szCs w:val="21"/>
              </w:rPr>
              <w:t>手提锯</w:t>
            </w:r>
            <w:r>
              <w:rPr>
                <w:rFonts w:hint="eastAsia"/>
                <w:sz w:val="21"/>
                <w:szCs w:val="21"/>
              </w:rPr>
              <w:t>、射钉枪、电镐（花锤及花锤镐头）、墨线仪、电动扳手等</w:t>
            </w:r>
            <w:r>
              <w:rPr>
                <w:sz w:val="21"/>
                <w:szCs w:val="21"/>
              </w:rPr>
              <w:t>及小五金费用、材料场内运输费用均在劳务单价中包含，不得单独开具</w:t>
            </w:r>
            <w:r>
              <w:rPr>
                <w:rFonts w:hint="eastAsia"/>
                <w:sz w:val="21"/>
                <w:szCs w:val="21"/>
              </w:rPr>
              <w:t>费用</w:t>
            </w:r>
            <w:r>
              <w:rPr>
                <w:sz w:val="21"/>
                <w:szCs w:val="21"/>
              </w:rPr>
              <w:t>。塔吊范围以外的材料场内运输，项目部提供拖拉机及司机配合运料，其余由</w:t>
            </w:r>
            <w:r>
              <w:rPr>
                <w:rFonts w:hint="eastAsia"/>
                <w:sz w:val="21"/>
                <w:szCs w:val="21"/>
              </w:rPr>
              <w:t>分包人</w:t>
            </w:r>
            <w:r>
              <w:rPr>
                <w:sz w:val="21"/>
                <w:szCs w:val="21"/>
              </w:rPr>
              <w:t>负责。特别注意：主体辅材小五金主要包括但不限于：对拉螺母、元宝垫、KT板、铁钉、钢钉、铁丝、pvc 管、</w:t>
            </w:r>
            <w:r>
              <w:rPr>
                <w:rFonts w:hint="eastAsia" w:ascii="宋体" w:hAnsi="宋体" w:cs="宋体"/>
                <w:sz w:val="21"/>
                <w:szCs w:val="21"/>
              </w:rPr>
              <w:t>钢筋绑扎铅丝、</w:t>
            </w:r>
            <w:r>
              <w:rPr>
                <w:sz w:val="21"/>
                <w:szCs w:val="21"/>
              </w:rPr>
              <w:t>电焊条、木工锯片、无齿锯片、</w:t>
            </w:r>
            <w:r>
              <w:rPr>
                <w:rFonts w:hint="eastAsia"/>
                <w:sz w:val="21"/>
                <w:szCs w:val="21"/>
              </w:rPr>
              <w:t>塑料膜</w:t>
            </w:r>
            <w:r>
              <w:rPr>
                <w:sz w:val="21"/>
                <w:szCs w:val="21"/>
              </w:rPr>
              <w:t>及照明灯具、笤帚、扫帚、施工线、双面胶带、安全帽、安全带、对讲机及其电池、口哨、信号旗等现场通讯对讲联络器材、凿子、铁锤、铁锨、铁镐、水鞋、石笔、粉笔、毛笔、</w:t>
            </w:r>
            <w:r>
              <w:rPr>
                <w:rFonts w:hint="eastAsia" w:ascii="宋体" w:hAnsi="宋体" w:cs="宋体"/>
                <w:sz w:val="21"/>
                <w:szCs w:val="21"/>
              </w:rPr>
              <w:t>红蓝铅笔、</w:t>
            </w:r>
            <w:r>
              <w:rPr>
                <w:sz w:val="21"/>
                <w:szCs w:val="21"/>
              </w:rPr>
              <w:t>手电筒及其电池、多用插座、插头、开关、麻绳、油麻、雨衣、电焊手套、蛇皮管、水带、水带接头、门锁、墨汁、墨斗、</w:t>
            </w:r>
            <w:r>
              <w:rPr>
                <w:rFonts w:hint="eastAsia" w:ascii="宋体" w:hAnsi="宋体" w:cs="宋体"/>
                <w:sz w:val="21"/>
                <w:szCs w:val="21"/>
              </w:rPr>
              <w:t>钢筋钳子、</w:t>
            </w:r>
            <w:r>
              <w:rPr>
                <w:sz w:val="21"/>
                <w:szCs w:val="21"/>
              </w:rPr>
              <w:t>水平管、线坠、电锤及钻头、钢丝刷、拖把</w:t>
            </w:r>
            <w:r>
              <w:rPr>
                <w:rFonts w:hint="eastAsia"/>
                <w:sz w:val="21"/>
                <w:szCs w:val="21"/>
              </w:rPr>
              <w:t>、黄胶带、山形卡、</w:t>
            </w:r>
            <w:r>
              <w:rPr>
                <w:rFonts w:hint="eastAsia"/>
                <w:b/>
                <w:bCs/>
                <w:sz w:val="21"/>
                <w:szCs w:val="21"/>
              </w:rPr>
              <w:t>对拉螺栓、套筒、水泥垫块、水泥支撑</w:t>
            </w:r>
            <w:r>
              <w:rPr>
                <w:rFonts w:hint="eastAsia"/>
                <w:sz w:val="21"/>
                <w:szCs w:val="21"/>
              </w:rPr>
              <w:t>、</w:t>
            </w:r>
            <w:r>
              <w:rPr>
                <w:rFonts w:hint="eastAsia" w:ascii="宋体" w:hAnsi="宋体" w:cs="宋体"/>
                <w:sz w:val="21"/>
                <w:szCs w:val="21"/>
              </w:rPr>
              <w:t>钢筋垫、</w:t>
            </w:r>
            <w:r>
              <w:rPr>
                <w:rFonts w:hint="eastAsia"/>
                <w:sz w:val="21"/>
                <w:szCs w:val="21"/>
              </w:rPr>
              <w:t>油漆、防锈漆、脱模剂、后浇带及分隔缝处快易收口网、不同标号砼交界处封堵材料、耐候胶（模板拼缝不严的地方用）、钢丝绳及配套的花篮螺栓（斜拉对顶用）、模板眼堵帽、角铁和泡沫纸（底部封浆用）、绿色马甲及</w:t>
            </w:r>
            <w:r>
              <w:rPr>
                <w:sz w:val="21"/>
                <w:szCs w:val="21"/>
              </w:rPr>
              <w:t>各种低值易耗品等所有辅材等应考虑在综合单价中，不再单独计费。</w:t>
            </w:r>
          </w:p>
          <w:p w14:paraId="11F950C5">
            <w:pPr>
              <w:rPr>
                <w:rFonts w:hint="eastAsia"/>
                <w:sz w:val="21"/>
                <w:szCs w:val="21"/>
                <w:lang w:eastAsia="zh-CN"/>
              </w:rPr>
            </w:pPr>
            <w:r>
              <w:rPr>
                <w:rFonts w:hint="eastAsia"/>
                <w:sz w:val="21"/>
                <w:szCs w:val="21"/>
              </w:rPr>
              <w:t>1</w:t>
            </w:r>
            <w:r>
              <w:rPr>
                <w:rFonts w:hint="eastAsia"/>
                <w:sz w:val="21"/>
                <w:szCs w:val="21"/>
                <w:lang w:val="en-US" w:eastAsia="zh-CN"/>
              </w:rPr>
              <w:t>4</w:t>
            </w:r>
            <w:r>
              <w:rPr>
                <w:rFonts w:hint="eastAsia"/>
                <w:sz w:val="21"/>
                <w:szCs w:val="21"/>
              </w:rPr>
              <w:t>、自备木工机械（自带大型裁板锯至少一台）</w:t>
            </w:r>
            <w:r>
              <w:rPr>
                <w:rFonts w:hint="eastAsia"/>
                <w:sz w:val="21"/>
                <w:szCs w:val="21"/>
                <w:lang w:eastAsia="zh-CN"/>
              </w:rPr>
              <w:t>。</w:t>
            </w:r>
          </w:p>
          <w:p w14:paraId="5381F749">
            <w:pPr>
              <w:pStyle w:val="2"/>
              <w:ind w:left="0" w:leftChars="0" w:firstLine="0" w:firstLineChars="0"/>
              <w:rPr>
                <w:rFonts w:hint="default"/>
                <w:lang w:val="en-US" w:eastAsia="zh-CN"/>
              </w:rPr>
            </w:pPr>
            <w:r>
              <w:rPr>
                <w:rFonts w:hint="eastAsia"/>
                <w:sz w:val="21"/>
                <w:szCs w:val="21"/>
                <w:lang w:val="en-US" w:eastAsia="zh-CN"/>
              </w:rPr>
              <w:t>15、</w:t>
            </w:r>
            <w:r>
              <w:rPr>
                <w:rFonts w:hint="eastAsia" w:asciiTheme="minorEastAsia" w:hAnsiTheme="minorEastAsia" w:eastAsiaTheme="minorEastAsia" w:cstheme="minorEastAsia"/>
                <w:kern w:val="3"/>
                <w:sz w:val="21"/>
                <w:szCs w:val="21"/>
                <w:lang w:val="en-US" w:eastAsia="zh-CN" w:bidi="ar-SA"/>
              </w:rPr>
              <w:t>宿舍B西2跨塔吊覆盖不到，挡土墙大部分塔吊覆盖不到位需要自行倒运费材料的费用（项目部提供汽车吊以及部分进场材料和退场全部材料倒运到场外料场需要的拖拉机以及叉车铲车等设备）。</w:t>
            </w:r>
          </w:p>
          <w:p w14:paraId="74BEA15B">
            <w:pPr>
              <w:rPr>
                <w:sz w:val="21"/>
                <w:szCs w:val="21"/>
              </w:rPr>
            </w:pPr>
            <w:r>
              <w:rPr>
                <w:rFonts w:hint="eastAsia"/>
                <w:sz w:val="21"/>
                <w:szCs w:val="21"/>
              </w:rPr>
              <w:t>1</w:t>
            </w:r>
            <w:r>
              <w:rPr>
                <w:rFonts w:hint="eastAsia"/>
                <w:sz w:val="21"/>
                <w:szCs w:val="21"/>
                <w:lang w:val="en-US" w:eastAsia="zh-CN"/>
              </w:rPr>
              <w:t>6</w:t>
            </w:r>
            <w:r>
              <w:rPr>
                <w:rFonts w:hint="eastAsia"/>
                <w:sz w:val="21"/>
                <w:szCs w:val="21"/>
              </w:rPr>
              <w:t>、木方、木胶板实行限额领料，领料后由劳务自行保管使用，使用后分包人要计划使用，严禁乱截乱割，归还时模板的整板率不低于20%，木方的完整率不低于60%，模板超出规定整板率一个平方扣减40元，木方超出完整率1立方扣减2800元；</w:t>
            </w:r>
            <w:r>
              <w:rPr>
                <w:sz w:val="21"/>
                <w:szCs w:val="21"/>
              </w:rPr>
              <w:t xml:space="preserve"> </w:t>
            </w:r>
          </w:p>
          <w:p w14:paraId="62F9F8AF">
            <w:pPr>
              <w:rPr>
                <w:sz w:val="21"/>
                <w:szCs w:val="21"/>
              </w:rPr>
            </w:pPr>
            <w:r>
              <w:rPr>
                <w:rFonts w:hint="eastAsia"/>
                <w:sz w:val="21"/>
                <w:szCs w:val="21"/>
              </w:rPr>
              <w:t>1</w:t>
            </w:r>
            <w:r>
              <w:rPr>
                <w:rFonts w:hint="eastAsia"/>
                <w:sz w:val="21"/>
                <w:szCs w:val="21"/>
                <w:lang w:val="en-US" w:eastAsia="zh-CN"/>
              </w:rPr>
              <w:t>7</w:t>
            </w:r>
            <w:r>
              <w:rPr>
                <w:rFonts w:hint="eastAsia"/>
                <w:sz w:val="21"/>
                <w:szCs w:val="21"/>
              </w:rPr>
              <w:t>、木工用措施筋，基础、剪力墙定位筋等措施筋不得随意取用，必须经过项目部审批签字确认后，方可按需加工，不可私自加工，否则每发现一次罚款5000-10000元；</w:t>
            </w:r>
          </w:p>
          <w:p w14:paraId="40BFE98D">
            <w:pPr>
              <w:rPr>
                <w:sz w:val="21"/>
                <w:szCs w:val="21"/>
              </w:rPr>
            </w:pPr>
            <w:r>
              <w:rPr>
                <w:rFonts w:hint="eastAsia"/>
                <w:sz w:val="21"/>
                <w:szCs w:val="21"/>
              </w:rPr>
              <w:t>1</w:t>
            </w:r>
            <w:r>
              <w:rPr>
                <w:rFonts w:hint="eastAsia"/>
                <w:sz w:val="21"/>
                <w:szCs w:val="21"/>
                <w:lang w:val="en-US" w:eastAsia="zh-CN"/>
              </w:rPr>
              <w:t>8</w:t>
            </w:r>
            <w:r>
              <w:rPr>
                <w:rFonts w:hint="eastAsia"/>
                <w:sz w:val="21"/>
                <w:szCs w:val="21"/>
              </w:rPr>
              <w:t>、剪力墙用U型加固件不允许使用现场钢筋制作，分包人确要使用，必须自带，否则一经发现使用项目部钢筋，除没收制作的U型件外，按现场浪费钢筋的双倍进行罚款；</w:t>
            </w:r>
          </w:p>
          <w:p w14:paraId="2F47E183">
            <w:pPr>
              <w:rPr>
                <w:sz w:val="21"/>
                <w:szCs w:val="21"/>
              </w:rPr>
            </w:pPr>
            <w:r>
              <w:rPr>
                <w:rFonts w:hint="eastAsia"/>
                <w:sz w:val="21"/>
                <w:szCs w:val="21"/>
                <w:lang w:val="en-US" w:eastAsia="zh-CN"/>
              </w:rPr>
              <w:t>19</w:t>
            </w:r>
            <w:r>
              <w:rPr>
                <w:rFonts w:hint="eastAsia"/>
                <w:sz w:val="21"/>
                <w:szCs w:val="21"/>
              </w:rPr>
              <w:t>、现场木方及模板要求劳务在端头部位刷红色油漆封边，模板每次拆除后，必须清理表面杂物，涂刷脱模剂（油漆、脱模剂由劳务自行购买，在小五金中包含）。</w:t>
            </w:r>
          </w:p>
          <w:p w14:paraId="6CAEBD33">
            <w:pPr>
              <w:rPr>
                <w:sz w:val="21"/>
                <w:szCs w:val="21"/>
              </w:rPr>
            </w:pPr>
            <w:r>
              <w:rPr>
                <w:rFonts w:hint="eastAsia"/>
                <w:sz w:val="21"/>
                <w:szCs w:val="21"/>
                <w:lang w:val="en-US" w:eastAsia="zh-CN"/>
              </w:rPr>
              <w:t>20</w:t>
            </w:r>
            <w:r>
              <w:rPr>
                <w:rFonts w:hint="eastAsia"/>
                <w:sz w:val="21"/>
                <w:szCs w:val="21"/>
              </w:rPr>
              <w:t>、承包人提供给分包人的模板加固、支撑的材料为公司现有材料，能满足分包人施工需要，若分包人想使用更先进的加固材料等，需报项目部，经项目部同意后方可使用，但需要分包人自带材料，项目部不承担该费用；</w:t>
            </w:r>
          </w:p>
          <w:p w14:paraId="09D8381D">
            <w:pPr>
              <w:rPr>
                <w:sz w:val="21"/>
                <w:szCs w:val="21"/>
              </w:rPr>
            </w:pPr>
            <w:r>
              <w:rPr>
                <w:rFonts w:hint="eastAsia"/>
                <w:sz w:val="21"/>
                <w:szCs w:val="21"/>
              </w:rPr>
              <w:t>2</w:t>
            </w:r>
            <w:r>
              <w:rPr>
                <w:rFonts w:hint="eastAsia"/>
                <w:sz w:val="21"/>
                <w:szCs w:val="21"/>
                <w:lang w:val="en-US" w:eastAsia="zh-CN"/>
              </w:rPr>
              <w:t>1</w:t>
            </w:r>
            <w:r>
              <w:rPr>
                <w:rFonts w:hint="eastAsia"/>
                <w:sz w:val="21"/>
                <w:szCs w:val="21"/>
              </w:rPr>
              <w:t>、承包人领取材料由双方保管清点明细，并详细记录，归还时应由双方签字确认的退场清单为准，双方应签字确认损坏情况及数量，并按以下方式处理：</w:t>
            </w:r>
          </w:p>
          <w:p w14:paraId="2BDED364">
            <w:pPr>
              <w:rPr>
                <w:sz w:val="21"/>
                <w:szCs w:val="21"/>
              </w:rPr>
            </w:pPr>
            <w:r>
              <w:rPr>
                <w:rFonts w:hint="eastAsia"/>
                <w:sz w:val="21"/>
                <w:szCs w:val="21"/>
              </w:rPr>
              <w:t>缺失的主要材料按丢失损坏价格赔偿；</w:t>
            </w:r>
          </w:p>
          <w:p w14:paraId="4FB1D89E">
            <w:pPr>
              <w:rPr>
                <w:sz w:val="21"/>
                <w:szCs w:val="21"/>
              </w:rPr>
            </w:pPr>
            <w:r>
              <w:rPr>
                <w:rFonts w:hint="eastAsia"/>
                <w:sz w:val="21"/>
                <w:szCs w:val="21"/>
              </w:rPr>
              <w:t>2</w:t>
            </w:r>
            <w:r>
              <w:rPr>
                <w:rFonts w:hint="eastAsia"/>
                <w:sz w:val="21"/>
                <w:szCs w:val="21"/>
                <w:lang w:val="en-US" w:eastAsia="zh-CN"/>
              </w:rPr>
              <w:t>2</w:t>
            </w:r>
            <w:r>
              <w:rPr>
                <w:rFonts w:hint="eastAsia"/>
                <w:sz w:val="21"/>
                <w:szCs w:val="21"/>
              </w:rPr>
              <w:t>、劳务班组在混凝土报价中应综合考虑施工期间发生的单次混凝土方量少，搅拌站混凝土供应不及时误工，不好浇筑等情况，后期不得以此为由拒绝施工</w:t>
            </w:r>
          </w:p>
          <w:p w14:paraId="70B7BC61">
            <w:pPr>
              <w:rPr>
                <w:sz w:val="21"/>
                <w:szCs w:val="21"/>
              </w:rPr>
            </w:pPr>
            <w:r>
              <w:rPr>
                <w:rFonts w:hint="eastAsia"/>
                <w:sz w:val="21"/>
                <w:szCs w:val="21"/>
              </w:rPr>
              <w:t>或要求承包人增加零工或提高混凝土单价等，若发生该种情况，承包人有权减少分包人的承包范围或直接和分包人解除分包合同；</w:t>
            </w:r>
          </w:p>
          <w:p w14:paraId="11D6FED8">
            <w:pPr>
              <w:rPr>
                <w:sz w:val="21"/>
                <w:szCs w:val="21"/>
              </w:rPr>
            </w:pPr>
            <w:r>
              <w:rPr>
                <w:rFonts w:hint="eastAsia"/>
                <w:sz w:val="21"/>
                <w:szCs w:val="21"/>
              </w:rPr>
              <w:t>2</w:t>
            </w:r>
            <w:r>
              <w:rPr>
                <w:rFonts w:hint="eastAsia"/>
                <w:sz w:val="21"/>
                <w:szCs w:val="21"/>
                <w:lang w:val="en-US" w:eastAsia="zh-CN"/>
              </w:rPr>
              <w:t>3</w:t>
            </w:r>
            <w:r>
              <w:rPr>
                <w:rFonts w:hint="eastAsia"/>
                <w:sz w:val="21"/>
                <w:szCs w:val="21"/>
              </w:rPr>
              <w:t>、分包人浇筑混凝土期间， 不得项目部批准不得在混凝土中随意加水，否则每发现一次罚款2000元，影响工程质量的，该此混凝土按全部加水处理，本次工程量不予结算，对承包人造成损失的，分包人需承担由此给承包人及发包人造成的一切损失；</w:t>
            </w:r>
          </w:p>
          <w:p w14:paraId="62F54BB2">
            <w:pPr>
              <w:rPr>
                <w:sz w:val="21"/>
                <w:szCs w:val="21"/>
              </w:rPr>
            </w:pPr>
            <w:r>
              <w:rPr>
                <w:rFonts w:hint="eastAsia"/>
                <w:sz w:val="21"/>
                <w:szCs w:val="21"/>
              </w:rPr>
              <w:t>2</w:t>
            </w:r>
            <w:r>
              <w:rPr>
                <w:rFonts w:hint="eastAsia"/>
                <w:sz w:val="21"/>
                <w:szCs w:val="21"/>
                <w:lang w:val="en-US" w:eastAsia="zh-CN"/>
              </w:rPr>
              <w:t>4</w:t>
            </w:r>
            <w:r>
              <w:rPr>
                <w:rFonts w:hint="eastAsia"/>
                <w:sz w:val="21"/>
                <w:szCs w:val="21"/>
              </w:rPr>
              <w:t>、浇筑混凝土期间对外墙钢板网、外脚手架、甭管等造成污染的部位，分包人需在2天内清理干净，否则项目部将安排人员进行清理，按照发生费用的2倍对分包人进行惩罚，直接从分包人的分包结算中扣除；</w:t>
            </w:r>
          </w:p>
          <w:p w14:paraId="3D50F313">
            <w:pPr>
              <w:rPr>
                <w:sz w:val="21"/>
                <w:szCs w:val="21"/>
              </w:rPr>
            </w:pPr>
            <w:r>
              <w:rPr>
                <w:rFonts w:hint="eastAsia"/>
                <w:sz w:val="21"/>
                <w:szCs w:val="21"/>
              </w:rPr>
              <w:t>2</w:t>
            </w:r>
            <w:r>
              <w:rPr>
                <w:rFonts w:hint="eastAsia"/>
                <w:sz w:val="21"/>
                <w:szCs w:val="21"/>
                <w:lang w:val="en-US" w:eastAsia="zh-CN"/>
              </w:rPr>
              <w:t>5</w:t>
            </w:r>
            <w:r>
              <w:rPr>
                <w:rFonts w:hint="eastAsia"/>
                <w:sz w:val="21"/>
                <w:szCs w:val="21"/>
              </w:rPr>
              <w:t>、混凝土浇筑后发生的鼓模、涨模、蜂窝麻面等情况需要进行修补的，由分包人在拆模后报承包人项目部出具修补方案后，按修补方案进行修补，修补完毕后及时填写验收申请让项目部进行验收，对于分包人拒绝修补的，承包人可自行安排人员维修，按照发生费用的2倍从分包人分包结算中直接扣除；</w:t>
            </w:r>
          </w:p>
          <w:p w14:paraId="726332A0">
            <w:pPr>
              <w:rPr>
                <w:sz w:val="21"/>
                <w:szCs w:val="21"/>
              </w:rPr>
            </w:pPr>
            <w:r>
              <w:rPr>
                <w:rFonts w:hint="eastAsia"/>
                <w:sz w:val="21"/>
                <w:szCs w:val="21"/>
              </w:rPr>
              <w:t>2</w:t>
            </w:r>
            <w:r>
              <w:rPr>
                <w:rFonts w:hint="eastAsia"/>
                <w:sz w:val="21"/>
                <w:szCs w:val="21"/>
                <w:lang w:val="en-US" w:eastAsia="zh-CN"/>
              </w:rPr>
              <w:t>6</w:t>
            </w:r>
            <w:r>
              <w:rPr>
                <w:rFonts w:hint="eastAsia"/>
                <w:sz w:val="21"/>
                <w:szCs w:val="21"/>
              </w:rPr>
              <w:t>、对于因劳务浪费材料而超预算的计划量，要对劳务进行考核罚款，按照超供量的50%扣减劳务单位分包结算，从当月的结算中直接扣除；</w:t>
            </w:r>
          </w:p>
          <w:p w14:paraId="7957A9B3">
            <w:pPr>
              <w:rPr>
                <w:sz w:val="21"/>
                <w:szCs w:val="21"/>
              </w:rPr>
            </w:pPr>
            <w:r>
              <w:rPr>
                <w:rFonts w:hint="eastAsia"/>
                <w:sz w:val="21"/>
                <w:szCs w:val="21"/>
              </w:rPr>
              <w:t>2</w:t>
            </w:r>
            <w:r>
              <w:rPr>
                <w:rFonts w:hint="eastAsia"/>
                <w:sz w:val="21"/>
                <w:szCs w:val="21"/>
                <w:lang w:val="en-US" w:eastAsia="zh-CN"/>
              </w:rPr>
              <w:t>7</w:t>
            </w:r>
            <w:r>
              <w:rPr>
                <w:rFonts w:hint="eastAsia"/>
                <w:sz w:val="21"/>
                <w:szCs w:val="21"/>
              </w:rPr>
              <w:t>、混凝土的养护具体需要何种养护方式必须征得项目部的同意，按项目部的交底养护方案进行养护，不得私自浇水等养护；</w:t>
            </w:r>
          </w:p>
          <w:p w14:paraId="2A0EF24C">
            <w:pPr>
              <w:rPr>
                <w:sz w:val="21"/>
                <w:szCs w:val="21"/>
              </w:rPr>
            </w:pPr>
            <w:r>
              <w:rPr>
                <w:rFonts w:hint="eastAsia"/>
                <w:sz w:val="21"/>
                <w:szCs w:val="21"/>
              </w:rPr>
              <w:t>2</w:t>
            </w:r>
            <w:r>
              <w:rPr>
                <w:rFonts w:hint="eastAsia"/>
                <w:sz w:val="21"/>
                <w:szCs w:val="21"/>
                <w:lang w:val="en-US" w:eastAsia="zh-CN"/>
              </w:rPr>
              <w:t>8</w:t>
            </w:r>
            <w:r>
              <w:rPr>
                <w:rFonts w:hint="eastAsia"/>
                <w:sz w:val="21"/>
                <w:szCs w:val="21"/>
              </w:rPr>
              <w:t>、混凝土浇筑期间，必须使用马道，避免对筏板或楼板钢筋造成踩踏，若承包人发现分包人不使用马道对钢筋造成损坏的，每发现一次，对分包人进行1000-5000元/次的罚款，多次劝说不听的，承包人有权与分包人解除分包合同；</w:t>
            </w:r>
          </w:p>
          <w:p w14:paraId="05E699A3">
            <w:pPr>
              <w:rPr>
                <w:sz w:val="21"/>
                <w:szCs w:val="21"/>
              </w:rPr>
            </w:pPr>
            <w:r>
              <w:rPr>
                <w:rFonts w:hint="eastAsia"/>
                <w:sz w:val="21"/>
                <w:szCs w:val="21"/>
                <w:lang w:val="en-US" w:eastAsia="zh-CN"/>
              </w:rPr>
              <w:t>29</w:t>
            </w:r>
            <w:r>
              <w:rPr>
                <w:rFonts w:hint="eastAsia"/>
                <w:sz w:val="21"/>
                <w:szCs w:val="21"/>
              </w:rPr>
              <w:t>、模板冲洗、润泵的砂浆不允许使用在主体构件当中，要使用灰斗吊走，每发生一次，处5000元的罚款，直接从当月分包结算中扣除；</w:t>
            </w:r>
          </w:p>
          <w:p w14:paraId="75B82457">
            <w:pPr>
              <w:rPr>
                <w:sz w:val="21"/>
                <w:szCs w:val="21"/>
              </w:rPr>
            </w:pPr>
            <w:r>
              <w:rPr>
                <w:rFonts w:hint="eastAsia"/>
                <w:sz w:val="21"/>
                <w:szCs w:val="21"/>
              </w:rPr>
              <w:t>3</w:t>
            </w:r>
            <w:r>
              <w:rPr>
                <w:rFonts w:hint="eastAsia"/>
                <w:sz w:val="21"/>
                <w:szCs w:val="21"/>
                <w:lang w:val="en-US" w:eastAsia="zh-CN"/>
              </w:rPr>
              <w:t>0</w:t>
            </w:r>
            <w:r>
              <w:rPr>
                <w:rFonts w:hint="eastAsia"/>
                <w:sz w:val="21"/>
                <w:szCs w:val="21"/>
              </w:rPr>
              <w:t>、上述所有价格均考虑工程抢工时费用，结算时抢工费用不做调整。</w:t>
            </w:r>
          </w:p>
          <w:p w14:paraId="11C88631">
            <w:pPr>
              <w:rPr>
                <w:sz w:val="21"/>
                <w:szCs w:val="21"/>
              </w:rPr>
            </w:pPr>
            <w:r>
              <w:rPr>
                <w:rFonts w:hint="eastAsia"/>
                <w:sz w:val="21"/>
                <w:szCs w:val="21"/>
              </w:rPr>
              <w:t>3</w:t>
            </w:r>
            <w:r>
              <w:rPr>
                <w:rFonts w:hint="eastAsia"/>
                <w:sz w:val="21"/>
                <w:szCs w:val="21"/>
                <w:lang w:val="en-US" w:eastAsia="zh-CN"/>
              </w:rPr>
              <w:t>1</w:t>
            </w:r>
            <w:r>
              <w:rPr>
                <w:rFonts w:hint="eastAsia"/>
                <w:sz w:val="21"/>
                <w:szCs w:val="21"/>
              </w:rPr>
              <w:t>、工程完工后，分包单位需办理工程完工手续，双方签字确认，承包人每延期一天承担合同价格 1‰的违约金。承包人无正当理由连续停工 15 日或累计停工 30 日以上的，发包人有权解除分包合同，分包人承担工程总造价5%的违约金 。</w:t>
            </w:r>
          </w:p>
          <w:p w14:paraId="72F9C5CD">
            <w:pPr>
              <w:rPr>
                <w:sz w:val="21"/>
                <w:szCs w:val="21"/>
              </w:rPr>
            </w:pPr>
            <w:r>
              <w:rPr>
                <w:rFonts w:hint="eastAsia"/>
                <w:sz w:val="21"/>
                <w:szCs w:val="21"/>
              </w:rPr>
              <w:t>3</w:t>
            </w:r>
            <w:r>
              <w:rPr>
                <w:rFonts w:hint="eastAsia"/>
                <w:sz w:val="21"/>
                <w:szCs w:val="21"/>
                <w:lang w:val="en-US" w:eastAsia="zh-CN"/>
              </w:rPr>
              <w:t>2</w:t>
            </w:r>
            <w:r>
              <w:rPr>
                <w:rFonts w:hint="eastAsia"/>
                <w:sz w:val="21"/>
                <w:szCs w:val="21"/>
              </w:rPr>
              <w:t>、本次招标范围主要包括以下内容：以结施图、建施图、设计变更单、业主单位下发的工作联系单等为准，主体框架工程包括基础（基槽清理、垫层）、钢筋工程、模板及其支撑工程、混凝土工程、、原蓝图要求的及二次设计优化增加的构造柱及砼造型构件等；配合总包完成总包合同内的其他相应工作等所有定额、清单规定的工作内容，直至达到验收交工条件。</w:t>
            </w:r>
            <w:r>
              <w:rPr>
                <w:rFonts w:hint="eastAsia"/>
                <w:b/>
                <w:sz w:val="21"/>
                <w:szCs w:val="21"/>
              </w:rPr>
              <w:t>外脚手架由总包单位单独分包。</w:t>
            </w:r>
          </w:p>
          <w:p w14:paraId="4D3CFADE">
            <w:pPr>
              <w:rPr>
                <w:sz w:val="21"/>
                <w:szCs w:val="21"/>
              </w:rPr>
            </w:pPr>
            <w:r>
              <w:rPr>
                <w:rFonts w:hint="eastAsia"/>
                <w:sz w:val="21"/>
                <w:szCs w:val="21"/>
              </w:rPr>
              <w:t>3</w:t>
            </w:r>
            <w:r>
              <w:rPr>
                <w:rFonts w:hint="eastAsia"/>
                <w:sz w:val="21"/>
                <w:szCs w:val="21"/>
                <w:lang w:val="en-US" w:eastAsia="zh-CN"/>
              </w:rPr>
              <w:t>3</w:t>
            </w:r>
            <w:r>
              <w:rPr>
                <w:rFonts w:hint="eastAsia"/>
                <w:sz w:val="21"/>
                <w:szCs w:val="21"/>
              </w:rPr>
              <w:t>、本合同约定单价为抵顶房屋或货物的价格，若不按照原合同约定条款履行抵顶事宜，分包人同意将所有合同单价下浮8%（包括已付款项经重新核算后），承包人以承兑汇票、现金、转账支票等来支付。</w:t>
            </w:r>
          </w:p>
          <w:p w14:paraId="68D59CE8">
            <w:pPr>
              <w:rPr>
                <w:color w:val="000000"/>
                <w:kern w:val="0"/>
                <w:sz w:val="21"/>
                <w:szCs w:val="21"/>
              </w:rPr>
            </w:pPr>
            <w:r>
              <w:rPr>
                <w:rFonts w:hint="eastAsia"/>
                <w:sz w:val="21"/>
                <w:szCs w:val="21"/>
              </w:rPr>
              <w:t>3</w:t>
            </w:r>
            <w:r>
              <w:rPr>
                <w:rFonts w:hint="eastAsia"/>
                <w:sz w:val="21"/>
                <w:szCs w:val="21"/>
                <w:lang w:val="en-US" w:eastAsia="zh-CN"/>
              </w:rPr>
              <w:t>4</w:t>
            </w:r>
            <w:r>
              <w:rPr>
                <w:rFonts w:hint="eastAsia"/>
                <w:sz w:val="21"/>
                <w:szCs w:val="21"/>
              </w:rPr>
              <w:t>、中标人施工期间如出现因拖欠农民工工资引发不良后果的，发包人将从工程款中扣除所欠农民工工资金额两倍或两倍以上罚金用于解决上访等农民工事件，且分包人承担由此产生的一切后果（包括但不限于合同违约金、向业主支付因延误交楼的赔偿金、为业主代付的物业管理费、与业主和解的赔偿费、为业主支付房费、代付生活费、延误交楼导致发包人名誉损失、相应的法律责任等）。代付款、违约金、罚款等应扣款项，承包人有权从未支付的工程款（或保证金）内直接扣除。</w:t>
            </w:r>
          </w:p>
          <w:p w14:paraId="1888079A">
            <w:pPr>
              <w:rPr>
                <w:sz w:val="21"/>
                <w:szCs w:val="21"/>
              </w:rPr>
            </w:pPr>
            <w:r>
              <w:rPr>
                <w:rFonts w:hint="eastAsia"/>
                <w:sz w:val="21"/>
                <w:szCs w:val="21"/>
              </w:rPr>
              <w:t>3</w:t>
            </w:r>
            <w:r>
              <w:rPr>
                <w:rFonts w:hint="eastAsia"/>
                <w:sz w:val="21"/>
                <w:szCs w:val="21"/>
                <w:lang w:val="en-US" w:eastAsia="zh-CN"/>
              </w:rPr>
              <w:t>5</w:t>
            </w:r>
            <w:r>
              <w:rPr>
                <w:rFonts w:hint="eastAsia"/>
                <w:sz w:val="21"/>
                <w:szCs w:val="21"/>
              </w:rPr>
              <w:t>、现场材料倒运及二次倒运所使用人工均包含在报价中，不另增加费用。主体施工时无法一次成型的造型需后续二次施工的，不另行增加费用。</w:t>
            </w:r>
          </w:p>
          <w:p w14:paraId="6FD27719">
            <w:pPr>
              <w:rPr>
                <w:sz w:val="21"/>
                <w:szCs w:val="21"/>
              </w:rPr>
            </w:pPr>
            <w:r>
              <w:rPr>
                <w:rFonts w:hint="eastAsia"/>
                <w:sz w:val="21"/>
                <w:szCs w:val="21"/>
              </w:rPr>
              <w:t>3</w:t>
            </w:r>
            <w:r>
              <w:rPr>
                <w:rFonts w:hint="eastAsia"/>
                <w:sz w:val="21"/>
                <w:szCs w:val="21"/>
                <w:lang w:val="en-US" w:eastAsia="zh-CN"/>
              </w:rPr>
              <w:t>6</w:t>
            </w:r>
            <w:r>
              <w:rPr>
                <w:rFonts w:hint="eastAsia"/>
                <w:sz w:val="21"/>
                <w:szCs w:val="21"/>
              </w:rPr>
              <w:t>、中标人施工的楼有续建情况的，中标人需对原有工程不符合要求的部位进行维修，中标人报价时应综合考虑，中标后不另增加维修费用，中标人不能以该工程不是自己施工为借口拒绝维修，否则招标人将找人维修，维修发生的费用双倍从分包人结算中扣除。</w:t>
            </w:r>
          </w:p>
          <w:p w14:paraId="43647247">
            <w:pPr>
              <w:rPr>
                <w:rFonts w:hint="eastAsia"/>
                <w:sz w:val="21"/>
                <w:szCs w:val="21"/>
              </w:rPr>
            </w:pPr>
            <w:r>
              <w:rPr>
                <w:rFonts w:hint="eastAsia"/>
                <w:sz w:val="21"/>
                <w:szCs w:val="21"/>
              </w:rPr>
              <w:t>3</w:t>
            </w:r>
            <w:r>
              <w:rPr>
                <w:rFonts w:hint="eastAsia"/>
                <w:sz w:val="21"/>
                <w:szCs w:val="21"/>
                <w:lang w:val="en-US" w:eastAsia="zh-CN"/>
              </w:rPr>
              <w:t>7</w:t>
            </w:r>
            <w:r>
              <w:rPr>
                <w:rFonts w:hint="eastAsia"/>
                <w:sz w:val="21"/>
                <w:szCs w:val="21"/>
              </w:rPr>
              <w:t>、项目部有研发项目的，分包人需无条件配合；</w:t>
            </w:r>
          </w:p>
          <w:p w14:paraId="59D54637">
            <w:pPr>
              <w:rPr>
                <w:rFonts w:hint="default" w:eastAsia="楷体_GB2312"/>
                <w:sz w:val="21"/>
                <w:szCs w:val="21"/>
                <w:lang w:val="en-US" w:eastAsia="zh-CN"/>
              </w:rPr>
            </w:pPr>
            <w:r>
              <w:rPr>
                <w:rFonts w:hint="eastAsia"/>
                <w:sz w:val="21"/>
                <w:szCs w:val="21"/>
              </w:rPr>
              <w:t>3</w:t>
            </w:r>
            <w:r>
              <w:rPr>
                <w:rFonts w:hint="eastAsia"/>
                <w:sz w:val="21"/>
                <w:szCs w:val="21"/>
                <w:lang w:val="en-US" w:eastAsia="zh-CN"/>
              </w:rPr>
              <w:t>8</w:t>
            </w:r>
            <w:r>
              <w:rPr>
                <w:rFonts w:hint="eastAsia"/>
                <w:sz w:val="21"/>
                <w:szCs w:val="21"/>
              </w:rPr>
              <w:t>、</w:t>
            </w:r>
            <w:r>
              <w:rPr>
                <w:rFonts w:hint="eastAsia"/>
                <w:sz w:val="21"/>
                <w:szCs w:val="21"/>
                <w:lang w:eastAsia="zh-CN"/>
              </w:rPr>
              <w:t>本工程</w:t>
            </w:r>
            <w:r>
              <w:rPr>
                <w:rFonts w:hint="eastAsia"/>
                <w:sz w:val="21"/>
                <w:szCs w:val="21"/>
              </w:rPr>
              <w:t>过年期间</w:t>
            </w:r>
            <w:r>
              <w:rPr>
                <w:rFonts w:hint="eastAsia"/>
                <w:sz w:val="21"/>
                <w:szCs w:val="21"/>
                <w:lang w:eastAsia="zh-CN"/>
              </w:rPr>
              <w:t>放假时间为</w:t>
            </w:r>
            <w:r>
              <w:rPr>
                <w:rFonts w:hint="eastAsia"/>
                <w:sz w:val="21"/>
                <w:szCs w:val="21"/>
                <w:lang w:val="en-US" w:eastAsia="zh-CN"/>
              </w:rPr>
              <w:t>2026年2月16日（腊月二十九）-2026年2月19日（正月初三）</w:t>
            </w:r>
            <w:r>
              <w:rPr>
                <w:rFonts w:hint="eastAsia"/>
                <w:sz w:val="21"/>
                <w:szCs w:val="21"/>
              </w:rPr>
              <w:t xml:space="preserve"> </w:t>
            </w:r>
            <w:r>
              <w:rPr>
                <w:rFonts w:hint="eastAsia"/>
                <w:sz w:val="21"/>
                <w:szCs w:val="21"/>
                <w:lang w:eastAsia="zh-CN"/>
              </w:rPr>
              <w:t>正月初四分包</w:t>
            </w:r>
            <w:r>
              <w:rPr>
                <w:rFonts w:hint="eastAsia"/>
                <w:sz w:val="21"/>
                <w:szCs w:val="21"/>
              </w:rPr>
              <w:t>人员必须到岗，分包人需无条件配合</w:t>
            </w:r>
            <w:r>
              <w:rPr>
                <w:rFonts w:hint="eastAsia"/>
                <w:sz w:val="21"/>
                <w:szCs w:val="21"/>
                <w:lang w:eastAsia="zh-CN"/>
              </w:rPr>
              <w:t>项目部施工进度</w:t>
            </w:r>
            <w:r>
              <w:rPr>
                <w:rFonts w:hint="eastAsia"/>
                <w:sz w:val="21"/>
                <w:szCs w:val="21"/>
              </w:rPr>
              <w:t>；</w:t>
            </w:r>
          </w:p>
          <w:p w14:paraId="60CCF4F4">
            <w:pPr>
              <w:rPr>
                <w:sz w:val="21"/>
                <w:szCs w:val="21"/>
              </w:rPr>
            </w:pPr>
            <w:r>
              <w:rPr>
                <w:rFonts w:hint="eastAsia"/>
                <w:sz w:val="21"/>
                <w:szCs w:val="21"/>
              </w:rPr>
              <w:t>3</w:t>
            </w:r>
            <w:r>
              <w:rPr>
                <w:rFonts w:hint="eastAsia"/>
                <w:sz w:val="21"/>
                <w:szCs w:val="21"/>
                <w:lang w:val="en-US" w:eastAsia="zh-CN"/>
              </w:rPr>
              <w:t>9</w:t>
            </w:r>
            <w:r>
              <w:rPr>
                <w:rFonts w:hint="eastAsia"/>
                <w:sz w:val="21"/>
                <w:szCs w:val="21"/>
              </w:rPr>
              <w:t>、除上述重点关注项目外，投标人尚需仔细阅读标书内容，熟知报价包含内容及施工方式等，谨慎报价；</w:t>
            </w:r>
          </w:p>
          <w:p w14:paraId="436A2587">
            <w:pPr>
              <w:pStyle w:val="2"/>
              <w:ind w:firstLine="560"/>
            </w:pPr>
          </w:p>
          <w:p w14:paraId="4E697454">
            <w:pPr>
              <w:rPr>
                <w:rFonts w:hint="eastAsia" w:eastAsiaTheme="minorEastAsia"/>
                <w:lang w:eastAsia="zh-CN"/>
              </w:rPr>
            </w:pPr>
            <w:r>
              <w:rPr>
                <w:rFonts w:hint="eastAsia"/>
                <w:lang w:eastAsia="zh-CN"/>
              </w:rPr>
              <w:t>投标人盖章：</w:t>
            </w:r>
          </w:p>
        </w:tc>
      </w:tr>
    </w:tbl>
    <w:p w14:paraId="6D052B5A">
      <w:pPr>
        <w:sectPr>
          <w:headerReference r:id="rId9" w:type="default"/>
          <w:footerReference r:id="rId10" w:type="default"/>
          <w:pgSz w:w="16838" w:h="11906" w:orient="landscape"/>
          <w:pgMar w:top="1134" w:right="794" w:bottom="1134" w:left="794" w:header="851" w:footer="992" w:gutter="0"/>
          <w:pgNumType w:fmt="decimalFullWidth"/>
          <w:cols w:space="720" w:num="1"/>
          <w:docGrid w:type="lines" w:linePitch="312" w:charSpace="0"/>
        </w:sectPr>
      </w:pPr>
    </w:p>
    <w:p w14:paraId="4CBE0974">
      <w:r>
        <w:rPr>
          <w:rFonts w:hint="eastAsia"/>
        </w:rPr>
        <w:t>报价说明及要求：</w:t>
      </w:r>
    </w:p>
    <w:p w14:paraId="7BA4C9AF">
      <w:pPr>
        <w:ind w:firstLine="480" w:firstLineChars="200"/>
      </w:pPr>
      <w:r>
        <w:rPr>
          <w:rFonts w:hint="eastAsia"/>
        </w:rPr>
        <w:t>（1）本报价为本工程的全过程单价，在工程施工过程中不论出现人工费涨跌均不予调整。</w:t>
      </w:r>
    </w:p>
    <w:p w14:paraId="45E3EF6D">
      <w:pPr>
        <w:ind w:firstLine="480" w:firstLineChars="200"/>
      </w:pPr>
      <w:r>
        <w:rPr>
          <w:rFonts w:hint="eastAsia"/>
        </w:rPr>
        <w:t>（2）施工放线，项目部协助提供轴线或控制线，以及标高控制线；细部尺寸线、竖向构件双边200mm控制线由劳务单位负责放线，项目部验线。</w:t>
      </w:r>
    </w:p>
    <w:p w14:paraId="49CD91B5">
      <w:pPr>
        <w:ind w:firstLine="480" w:firstLineChars="200"/>
      </w:pPr>
      <w:r>
        <w:rPr>
          <w:rFonts w:hint="eastAsia"/>
        </w:rPr>
        <w:t>（3）塔吊不到位的材料运输及施工单位浇筑砼用汽车泵及地泵的组织方式已经考虑在报价中，不予调整。如需使用布料机，布料机由劳务自带，地泵泵管的安装及层间固定由劳务负责，泵管、固定卡箍由劳务保管领料，丢失损坏按原价赔偿。</w:t>
      </w:r>
    </w:p>
    <w:p w14:paraId="5CBBA9BF">
      <w:pPr>
        <w:ind w:firstLine="480" w:firstLineChars="200"/>
      </w:pPr>
      <w:r>
        <w:rPr>
          <w:rFonts w:hint="eastAsia"/>
        </w:rPr>
        <w:t>（4）以上所述“按建筑面积计算规则计算工程量(不含外墙保温层等建筑做法及预制楼梯所占面积)”，指依据中华人民共和国建设部公告第326号《建筑工程建筑面积计算规范》（GB/T5035-2005）（2005-7-1实施）根据结构图纸进行计算，建筑物外墙外层若有保温层时，本次劳务为主体施工招标，不计算建筑面积，所有图纸标明的阳台（开敞或封闭）均按水平面积投影面积的一半计算。（不计面积部分工程量均已含在计算面积部分的含量之内不再调整）。</w:t>
      </w:r>
    </w:p>
    <w:p w14:paraId="2D2F3DE1">
      <w:pPr>
        <w:ind w:firstLine="480" w:firstLineChars="200"/>
      </w:pPr>
      <w:r>
        <w:rPr>
          <w:rFonts w:hint="eastAsia"/>
        </w:rPr>
        <w:t>（5）外墙有一体化板的，只计算一侧有模板的模板面积，一体化板只计算安装费；</w:t>
      </w:r>
    </w:p>
    <w:p w14:paraId="6046D583">
      <w:pPr>
        <w:ind w:firstLine="480" w:firstLineChars="200"/>
      </w:pPr>
      <w:r>
        <w:rPr>
          <w:rFonts w:hint="eastAsia"/>
        </w:rPr>
        <w:t>（6）楼板未进行二次拉毛及平整度不达标的，单价给予1元/平方米的扣除。分包队伍未二次拉毛或平整度不达标的，项目部在结算中未予考核，分公司将对项目部进行考核。</w:t>
      </w:r>
    </w:p>
    <w:p w14:paraId="4FF2F6FF">
      <w:pPr>
        <w:ind w:firstLine="480" w:firstLineChars="200"/>
      </w:pPr>
      <w:r>
        <w:rPr>
          <w:rFonts w:hint="eastAsia"/>
        </w:rPr>
        <w:t>（7）对以上分项报价，根据分公司实测工程质量情况，分公司将根据分公司管理制度对模板、钢筋的价格结合实测数据予以调整。</w:t>
      </w:r>
    </w:p>
    <w:p w14:paraId="2D6EFC8B">
      <w:pPr>
        <w:ind w:firstLine="480" w:firstLineChars="200"/>
      </w:pPr>
      <w:r>
        <w:rPr>
          <w:rFonts w:hint="eastAsia"/>
        </w:rPr>
        <w:t>现浇结构（木模板）：</w:t>
      </w:r>
    </w:p>
    <w:p w14:paraId="1C5666E8">
      <w:pPr>
        <w:ind w:firstLine="480" w:firstLineChars="200"/>
      </w:pPr>
      <w:r>
        <w:rPr>
          <w:rFonts w:hint="eastAsia"/>
        </w:rPr>
        <w:t>实测实量达到90%-92%为投标价格，实测结果在88%-90%（不含90%）模板按投标价格减</w:t>
      </w:r>
      <w:r>
        <w:t>1</w:t>
      </w:r>
      <w:r>
        <w:rPr>
          <w:rFonts w:hint="eastAsia"/>
        </w:rPr>
        <w:t>元/平方米（模板展开面积，下同）；实测结果低于88%（不含8</w:t>
      </w:r>
      <w:r>
        <w:t>8</w:t>
      </w:r>
      <w:r>
        <w:rPr>
          <w:rFonts w:hint="eastAsia"/>
        </w:rPr>
        <w:t>%）的模板按投标价格减</w:t>
      </w:r>
      <w:r>
        <w:t>2</w:t>
      </w:r>
      <w:r>
        <w:rPr>
          <w:rFonts w:hint="eastAsia"/>
        </w:rPr>
        <w:t>元/平方米。实测结果在92%-94%（不含9</w:t>
      </w:r>
      <w:r>
        <w:t>2</w:t>
      </w:r>
      <w:r>
        <w:rPr>
          <w:rFonts w:hint="eastAsia"/>
        </w:rPr>
        <w:t>%）模板价格按投标价格加</w:t>
      </w:r>
      <w:r>
        <w:t>1</w:t>
      </w:r>
      <w:r>
        <w:rPr>
          <w:rFonts w:hint="eastAsia"/>
        </w:rPr>
        <w:t>元/平方米；实测结果在94%以上（不含94%）模板价格按投标价格加</w:t>
      </w:r>
      <w:r>
        <w:t>2</w:t>
      </w:r>
      <w:r>
        <w:rPr>
          <w:rFonts w:hint="eastAsia"/>
        </w:rPr>
        <w:t>元/平方米。</w:t>
      </w:r>
    </w:p>
    <w:p w14:paraId="02D83C8D">
      <w:pPr>
        <w:ind w:firstLine="480" w:firstLineChars="200"/>
      </w:pPr>
      <w:r>
        <w:rPr>
          <w:rFonts w:hint="eastAsia"/>
        </w:rPr>
        <w:t>砼楼板厚度：</w:t>
      </w:r>
    </w:p>
    <w:p w14:paraId="53F97567">
      <w:pPr>
        <w:ind w:firstLine="480" w:firstLineChars="200"/>
      </w:pPr>
      <w:r>
        <w:rPr>
          <w:rFonts w:hint="eastAsia"/>
        </w:rPr>
        <w:t>板厚实测实量投标价格数值为：80%-85%为砼投标价格，85%-90%砼单价加1元/平方米（不含</w:t>
      </w:r>
      <w:r>
        <w:t>85</w:t>
      </w:r>
      <w:r>
        <w:rPr>
          <w:rFonts w:hint="eastAsia"/>
        </w:rPr>
        <w:t>%），超过90%砼单价加1.5元/平方米；超过95%砼单价加</w:t>
      </w:r>
      <w:r>
        <w:t>3</w:t>
      </w:r>
      <w:r>
        <w:rPr>
          <w:rFonts w:hint="eastAsia"/>
        </w:rPr>
        <w:t>元/平方米；75%-80%砼单价减1元/平方米（不含</w:t>
      </w:r>
      <w:r>
        <w:t>80</w:t>
      </w:r>
      <w:r>
        <w:rPr>
          <w:rFonts w:hint="eastAsia"/>
        </w:rPr>
        <w:t>%），</w:t>
      </w:r>
      <w:r>
        <w:t>70</w:t>
      </w:r>
      <w:r>
        <w:rPr>
          <w:rFonts w:hint="eastAsia"/>
        </w:rPr>
        <w:t>%-7</w:t>
      </w:r>
      <w:r>
        <w:t>5</w:t>
      </w:r>
      <w:r>
        <w:rPr>
          <w:rFonts w:hint="eastAsia"/>
        </w:rPr>
        <w:t>%砼单价减1.5元/平方米（不含</w:t>
      </w:r>
      <w:r>
        <w:t>75</w:t>
      </w:r>
      <w:r>
        <w:rPr>
          <w:rFonts w:hint="eastAsia"/>
        </w:rPr>
        <w:t>%），</w:t>
      </w:r>
      <w:r>
        <w:t>70</w:t>
      </w:r>
      <w:r>
        <w:rPr>
          <w:rFonts w:hint="eastAsia"/>
        </w:rPr>
        <w:t>%以下砼单价减2元/平方米；</w:t>
      </w:r>
    </w:p>
    <w:p w14:paraId="14CD38CE">
      <w:pPr>
        <w:ind w:firstLine="480" w:firstLineChars="200"/>
      </w:pPr>
      <w:r>
        <w:rPr>
          <w:rFonts w:hint="eastAsia"/>
        </w:rPr>
        <w:t>钢筋扫描：钢筋保护层扫描结果73%-75%为钢筋投标价格；实测结果在70%-73%（不含7</w:t>
      </w:r>
      <w:r>
        <w:t>3</w:t>
      </w:r>
      <w:r>
        <w:rPr>
          <w:rFonts w:hint="eastAsia"/>
        </w:rPr>
        <w:t>%）的钢筋价格按投标价格减2元/平方米；实测结果在75%-79%（含7</w:t>
      </w:r>
      <w:r>
        <w:t>5</w:t>
      </w:r>
      <w:r>
        <w:rPr>
          <w:rFonts w:hint="eastAsia"/>
        </w:rPr>
        <w:t>%）的钢筋价格按投标价格加2元/平方米。实测结果在70%以下钢筋价格按投标价格减3元/平方米，实测结果在79%以上的钢筋价格按投标价格加3元/平方米。钢筋间距暂不做考核。</w:t>
      </w:r>
    </w:p>
    <w:p w14:paraId="734C4728">
      <w:pPr>
        <w:ind w:firstLine="480" w:firstLineChars="200"/>
      </w:pPr>
      <w:r>
        <w:rPr>
          <w:rFonts w:hint="eastAsia"/>
        </w:rPr>
        <w:t>楼板未进行二次拉毛及平整度不达标的，单价给予1元/平方米的扣除。分包队伍未二次拉毛或平整度不达标的，项目部在结算中未予考核，分公司将对项目部进行考核。</w:t>
      </w:r>
    </w:p>
    <w:p w14:paraId="4AE5F186">
      <w:pPr>
        <w:ind w:firstLine="480" w:firstLineChars="200"/>
      </w:pPr>
      <w:r>
        <w:rPr>
          <w:rFonts w:hint="eastAsia"/>
        </w:rPr>
        <w:t>每层钢筋保护层和楼板厚度的检查数量规定如下：</w:t>
      </w:r>
    </w:p>
    <w:p w14:paraId="3DD3289F">
      <w:pPr>
        <w:ind w:firstLine="480" w:firstLineChars="200"/>
      </w:pPr>
      <w:r>
        <w:rPr>
          <w:rFonts w:hint="eastAsia"/>
        </w:rPr>
        <w:t>主梁     20支，主筋全检（梁底）</w:t>
      </w:r>
    </w:p>
    <w:p w14:paraId="5B7FFAF5">
      <w:pPr>
        <w:ind w:firstLine="480" w:firstLineChars="200"/>
      </w:pPr>
      <w:r>
        <w:rPr>
          <w:rFonts w:hint="eastAsia"/>
        </w:rPr>
        <w:t>悬挑梁   10支，主筋</w:t>
      </w:r>
    </w:p>
    <w:p w14:paraId="3D94ACE5">
      <w:pPr>
        <w:ind w:firstLine="480" w:firstLineChars="200"/>
      </w:pPr>
      <w:r>
        <w:rPr>
          <w:rFonts w:hint="eastAsia"/>
        </w:rPr>
        <w:t>柱       10个，主筋全检</w:t>
      </w:r>
    </w:p>
    <w:p w14:paraId="67433BCF">
      <w:pPr>
        <w:ind w:firstLine="480" w:firstLineChars="200"/>
      </w:pPr>
      <w:r>
        <w:rPr>
          <w:rFonts w:hint="eastAsia"/>
        </w:rPr>
        <w:t>墙       5个，每个检6根（水平筋）（无墙，柱子检4支）</w:t>
      </w:r>
    </w:p>
    <w:p w14:paraId="1423DA0D">
      <w:pPr>
        <w:ind w:firstLine="480" w:firstLineChars="200"/>
      </w:pPr>
      <w:r>
        <w:rPr>
          <w:rFonts w:hint="eastAsia"/>
        </w:rPr>
        <w:t>板顶     10个，负弯矩筋每间检4点(有悬挑板检2点)</w:t>
      </w:r>
    </w:p>
    <w:p w14:paraId="1C486AB5">
      <w:pPr>
        <w:ind w:firstLine="480" w:firstLineChars="200"/>
      </w:pPr>
      <w:r>
        <w:rPr>
          <w:rFonts w:hint="eastAsia"/>
        </w:rPr>
        <w:t>板底     板10间，每间板底筋检6点</w:t>
      </w:r>
    </w:p>
    <w:p w14:paraId="0C68DC2B">
      <w:pPr>
        <w:ind w:firstLine="480" w:firstLineChars="200"/>
      </w:pPr>
      <w:r>
        <w:rPr>
          <w:rFonts w:hint="eastAsia"/>
        </w:rPr>
        <w:t>楼梯     2个，主筋全检</w:t>
      </w:r>
    </w:p>
    <w:p w14:paraId="0BEC2EDA">
      <w:pPr>
        <w:ind w:firstLine="480" w:firstLineChars="200"/>
      </w:pPr>
      <w:r>
        <w:rPr>
          <w:rFonts w:hint="eastAsia"/>
        </w:rPr>
        <w:t>楼板厚度检查：</w:t>
      </w:r>
    </w:p>
    <w:p w14:paraId="470736CF">
      <w:pPr>
        <w:ind w:firstLine="480" w:firstLineChars="200"/>
      </w:pPr>
      <w:r>
        <w:rPr>
          <w:rFonts w:hint="eastAsia"/>
        </w:rPr>
        <w:t>准备好图纸，现场后随机挑选楼层二层，每层不同厚度的楼板至少抽查一间，且总数不少于10间；每间分别是四个角和中间部位5点。</w:t>
      </w:r>
    </w:p>
    <w:p w14:paraId="1DDBB01D">
      <w:pPr>
        <w:ind w:firstLine="480" w:firstLineChars="200"/>
      </w:pPr>
      <w:r>
        <w:rPr>
          <w:rFonts w:hint="eastAsia"/>
        </w:rPr>
        <w:t>（8）主体框架施工工艺及工序必须执行威建集团制定的标准化和一公司制定的标准化，若日常管理中不执行，项目部有权要求劳务企业更换班组，甚至更换劳务企业，项目部有权根据劳务企业在日常施工中标准化执行不到位的情况，予以在总价中扣除2-5元/平方米。</w:t>
      </w:r>
    </w:p>
    <w:p w14:paraId="1F3D5DF2">
      <w:pPr>
        <w:ind w:firstLine="480" w:firstLineChars="200"/>
      </w:pPr>
      <w:r>
        <w:rPr>
          <w:rFonts w:hint="eastAsia"/>
        </w:rPr>
        <w:t>（9）板厚严格按图纸设计及规范要求（允许偏差为+8，-5mm），超厚部分由劳务单位承担砼材料费用并从结算中予以扣除。标准层施工前劳务负责人需与项目工程师核对单层混凝土理论含量，实际施工中混凝土消耗超过理论值2%，超出砼材料费用由劳务公司承担并从结算中予以扣除。施工中遗撒、鼓胀模混凝土要及时发现清理，单点超过0</w:t>
      </w:r>
      <w:r>
        <w:t>.1</w:t>
      </w:r>
      <w:r>
        <w:rPr>
          <w:rFonts w:hint="eastAsia"/>
        </w:rPr>
        <w:t>方必须收集使用，不得浪费，混凝土浇筑完成项目部发现成堆遗撒混凝土未进行利用视方量大小处以5</w:t>
      </w:r>
      <w:r>
        <w:t>00</w:t>
      </w:r>
      <w:r>
        <w:rPr>
          <w:rFonts w:hint="eastAsia"/>
        </w:rPr>
        <w:t>-</w:t>
      </w:r>
      <w:r>
        <w:t>5000</w:t>
      </w:r>
      <w:r>
        <w:rPr>
          <w:rFonts w:hint="eastAsia"/>
        </w:rPr>
        <w:t>元处罚。</w:t>
      </w:r>
    </w:p>
    <w:p w14:paraId="760C88E3">
      <w:pPr>
        <w:ind w:firstLine="480" w:firstLineChars="200"/>
      </w:pPr>
      <w:r>
        <w:rPr>
          <w:rFonts w:hint="eastAsia"/>
        </w:rPr>
        <w:t>（10）劳务企业安排进场班组必须提前7天上报项目部，经项目部考察合格之后才能进驻现场施工。劳务管理人员每天上午7:00及下午1:30必须到项目部签到，有事提前请假，每缺一次罚款200</w:t>
      </w:r>
      <w:r>
        <w:t>0</w:t>
      </w:r>
      <w:r>
        <w:rPr>
          <w:rFonts w:hint="eastAsia"/>
        </w:rPr>
        <w:t>元，项目部周例会劳务负责人必须按时参加，迟到罚款500元/次，无故缺席罚款1000元/次。</w:t>
      </w:r>
    </w:p>
    <w:p w14:paraId="601F8036">
      <w:pPr>
        <w:ind w:firstLine="480" w:firstLineChars="200"/>
      </w:pPr>
      <w:r>
        <w:rPr>
          <w:rFonts w:hint="eastAsia"/>
        </w:rPr>
        <w:t>以上十条在投标人中标后在合同中予以签订。</w:t>
      </w:r>
    </w:p>
    <w:p w14:paraId="30C1663A">
      <w:pPr>
        <w:ind w:firstLine="480" w:firstLineChars="200"/>
      </w:pPr>
      <w:r>
        <w:rPr>
          <w:rFonts w:hint="eastAsia"/>
        </w:rPr>
        <w:t>分包方提供成建制的队伍（主要管理人员见附件，若分包方不经总包方允许擅自更换附件中的管理人员或配备管理人员与附件中人员数量不一致时，分包方将承担违约金5000元/每人次，并补充满足相应管理人员），即由管理人员、普通工种及特殊工种人员组成，分包方根据工程需要及总包方要求配置足够的现场负责人、技术员、质量员、安全员、调度员、材料员、测量放线工、工长及工程所需的辅助特种工种如电工、电焊工等，保证现场施工正常运行。塔吊、电梯司机由总包方安排，均应持证上岗。分包方自身需要的保安人员应正常配置。</w:t>
      </w:r>
    </w:p>
    <w:p w14:paraId="5A43CE2E">
      <w:pPr>
        <w:ind w:firstLine="480" w:firstLineChars="200"/>
      </w:pPr>
      <w:r>
        <w:rPr>
          <w:rFonts w:hint="eastAsia"/>
        </w:rPr>
        <w:t>不详细如实填写本表的投标报价废标。</w:t>
      </w:r>
    </w:p>
    <w:p w14:paraId="0C2401D3">
      <w:r>
        <w:rPr>
          <w:rFonts w:hint="eastAsia"/>
        </w:rPr>
        <w:t>附件一</w:t>
      </w:r>
    </w:p>
    <w:tbl>
      <w:tblPr>
        <w:tblStyle w:val="12"/>
        <w:tblW w:w="9648" w:type="dxa"/>
        <w:tblInd w:w="0" w:type="dxa"/>
        <w:tblLayout w:type="fixed"/>
        <w:tblCellMar>
          <w:top w:w="0" w:type="dxa"/>
          <w:left w:w="10" w:type="dxa"/>
          <w:bottom w:w="0" w:type="dxa"/>
          <w:right w:w="10" w:type="dxa"/>
        </w:tblCellMar>
      </w:tblPr>
      <w:tblGrid>
        <w:gridCol w:w="1744"/>
        <w:gridCol w:w="1752"/>
        <w:gridCol w:w="1872"/>
        <w:gridCol w:w="2196"/>
        <w:gridCol w:w="2084"/>
      </w:tblGrid>
      <w:tr w14:paraId="2AE1634F">
        <w:tblPrEx>
          <w:tblCellMar>
            <w:top w:w="0" w:type="dxa"/>
            <w:left w:w="10" w:type="dxa"/>
            <w:bottom w:w="0" w:type="dxa"/>
            <w:right w:w="10" w:type="dxa"/>
          </w:tblCellMar>
        </w:tblPrEx>
        <w:trPr>
          <w:trHeight w:val="699" w:hRule="atLeast"/>
        </w:trPr>
        <w:tc>
          <w:tcPr>
            <w:tcW w:w="1744" w:type="dxa"/>
            <w:tcBorders>
              <w:top w:val="single" w:color="000000" w:sz="4" w:space="0"/>
              <w:left w:val="single" w:color="000000" w:sz="4" w:space="0"/>
              <w:bottom w:val="single" w:color="000000" w:sz="4" w:space="0"/>
              <w:right w:val="single" w:color="auto" w:sz="4" w:space="0"/>
            </w:tcBorders>
            <w:shd w:val="clear" w:color="auto" w:fill="auto"/>
            <w:tcMar>
              <w:top w:w="0" w:type="dxa"/>
              <w:left w:w="108" w:type="dxa"/>
              <w:bottom w:w="0" w:type="dxa"/>
              <w:right w:w="108" w:type="dxa"/>
            </w:tcMar>
            <w:vAlign w:val="center"/>
          </w:tcPr>
          <w:p w14:paraId="42EBB3DF"/>
        </w:tc>
        <w:tc>
          <w:tcPr>
            <w:tcW w:w="1752" w:type="dxa"/>
            <w:tcBorders>
              <w:top w:val="single" w:color="000000" w:sz="4" w:space="0"/>
              <w:left w:val="single" w:color="auto" w:sz="4" w:space="0"/>
              <w:bottom w:val="single" w:color="000000" w:sz="4" w:space="0"/>
              <w:right w:val="single" w:color="000000" w:sz="4" w:space="0"/>
            </w:tcBorders>
            <w:shd w:val="clear" w:color="auto" w:fill="auto"/>
            <w:tcMar>
              <w:top w:w="0" w:type="dxa"/>
              <w:left w:w="108" w:type="dxa"/>
              <w:bottom w:w="0" w:type="dxa"/>
              <w:right w:w="108" w:type="dxa"/>
            </w:tcMar>
            <w:vAlign w:val="center"/>
          </w:tcPr>
          <w:p w14:paraId="688D2233">
            <w:r>
              <w:rPr>
                <w:rFonts w:hint="eastAsia"/>
              </w:rPr>
              <w:t>楼栋号</w:t>
            </w:r>
          </w:p>
        </w:tc>
        <w:tc>
          <w:tcPr>
            <w:tcW w:w="1872"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14:paraId="3DEA51DB">
            <w:r>
              <w:rPr>
                <w:rFonts w:hint="eastAsia"/>
              </w:rPr>
              <w:t>姓名</w:t>
            </w:r>
          </w:p>
        </w:tc>
        <w:tc>
          <w:tcPr>
            <w:tcW w:w="2196"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14:paraId="6103548E">
            <w:r>
              <w:rPr>
                <w:rFonts w:hint="eastAsia"/>
              </w:rPr>
              <w:t>劳力人数</w:t>
            </w:r>
          </w:p>
        </w:tc>
        <w:tc>
          <w:tcPr>
            <w:tcW w:w="2084"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14:paraId="445E6DB1">
            <w:r>
              <w:rPr>
                <w:rFonts w:hint="eastAsia"/>
              </w:rPr>
              <w:t>备注</w:t>
            </w:r>
          </w:p>
        </w:tc>
      </w:tr>
      <w:tr w14:paraId="203C97C5">
        <w:tblPrEx>
          <w:tblCellMar>
            <w:top w:w="0" w:type="dxa"/>
            <w:left w:w="10" w:type="dxa"/>
            <w:bottom w:w="0" w:type="dxa"/>
            <w:right w:w="10" w:type="dxa"/>
          </w:tblCellMar>
        </w:tblPrEx>
        <w:trPr>
          <w:trHeight w:val="668" w:hRule="atLeast"/>
        </w:trPr>
        <w:tc>
          <w:tcPr>
            <w:tcW w:w="1744" w:type="dxa"/>
            <w:tcBorders>
              <w:top w:val="single" w:color="000000" w:sz="4" w:space="0"/>
              <w:left w:val="single" w:color="000000" w:sz="4" w:space="0"/>
              <w:bottom w:val="single" w:color="000000" w:sz="4" w:space="0"/>
              <w:right w:val="single" w:color="auto" w:sz="4" w:space="0"/>
            </w:tcBorders>
            <w:shd w:val="clear" w:color="auto" w:fill="auto"/>
            <w:tcMar>
              <w:top w:w="0" w:type="dxa"/>
              <w:left w:w="108" w:type="dxa"/>
              <w:bottom w:w="0" w:type="dxa"/>
              <w:right w:w="108" w:type="dxa"/>
            </w:tcMar>
            <w:vAlign w:val="center"/>
          </w:tcPr>
          <w:p w14:paraId="7EC2E8E1">
            <w:pPr>
              <w:rPr>
                <w:sz w:val="28"/>
                <w:szCs w:val="28"/>
              </w:rPr>
            </w:pPr>
            <w:r>
              <w:t>项目负责人</w:t>
            </w:r>
          </w:p>
        </w:tc>
        <w:tc>
          <w:tcPr>
            <w:tcW w:w="1752" w:type="dxa"/>
            <w:tcBorders>
              <w:top w:val="single" w:color="000000" w:sz="4" w:space="0"/>
              <w:left w:val="single" w:color="auto" w:sz="4" w:space="0"/>
              <w:bottom w:val="single" w:color="000000" w:sz="4" w:space="0"/>
              <w:right w:val="single" w:color="000000" w:sz="4" w:space="0"/>
            </w:tcBorders>
            <w:shd w:val="clear" w:color="auto" w:fill="auto"/>
            <w:tcMar>
              <w:top w:w="0" w:type="dxa"/>
              <w:left w:w="108" w:type="dxa"/>
              <w:bottom w:w="0" w:type="dxa"/>
              <w:right w:w="108" w:type="dxa"/>
            </w:tcMar>
            <w:vAlign w:val="center"/>
          </w:tcPr>
          <w:p w14:paraId="501C425E"/>
        </w:tc>
        <w:tc>
          <w:tcPr>
            <w:tcW w:w="1872"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14:paraId="7D064548"/>
        </w:tc>
        <w:tc>
          <w:tcPr>
            <w:tcW w:w="2196"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14:paraId="3BE2C437"/>
        </w:tc>
        <w:tc>
          <w:tcPr>
            <w:tcW w:w="2084"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14:paraId="256D04C6"/>
        </w:tc>
      </w:tr>
      <w:tr w14:paraId="66D694AC">
        <w:tblPrEx>
          <w:tblCellMar>
            <w:top w:w="0" w:type="dxa"/>
            <w:left w:w="10" w:type="dxa"/>
            <w:bottom w:w="0" w:type="dxa"/>
            <w:right w:w="10" w:type="dxa"/>
          </w:tblCellMar>
        </w:tblPrEx>
        <w:trPr>
          <w:trHeight w:val="668" w:hRule="atLeast"/>
        </w:trPr>
        <w:tc>
          <w:tcPr>
            <w:tcW w:w="1744" w:type="dxa"/>
            <w:tcBorders>
              <w:top w:val="single" w:color="000000" w:sz="4" w:space="0"/>
              <w:left w:val="single" w:color="000000" w:sz="4" w:space="0"/>
              <w:bottom w:val="single" w:color="000000" w:sz="4" w:space="0"/>
              <w:right w:val="single" w:color="auto" w:sz="4" w:space="0"/>
            </w:tcBorders>
            <w:shd w:val="clear" w:color="auto" w:fill="auto"/>
            <w:tcMar>
              <w:top w:w="0" w:type="dxa"/>
              <w:left w:w="108" w:type="dxa"/>
              <w:bottom w:w="0" w:type="dxa"/>
              <w:right w:w="108" w:type="dxa"/>
            </w:tcMar>
            <w:vAlign w:val="center"/>
          </w:tcPr>
          <w:p w14:paraId="557EDD67">
            <w:pPr>
              <w:rPr>
                <w:sz w:val="28"/>
                <w:szCs w:val="28"/>
              </w:rPr>
            </w:pPr>
            <w:r>
              <w:rPr>
                <w:rFonts w:hint="eastAsia"/>
              </w:rPr>
              <w:t>质检员</w:t>
            </w:r>
          </w:p>
        </w:tc>
        <w:tc>
          <w:tcPr>
            <w:tcW w:w="1752" w:type="dxa"/>
            <w:tcBorders>
              <w:top w:val="single" w:color="000000" w:sz="4" w:space="0"/>
              <w:left w:val="single" w:color="auto" w:sz="4" w:space="0"/>
              <w:bottom w:val="single" w:color="000000" w:sz="4" w:space="0"/>
              <w:right w:val="single" w:color="000000" w:sz="4" w:space="0"/>
            </w:tcBorders>
            <w:shd w:val="clear" w:color="auto" w:fill="auto"/>
            <w:tcMar>
              <w:top w:w="0" w:type="dxa"/>
              <w:left w:w="108" w:type="dxa"/>
              <w:bottom w:w="0" w:type="dxa"/>
              <w:right w:w="108" w:type="dxa"/>
            </w:tcMar>
            <w:vAlign w:val="center"/>
          </w:tcPr>
          <w:p w14:paraId="1411D165"/>
        </w:tc>
        <w:tc>
          <w:tcPr>
            <w:tcW w:w="1872"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14:paraId="55802D44"/>
        </w:tc>
        <w:tc>
          <w:tcPr>
            <w:tcW w:w="2196"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14:paraId="6C4250B3"/>
        </w:tc>
        <w:tc>
          <w:tcPr>
            <w:tcW w:w="2084"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14:paraId="464961CD"/>
        </w:tc>
      </w:tr>
      <w:tr w14:paraId="0E8EE746">
        <w:tblPrEx>
          <w:tblCellMar>
            <w:top w:w="0" w:type="dxa"/>
            <w:left w:w="10" w:type="dxa"/>
            <w:bottom w:w="0" w:type="dxa"/>
            <w:right w:w="10" w:type="dxa"/>
          </w:tblCellMar>
        </w:tblPrEx>
        <w:trPr>
          <w:trHeight w:val="668" w:hRule="atLeast"/>
        </w:trPr>
        <w:tc>
          <w:tcPr>
            <w:tcW w:w="1744" w:type="dxa"/>
            <w:tcBorders>
              <w:top w:val="single" w:color="000000" w:sz="4" w:space="0"/>
              <w:left w:val="single" w:color="000000" w:sz="4" w:space="0"/>
              <w:bottom w:val="single" w:color="000000" w:sz="4" w:space="0"/>
              <w:right w:val="single" w:color="auto" w:sz="4" w:space="0"/>
            </w:tcBorders>
            <w:shd w:val="clear" w:color="auto" w:fill="auto"/>
            <w:tcMar>
              <w:top w:w="0" w:type="dxa"/>
              <w:left w:w="108" w:type="dxa"/>
              <w:bottom w:w="0" w:type="dxa"/>
              <w:right w:w="108" w:type="dxa"/>
            </w:tcMar>
            <w:vAlign w:val="center"/>
          </w:tcPr>
          <w:p w14:paraId="7B969746">
            <w:pPr>
              <w:rPr>
                <w:sz w:val="28"/>
                <w:szCs w:val="28"/>
              </w:rPr>
            </w:pPr>
            <w:r>
              <w:rPr>
                <w:rFonts w:hint="eastAsia"/>
              </w:rPr>
              <w:t>技术员</w:t>
            </w:r>
          </w:p>
        </w:tc>
        <w:tc>
          <w:tcPr>
            <w:tcW w:w="1752" w:type="dxa"/>
            <w:tcBorders>
              <w:top w:val="single" w:color="000000" w:sz="4" w:space="0"/>
              <w:left w:val="single" w:color="auto" w:sz="4" w:space="0"/>
              <w:bottom w:val="single" w:color="000000" w:sz="4" w:space="0"/>
              <w:right w:val="single" w:color="000000" w:sz="4" w:space="0"/>
            </w:tcBorders>
            <w:shd w:val="clear" w:color="auto" w:fill="auto"/>
            <w:tcMar>
              <w:top w:w="0" w:type="dxa"/>
              <w:left w:w="108" w:type="dxa"/>
              <w:bottom w:w="0" w:type="dxa"/>
              <w:right w:w="108" w:type="dxa"/>
            </w:tcMar>
            <w:vAlign w:val="center"/>
          </w:tcPr>
          <w:p w14:paraId="689BFD92"/>
        </w:tc>
        <w:tc>
          <w:tcPr>
            <w:tcW w:w="1872"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14:paraId="72B0C04E"/>
        </w:tc>
        <w:tc>
          <w:tcPr>
            <w:tcW w:w="2196"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14:paraId="2018CBD2"/>
        </w:tc>
        <w:tc>
          <w:tcPr>
            <w:tcW w:w="2084"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14:paraId="18D0D665"/>
        </w:tc>
      </w:tr>
      <w:tr w14:paraId="669427A6">
        <w:tblPrEx>
          <w:tblCellMar>
            <w:top w:w="0" w:type="dxa"/>
            <w:left w:w="10" w:type="dxa"/>
            <w:bottom w:w="0" w:type="dxa"/>
            <w:right w:w="10" w:type="dxa"/>
          </w:tblCellMar>
        </w:tblPrEx>
        <w:trPr>
          <w:trHeight w:val="668" w:hRule="atLeast"/>
        </w:trPr>
        <w:tc>
          <w:tcPr>
            <w:tcW w:w="1744" w:type="dxa"/>
            <w:tcBorders>
              <w:top w:val="single" w:color="000000" w:sz="4" w:space="0"/>
              <w:left w:val="single" w:color="000000" w:sz="4" w:space="0"/>
              <w:bottom w:val="single" w:color="000000" w:sz="4" w:space="0"/>
              <w:right w:val="single" w:color="auto" w:sz="4" w:space="0"/>
            </w:tcBorders>
            <w:shd w:val="clear" w:color="auto" w:fill="auto"/>
            <w:tcMar>
              <w:top w:w="0" w:type="dxa"/>
              <w:left w:w="108" w:type="dxa"/>
              <w:bottom w:w="0" w:type="dxa"/>
              <w:right w:w="108" w:type="dxa"/>
            </w:tcMar>
            <w:vAlign w:val="center"/>
          </w:tcPr>
          <w:p w14:paraId="3A630A2B">
            <w:pPr>
              <w:rPr>
                <w:sz w:val="28"/>
                <w:szCs w:val="28"/>
              </w:rPr>
            </w:pPr>
            <w:r>
              <w:rPr>
                <w:rFonts w:hint="eastAsia"/>
              </w:rPr>
              <w:t>技术员</w:t>
            </w:r>
          </w:p>
        </w:tc>
        <w:tc>
          <w:tcPr>
            <w:tcW w:w="1752" w:type="dxa"/>
            <w:tcBorders>
              <w:top w:val="single" w:color="000000" w:sz="4" w:space="0"/>
              <w:left w:val="single" w:color="auto" w:sz="4" w:space="0"/>
              <w:bottom w:val="single" w:color="000000" w:sz="4" w:space="0"/>
              <w:right w:val="single" w:color="000000" w:sz="4" w:space="0"/>
            </w:tcBorders>
            <w:shd w:val="clear" w:color="auto" w:fill="auto"/>
            <w:tcMar>
              <w:top w:w="0" w:type="dxa"/>
              <w:left w:w="108" w:type="dxa"/>
              <w:bottom w:w="0" w:type="dxa"/>
              <w:right w:w="108" w:type="dxa"/>
            </w:tcMar>
            <w:vAlign w:val="center"/>
          </w:tcPr>
          <w:p w14:paraId="58B4D425"/>
        </w:tc>
        <w:tc>
          <w:tcPr>
            <w:tcW w:w="1872"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14:paraId="53C2B641"/>
        </w:tc>
        <w:tc>
          <w:tcPr>
            <w:tcW w:w="2196"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14:paraId="0D7BF652"/>
        </w:tc>
        <w:tc>
          <w:tcPr>
            <w:tcW w:w="2084"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14:paraId="56D3B2F4"/>
        </w:tc>
      </w:tr>
      <w:tr w14:paraId="75E5DABE">
        <w:tblPrEx>
          <w:tblCellMar>
            <w:top w:w="0" w:type="dxa"/>
            <w:left w:w="10" w:type="dxa"/>
            <w:bottom w:w="0" w:type="dxa"/>
            <w:right w:w="10" w:type="dxa"/>
          </w:tblCellMar>
        </w:tblPrEx>
        <w:trPr>
          <w:trHeight w:val="668" w:hRule="atLeast"/>
        </w:trPr>
        <w:tc>
          <w:tcPr>
            <w:tcW w:w="1744" w:type="dxa"/>
            <w:tcBorders>
              <w:top w:val="single" w:color="000000" w:sz="4" w:space="0"/>
              <w:left w:val="single" w:color="000000" w:sz="4" w:space="0"/>
              <w:bottom w:val="single" w:color="000000" w:sz="4" w:space="0"/>
              <w:right w:val="single" w:color="auto" w:sz="4" w:space="0"/>
            </w:tcBorders>
            <w:shd w:val="clear" w:color="auto" w:fill="auto"/>
            <w:tcMar>
              <w:top w:w="0" w:type="dxa"/>
              <w:left w:w="108" w:type="dxa"/>
              <w:bottom w:w="0" w:type="dxa"/>
              <w:right w:w="108" w:type="dxa"/>
            </w:tcMar>
            <w:vAlign w:val="center"/>
          </w:tcPr>
          <w:p w14:paraId="2AEA3B33">
            <w:pPr>
              <w:rPr>
                <w:sz w:val="28"/>
                <w:szCs w:val="28"/>
              </w:rPr>
            </w:pPr>
            <w:r>
              <w:t>保管员</w:t>
            </w:r>
          </w:p>
        </w:tc>
        <w:tc>
          <w:tcPr>
            <w:tcW w:w="1752" w:type="dxa"/>
            <w:tcBorders>
              <w:top w:val="single" w:color="000000" w:sz="4" w:space="0"/>
              <w:left w:val="single" w:color="auto" w:sz="4" w:space="0"/>
              <w:bottom w:val="single" w:color="000000" w:sz="4" w:space="0"/>
              <w:right w:val="single" w:color="000000" w:sz="4" w:space="0"/>
            </w:tcBorders>
            <w:shd w:val="clear" w:color="auto" w:fill="auto"/>
            <w:tcMar>
              <w:top w:w="0" w:type="dxa"/>
              <w:left w:w="108" w:type="dxa"/>
              <w:bottom w:w="0" w:type="dxa"/>
              <w:right w:w="108" w:type="dxa"/>
            </w:tcMar>
            <w:vAlign w:val="center"/>
          </w:tcPr>
          <w:p w14:paraId="26ECB38D"/>
        </w:tc>
        <w:tc>
          <w:tcPr>
            <w:tcW w:w="1872"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14:paraId="2E5A2DEA"/>
        </w:tc>
        <w:tc>
          <w:tcPr>
            <w:tcW w:w="2196"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14:paraId="30A9DFF3"/>
        </w:tc>
        <w:tc>
          <w:tcPr>
            <w:tcW w:w="2084"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14:paraId="5BB70EA2"/>
        </w:tc>
      </w:tr>
      <w:tr w14:paraId="3E2BB71E">
        <w:tblPrEx>
          <w:tblCellMar>
            <w:top w:w="0" w:type="dxa"/>
            <w:left w:w="10" w:type="dxa"/>
            <w:bottom w:w="0" w:type="dxa"/>
            <w:right w:w="10" w:type="dxa"/>
          </w:tblCellMar>
        </w:tblPrEx>
        <w:trPr>
          <w:trHeight w:val="668" w:hRule="atLeast"/>
        </w:trPr>
        <w:tc>
          <w:tcPr>
            <w:tcW w:w="1744" w:type="dxa"/>
            <w:tcBorders>
              <w:top w:val="single" w:color="000000" w:sz="4" w:space="0"/>
              <w:left w:val="single" w:color="000000" w:sz="4" w:space="0"/>
              <w:bottom w:val="single" w:color="000000" w:sz="4" w:space="0"/>
              <w:right w:val="single" w:color="auto" w:sz="4" w:space="0"/>
            </w:tcBorders>
            <w:shd w:val="clear" w:color="auto" w:fill="auto"/>
            <w:tcMar>
              <w:top w:w="0" w:type="dxa"/>
              <w:left w:w="108" w:type="dxa"/>
              <w:bottom w:w="0" w:type="dxa"/>
              <w:right w:w="108" w:type="dxa"/>
            </w:tcMar>
            <w:vAlign w:val="center"/>
          </w:tcPr>
          <w:p w14:paraId="5786BA2C"/>
        </w:tc>
        <w:tc>
          <w:tcPr>
            <w:tcW w:w="1752" w:type="dxa"/>
            <w:tcBorders>
              <w:top w:val="single" w:color="000000" w:sz="4" w:space="0"/>
              <w:left w:val="single" w:color="auto" w:sz="4" w:space="0"/>
              <w:bottom w:val="single" w:color="000000" w:sz="4" w:space="0"/>
              <w:right w:val="single" w:color="000000" w:sz="4" w:space="0"/>
            </w:tcBorders>
            <w:shd w:val="clear" w:color="auto" w:fill="auto"/>
            <w:tcMar>
              <w:top w:w="0" w:type="dxa"/>
              <w:left w:w="108" w:type="dxa"/>
              <w:bottom w:w="0" w:type="dxa"/>
              <w:right w:w="108" w:type="dxa"/>
            </w:tcMar>
            <w:vAlign w:val="center"/>
          </w:tcPr>
          <w:p w14:paraId="1E0A7076"/>
        </w:tc>
        <w:tc>
          <w:tcPr>
            <w:tcW w:w="1872"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14:paraId="2A558787"/>
        </w:tc>
        <w:tc>
          <w:tcPr>
            <w:tcW w:w="2196"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14:paraId="07878E04"/>
        </w:tc>
        <w:tc>
          <w:tcPr>
            <w:tcW w:w="2084"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14:paraId="30074E3B"/>
        </w:tc>
      </w:tr>
      <w:tr w14:paraId="1D773EE1">
        <w:tblPrEx>
          <w:tblCellMar>
            <w:top w:w="0" w:type="dxa"/>
            <w:left w:w="10" w:type="dxa"/>
            <w:bottom w:w="0" w:type="dxa"/>
            <w:right w:w="10" w:type="dxa"/>
          </w:tblCellMar>
        </w:tblPrEx>
        <w:trPr>
          <w:trHeight w:val="668" w:hRule="atLeast"/>
        </w:trPr>
        <w:tc>
          <w:tcPr>
            <w:tcW w:w="1744" w:type="dxa"/>
            <w:tcBorders>
              <w:top w:val="single" w:color="000000" w:sz="4" w:space="0"/>
              <w:left w:val="single" w:color="000000" w:sz="4" w:space="0"/>
              <w:bottom w:val="single" w:color="000000" w:sz="4" w:space="0"/>
              <w:right w:val="single" w:color="auto" w:sz="4" w:space="0"/>
            </w:tcBorders>
            <w:shd w:val="clear" w:color="auto" w:fill="auto"/>
            <w:tcMar>
              <w:top w:w="0" w:type="dxa"/>
              <w:left w:w="108" w:type="dxa"/>
              <w:bottom w:w="0" w:type="dxa"/>
              <w:right w:w="108" w:type="dxa"/>
            </w:tcMar>
            <w:vAlign w:val="center"/>
          </w:tcPr>
          <w:p w14:paraId="4E50F1E5"/>
        </w:tc>
        <w:tc>
          <w:tcPr>
            <w:tcW w:w="1752" w:type="dxa"/>
            <w:tcBorders>
              <w:top w:val="single" w:color="000000" w:sz="4" w:space="0"/>
              <w:left w:val="single" w:color="auto" w:sz="4" w:space="0"/>
              <w:bottom w:val="single" w:color="000000" w:sz="4" w:space="0"/>
              <w:right w:val="single" w:color="000000" w:sz="4" w:space="0"/>
            </w:tcBorders>
            <w:shd w:val="clear" w:color="auto" w:fill="auto"/>
            <w:tcMar>
              <w:top w:w="0" w:type="dxa"/>
              <w:left w:w="108" w:type="dxa"/>
              <w:bottom w:w="0" w:type="dxa"/>
              <w:right w:w="108" w:type="dxa"/>
            </w:tcMar>
            <w:vAlign w:val="center"/>
          </w:tcPr>
          <w:p w14:paraId="5F0E471C"/>
        </w:tc>
        <w:tc>
          <w:tcPr>
            <w:tcW w:w="1872"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14:paraId="64593FB5"/>
        </w:tc>
        <w:tc>
          <w:tcPr>
            <w:tcW w:w="2196"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14:paraId="5BB0A4B0"/>
        </w:tc>
        <w:tc>
          <w:tcPr>
            <w:tcW w:w="2084"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14:paraId="675FD8B4"/>
        </w:tc>
      </w:tr>
      <w:tr w14:paraId="36CFA0B7">
        <w:tblPrEx>
          <w:tblCellMar>
            <w:top w:w="0" w:type="dxa"/>
            <w:left w:w="10" w:type="dxa"/>
            <w:bottom w:w="0" w:type="dxa"/>
            <w:right w:w="10" w:type="dxa"/>
          </w:tblCellMar>
        </w:tblPrEx>
        <w:trPr>
          <w:trHeight w:val="666" w:hRule="atLeast"/>
        </w:trPr>
        <w:tc>
          <w:tcPr>
            <w:tcW w:w="1744" w:type="dxa"/>
            <w:tcBorders>
              <w:top w:val="single" w:color="000000" w:sz="4" w:space="0"/>
              <w:left w:val="single" w:color="000000" w:sz="4" w:space="0"/>
              <w:bottom w:val="single" w:color="000000" w:sz="4" w:space="0"/>
              <w:right w:val="single" w:color="auto" w:sz="4" w:space="0"/>
            </w:tcBorders>
            <w:shd w:val="clear" w:color="auto" w:fill="auto"/>
            <w:tcMar>
              <w:top w:w="0" w:type="dxa"/>
              <w:left w:w="108" w:type="dxa"/>
              <w:bottom w:w="0" w:type="dxa"/>
              <w:right w:w="108" w:type="dxa"/>
            </w:tcMar>
            <w:vAlign w:val="center"/>
          </w:tcPr>
          <w:p w14:paraId="6040F602"/>
        </w:tc>
        <w:tc>
          <w:tcPr>
            <w:tcW w:w="1752" w:type="dxa"/>
            <w:tcBorders>
              <w:top w:val="single" w:color="000000" w:sz="4" w:space="0"/>
              <w:left w:val="single" w:color="auto" w:sz="4" w:space="0"/>
              <w:bottom w:val="single" w:color="000000" w:sz="4" w:space="0"/>
              <w:right w:val="single" w:color="000000" w:sz="4" w:space="0"/>
            </w:tcBorders>
            <w:shd w:val="clear" w:color="auto" w:fill="auto"/>
            <w:tcMar>
              <w:top w:w="0" w:type="dxa"/>
              <w:left w:w="108" w:type="dxa"/>
              <w:bottom w:w="0" w:type="dxa"/>
              <w:right w:w="108" w:type="dxa"/>
            </w:tcMar>
            <w:vAlign w:val="center"/>
          </w:tcPr>
          <w:p w14:paraId="65EFBDAA"/>
        </w:tc>
        <w:tc>
          <w:tcPr>
            <w:tcW w:w="1872"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14:paraId="4994BA6B"/>
        </w:tc>
        <w:tc>
          <w:tcPr>
            <w:tcW w:w="2196"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14:paraId="627AE51B"/>
        </w:tc>
        <w:tc>
          <w:tcPr>
            <w:tcW w:w="2084"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14:paraId="409D91E9"/>
        </w:tc>
      </w:tr>
      <w:tr w14:paraId="7E9709BD">
        <w:tblPrEx>
          <w:tblCellMar>
            <w:top w:w="0" w:type="dxa"/>
            <w:left w:w="10" w:type="dxa"/>
            <w:bottom w:w="0" w:type="dxa"/>
            <w:right w:w="10" w:type="dxa"/>
          </w:tblCellMar>
        </w:tblPrEx>
        <w:trPr>
          <w:trHeight w:val="674" w:hRule="atLeast"/>
        </w:trPr>
        <w:tc>
          <w:tcPr>
            <w:tcW w:w="1744" w:type="dxa"/>
            <w:tcBorders>
              <w:top w:val="single" w:color="000000" w:sz="4" w:space="0"/>
              <w:left w:val="single" w:color="000000" w:sz="4" w:space="0"/>
              <w:bottom w:val="single" w:color="000000" w:sz="4" w:space="0"/>
              <w:right w:val="single" w:color="auto" w:sz="4" w:space="0"/>
            </w:tcBorders>
            <w:shd w:val="clear" w:color="auto" w:fill="auto"/>
            <w:tcMar>
              <w:top w:w="0" w:type="dxa"/>
              <w:left w:w="108" w:type="dxa"/>
              <w:bottom w:w="0" w:type="dxa"/>
              <w:right w:w="108" w:type="dxa"/>
            </w:tcMar>
            <w:vAlign w:val="center"/>
          </w:tcPr>
          <w:p w14:paraId="736BD6E4"/>
        </w:tc>
        <w:tc>
          <w:tcPr>
            <w:tcW w:w="1752" w:type="dxa"/>
            <w:tcBorders>
              <w:top w:val="single" w:color="000000" w:sz="4" w:space="0"/>
              <w:left w:val="single" w:color="auto" w:sz="4" w:space="0"/>
              <w:bottom w:val="single" w:color="000000" w:sz="4" w:space="0"/>
              <w:right w:val="single" w:color="000000" w:sz="4" w:space="0"/>
            </w:tcBorders>
            <w:shd w:val="clear" w:color="auto" w:fill="auto"/>
            <w:tcMar>
              <w:top w:w="0" w:type="dxa"/>
              <w:left w:w="108" w:type="dxa"/>
              <w:bottom w:w="0" w:type="dxa"/>
              <w:right w:w="108" w:type="dxa"/>
            </w:tcMar>
            <w:vAlign w:val="center"/>
          </w:tcPr>
          <w:p w14:paraId="301CD675"/>
        </w:tc>
        <w:tc>
          <w:tcPr>
            <w:tcW w:w="1872"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14:paraId="74EB26A9"/>
        </w:tc>
        <w:tc>
          <w:tcPr>
            <w:tcW w:w="2196"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14:paraId="5F3473A3"/>
        </w:tc>
        <w:tc>
          <w:tcPr>
            <w:tcW w:w="2084"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14:paraId="337B5F46"/>
        </w:tc>
      </w:tr>
    </w:tbl>
    <w:p w14:paraId="2A3B5868">
      <w:r>
        <w:rPr>
          <w:rFonts w:hint="eastAsia"/>
        </w:rPr>
        <w:t>说明：中标人不得随意变更工地负责人如未经招标人同意，中标人变更人员，违约金按招标文件规定计算。同时，如中标人工地负责人达不到招标人要求的管理能力，招标人有权要求中标人更换人员。</w:t>
      </w:r>
    </w:p>
    <w:p w14:paraId="39DCF5C5"/>
    <w:p w14:paraId="7CDF81AF">
      <w:pPr>
        <w:rPr>
          <w:rFonts w:hint="eastAsia" w:eastAsiaTheme="minorEastAsia"/>
          <w:b/>
          <w:bCs/>
          <w:lang w:eastAsia="zh-CN"/>
        </w:rPr>
        <w:sectPr>
          <w:pgSz w:w="11906" w:h="16838"/>
          <w:pgMar w:top="1100" w:right="1179" w:bottom="816" w:left="1179" w:header="851" w:footer="992" w:gutter="0"/>
          <w:pgNumType w:fmt="decimalFullWidth"/>
          <w:cols w:space="720" w:num="1"/>
          <w:docGrid w:type="lines" w:linePitch="312" w:charSpace="0"/>
        </w:sectPr>
      </w:pPr>
      <w:r>
        <w:rPr>
          <w:rFonts w:hint="eastAsia"/>
        </w:rPr>
        <w:t>投标人</w:t>
      </w:r>
      <w:r>
        <w:rPr>
          <w:rFonts w:hint="eastAsia"/>
          <w:lang w:eastAsia="zh-CN"/>
        </w:rPr>
        <w:t>盖章：</w:t>
      </w:r>
    </w:p>
    <w:p w14:paraId="241E52A0">
      <w:pPr>
        <w:rPr>
          <w:sz w:val="44"/>
          <w:szCs w:val="44"/>
        </w:rPr>
      </w:pPr>
      <w:r>
        <w:rPr>
          <w:rFonts w:hint="eastAsia"/>
        </w:rPr>
        <w:t>附件二：</w:t>
      </w:r>
    </w:p>
    <w:p w14:paraId="13D22C07">
      <w:pPr>
        <w:ind w:firstLine="883"/>
        <w:jc w:val="center"/>
        <w:rPr>
          <w:sz w:val="44"/>
          <w:szCs w:val="44"/>
        </w:rPr>
      </w:pPr>
      <w:r>
        <w:rPr>
          <w:rFonts w:hint="eastAsia"/>
          <w:sz w:val="44"/>
          <w:szCs w:val="44"/>
        </w:rPr>
        <w:t>承 诺 书</w:t>
      </w:r>
    </w:p>
    <w:p w14:paraId="12E07E38"/>
    <w:p w14:paraId="40AE6532"/>
    <w:p w14:paraId="10E58733">
      <w:pPr>
        <w:ind w:firstLine="480" w:firstLineChars="200"/>
      </w:pPr>
      <w:r>
        <w:rPr>
          <w:rFonts w:hint="eastAsia"/>
        </w:rPr>
        <w:t>我单位根据已收到《</w:t>
      </w:r>
      <w:r>
        <w:rPr>
          <w:rFonts w:hint="eastAsia"/>
          <w:lang w:val="en-US" w:eastAsia="zh-CN"/>
        </w:rPr>
        <w:t>威海市第二实验高级中学</w:t>
      </w:r>
      <w:r>
        <w:rPr>
          <w:rFonts w:hint="eastAsia"/>
        </w:rPr>
        <w:t>》项目的招标文件，遵照国家有关政策法规，我方经考察现场和研究上述招标文件及其他相关资料后，我方愿以招标文件要求的条件参与投标。若有幸中标，我方郑重承诺：</w:t>
      </w:r>
    </w:p>
    <w:p w14:paraId="1F567915">
      <w:pPr>
        <w:ind w:firstLine="480" w:firstLineChars="200"/>
      </w:pPr>
      <w:r>
        <w:rPr>
          <w:rFonts w:hint="eastAsia"/>
        </w:rPr>
        <w:t>在此项目施工过程中，我们将毫无异议执行招标文件中的所有条款，认真履行合同规定的各项义务，我单位一定科学计划、精心组织，确保工期和质量，并对所分包工程的实施管理和工程质量等负全责。</w:t>
      </w:r>
    </w:p>
    <w:p w14:paraId="33B127E9">
      <w:pPr>
        <w:ind w:firstLine="480" w:firstLineChars="200"/>
      </w:pPr>
      <w:r>
        <w:rPr>
          <w:rFonts w:hint="eastAsia"/>
        </w:rPr>
        <w:t>若我单位在项目实施过程中违背上述承诺，我单位甘愿接受处罚，无条件撤出现场，并放弃二年投标资格。</w:t>
      </w:r>
    </w:p>
    <w:p w14:paraId="03FB47DD"/>
    <w:p w14:paraId="156BEA25"/>
    <w:p w14:paraId="0440748F"/>
    <w:p w14:paraId="48FB4E76"/>
    <w:p w14:paraId="627CEE2C">
      <w:pPr>
        <w:ind w:firstLine="5040" w:firstLineChars="2100"/>
      </w:pPr>
      <w:r>
        <w:rPr>
          <w:rFonts w:hint="eastAsia"/>
        </w:rPr>
        <w:t>投标人：（全称）（盖章）</w:t>
      </w:r>
    </w:p>
    <w:p w14:paraId="00F390E5"/>
    <w:p w14:paraId="1B88103E"/>
    <w:p w14:paraId="5CA2E360"/>
    <w:p w14:paraId="64429F4D">
      <w:pPr>
        <w:ind w:firstLine="5040" w:firstLineChars="2100"/>
      </w:pPr>
      <w:r>
        <w:rPr>
          <w:rFonts w:hint="eastAsia"/>
        </w:rPr>
        <w:t>投标人法定代表人：（签字）</w:t>
      </w:r>
    </w:p>
    <w:p w14:paraId="5CE0ACD6"/>
    <w:p w14:paraId="46271ED0"/>
    <w:p w14:paraId="5A244B9D"/>
    <w:p w14:paraId="40B6108B">
      <w:pPr>
        <w:ind w:firstLine="6240" w:firstLineChars="2600"/>
      </w:pPr>
      <w:r>
        <w:rPr>
          <w:rFonts w:hint="eastAsia"/>
        </w:rPr>
        <w:t>年 月 日</w:t>
      </w:r>
    </w:p>
    <w:p w14:paraId="217375DC"/>
    <w:p w14:paraId="217C1C3A"/>
    <w:p w14:paraId="56DB0187"/>
    <w:p w14:paraId="42A3C2E1"/>
    <w:p w14:paraId="556E235F"/>
    <w:p w14:paraId="5769E375"/>
    <w:p w14:paraId="3A927182"/>
    <w:p w14:paraId="6C08B1AA"/>
    <w:p w14:paraId="0BF61ED0">
      <w:pPr>
        <w:rPr>
          <w:sz w:val="28"/>
          <w:szCs w:val="28"/>
        </w:rPr>
      </w:pPr>
      <w:r>
        <w:rPr>
          <w:rFonts w:hint="eastAsia"/>
        </w:rPr>
        <w:t>附件三：</w:t>
      </w:r>
    </w:p>
    <w:p w14:paraId="7DD5E0C8"/>
    <w:p w14:paraId="47913E1E">
      <w:pPr>
        <w:ind w:firstLine="3520" w:firstLineChars="800"/>
        <w:rPr>
          <w:sz w:val="44"/>
          <w:szCs w:val="44"/>
        </w:rPr>
      </w:pPr>
      <w:r>
        <w:rPr>
          <w:rFonts w:hint="eastAsia"/>
          <w:sz w:val="44"/>
          <w:szCs w:val="44"/>
        </w:rPr>
        <w:t>工期承诺书</w:t>
      </w:r>
    </w:p>
    <w:p w14:paraId="1C452F93"/>
    <w:p w14:paraId="736A7F72">
      <w:r>
        <w:rPr>
          <w:rFonts w:hint="eastAsia"/>
        </w:rPr>
        <w:t>工程承包人：威海建设集团第一建筑分公司</w:t>
      </w:r>
      <w:r>
        <w:tab/>
      </w:r>
    </w:p>
    <w:p w14:paraId="0F91285F">
      <w:pPr>
        <w:rPr>
          <w:u w:val="single"/>
        </w:rPr>
      </w:pPr>
      <w:r>
        <w:rPr>
          <w:rFonts w:hint="eastAsia"/>
        </w:rPr>
        <w:t>劳务分包人：</w:t>
      </w:r>
    </w:p>
    <w:p w14:paraId="24390434">
      <w:pPr>
        <w:ind w:firstLine="480" w:firstLineChars="200"/>
      </w:pPr>
      <w:r>
        <w:rPr>
          <w:rFonts w:hint="eastAsia"/>
        </w:rPr>
        <w:t>为确保工程招标顺利进行，双方在平等、互利、协商一致的原则下，</w:t>
      </w:r>
      <w:r>
        <w:rPr>
          <w:rFonts w:hint="eastAsia"/>
          <w:u w:val="single"/>
        </w:rPr>
        <w:t>对</w:t>
      </w:r>
      <w:r>
        <w:rPr>
          <w:rFonts w:hint="eastAsia"/>
          <w:u w:val="single"/>
          <w:lang w:val="en-US" w:eastAsia="zh-CN"/>
        </w:rPr>
        <w:t>威海市第二实验高级中学</w:t>
      </w:r>
      <w:r>
        <w:rPr>
          <w:rFonts w:hint="eastAsia"/>
          <w:u w:val="single"/>
        </w:rPr>
        <w:t xml:space="preserve"> </w:t>
      </w:r>
      <w:r>
        <w:rPr>
          <w:rFonts w:hint="eastAsia"/>
        </w:rPr>
        <w:t>达成如下协议：</w:t>
      </w:r>
    </w:p>
    <w:p w14:paraId="316D1C70">
      <w:pPr>
        <w:numPr>
          <w:ilvl w:val="0"/>
          <w:numId w:val="5"/>
        </w:numPr>
        <w:ind w:firstLine="480" w:firstLineChars="200"/>
      </w:pPr>
      <w:r>
        <w:rPr>
          <w:rFonts w:hint="eastAsia"/>
        </w:rPr>
        <w:t>节点工期如下表所示：</w:t>
      </w:r>
    </w:p>
    <w:tbl>
      <w:tblPr>
        <w:tblStyle w:val="12"/>
        <w:tblW w:w="9606" w:type="dxa"/>
        <w:tblInd w:w="-113" w:type="dxa"/>
        <w:tblLayout w:type="autofit"/>
        <w:tblCellMar>
          <w:top w:w="0" w:type="dxa"/>
          <w:left w:w="108" w:type="dxa"/>
          <w:bottom w:w="0" w:type="dxa"/>
          <w:right w:w="108" w:type="dxa"/>
        </w:tblCellMar>
      </w:tblPr>
      <w:tblGrid>
        <w:gridCol w:w="3000"/>
        <w:gridCol w:w="1795"/>
        <w:gridCol w:w="2080"/>
        <w:gridCol w:w="2731"/>
      </w:tblGrid>
      <w:tr w14:paraId="7AB32005">
        <w:tblPrEx>
          <w:tblCellMar>
            <w:top w:w="0" w:type="dxa"/>
            <w:left w:w="108" w:type="dxa"/>
            <w:bottom w:w="0" w:type="dxa"/>
            <w:right w:w="108" w:type="dxa"/>
          </w:tblCellMar>
        </w:tblPrEx>
        <w:trPr>
          <w:trHeight w:val="612" w:hRule="atLeast"/>
        </w:trPr>
        <w:tc>
          <w:tcPr>
            <w:tcW w:w="3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7B4281">
            <w:pPr>
              <w:jc w:val="center"/>
            </w:pPr>
            <w:r>
              <w:rPr>
                <w:rFonts w:hint="eastAsia"/>
              </w:rPr>
              <w:t>所含单体</w:t>
            </w:r>
          </w:p>
        </w:tc>
        <w:tc>
          <w:tcPr>
            <w:tcW w:w="1795" w:type="dxa"/>
            <w:tcBorders>
              <w:top w:val="single" w:color="auto" w:sz="4" w:space="0"/>
              <w:left w:val="nil"/>
              <w:bottom w:val="single" w:color="auto" w:sz="4" w:space="0"/>
              <w:right w:val="single" w:color="auto" w:sz="4" w:space="0"/>
            </w:tcBorders>
            <w:shd w:val="clear" w:color="auto" w:fill="auto"/>
            <w:vAlign w:val="center"/>
          </w:tcPr>
          <w:p w14:paraId="6777179C">
            <w:pPr>
              <w:jc w:val="center"/>
            </w:pPr>
            <w:r>
              <w:rPr>
                <w:rFonts w:hint="eastAsia"/>
              </w:rPr>
              <w:t>层数</w:t>
            </w:r>
          </w:p>
        </w:tc>
        <w:tc>
          <w:tcPr>
            <w:tcW w:w="2080" w:type="dxa"/>
            <w:tcBorders>
              <w:top w:val="single" w:color="auto" w:sz="4" w:space="0"/>
              <w:left w:val="nil"/>
              <w:bottom w:val="single" w:color="auto" w:sz="4" w:space="0"/>
              <w:right w:val="single" w:color="auto" w:sz="4" w:space="0"/>
            </w:tcBorders>
            <w:shd w:val="clear" w:color="auto" w:fill="auto"/>
            <w:vAlign w:val="center"/>
          </w:tcPr>
          <w:p w14:paraId="06D5EF32">
            <w:pPr>
              <w:jc w:val="center"/>
            </w:pPr>
            <w:r>
              <w:rPr>
                <w:rFonts w:hint="eastAsia"/>
              </w:rPr>
              <w:t>基础</w:t>
            </w:r>
          </w:p>
        </w:tc>
        <w:tc>
          <w:tcPr>
            <w:tcW w:w="27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77951B">
            <w:pPr>
              <w:jc w:val="center"/>
            </w:pPr>
            <w:r>
              <w:rPr>
                <w:rFonts w:hint="eastAsia"/>
              </w:rPr>
              <w:t>主体封顶</w:t>
            </w:r>
          </w:p>
        </w:tc>
      </w:tr>
      <w:tr w14:paraId="383924CF">
        <w:tblPrEx>
          <w:tblCellMar>
            <w:top w:w="0" w:type="dxa"/>
            <w:left w:w="108" w:type="dxa"/>
            <w:bottom w:w="0" w:type="dxa"/>
            <w:right w:w="108" w:type="dxa"/>
          </w:tblCellMar>
        </w:tblPrEx>
        <w:trPr>
          <w:trHeight w:val="308" w:hRule="atLeast"/>
        </w:trPr>
        <w:tc>
          <w:tcPr>
            <w:tcW w:w="3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5CBDBB">
            <w:pPr>
              <w:spacing w:line="240" w:lineRule="auto"/>
              <w:jc w:val="center"/>
              <w:rPr>
                <w:rFonts w:asciiTheme="minorEastAsia" w:hAnsiTheme="minorEastAsia" w:eastAsiaTheme="minorEastAsia" w:cstheme="minorEastAsia"/>
                <w:kern w:val="3"/>
                <w:sz w:val="24"/>
                <w:szCs w:val="24"/>
                <w:lang w:val="en-US" w:eastAsia="zh-CN" w:bidi="ar-SA"/>
              </w:rPr>
            </w:pPr>
            <w:r>
              <w:rPr>
                <w:rFonts w:hint="eastAsia" w:ascii="宋体" w:hAnsi="宋体" w:cs="宋体"/>
                <w:lang w:val="en-US" w:bidi="zh-CN"/>
              </w:rPr>
              <w:t>学生宿舍A</w:t>
            </w:r>
          </w:p>
        </w:tc>
        <w:tc>
          <w:tcPr>
            <w:tcW w:w="1795" w:type="dxa"/>
            <w:tcBorders>
              <w:top w:val="nil"/>
              <w:left w:val="nil"/>
              <w:bottom w:val="single" w:color="auto" w:sz="4" w:space="0"/>
              <w:right w:val="single" w:color="auto" w:sz="4" w:space="0"/>
            </w:tcBorders>
            <w:shd w:val="clear" w:color="auto" w:fill="auto"/>
            <w:vAlign w:val="center"/>
          </w:tcPr>
          <w:p w14:paraId="2CA57C19">
            <w:pPr>
              <w:spacing w:line="240" w:lineRule="auto"/>
              <w:jc w:val="center"/>
              <w:rPr>
                <w:rFonts w:hint="default" w:asciiTheme="minorEastAsia" w:hAnsiTheme="minorEastAsia" w:eastAsiaTheme="minorEastAsia" w:cstheme="minorEastAsia"/>
                <w:kern w:val="3"/>
                <w:sz w:val="24"/>
                <w:szCs w:val="24"/>
                <w:lang w:val="en-US" w:eastAsia="zh-CN" w:bidi="ar-SA"/>
              </w:rPr>
            </w:pPr>
            <w:r>
              <w:rPr>
                <w:rFonts w:hint="eastAsia" w:cstheme="minorEastAsia"/>
                <w:kern w:val="3"/>
                <w:sz w:val="24"/>
                <w:szCs w:val="24"/>
                <w:lang w:val="en-US" w:eastAsia="zh-CN" w:bidi="ar-SA"/>
              </w:rPr>
              <w:t>5</w:t>
            </w:r>
          </w:p>
        </w:tc>
        <w:tc>
          <w:tcPr>
            <w:tcW w:w="2080" w:type="dxa"/>
            <w:tcBorders>
              <w:top w:val="nil"/>
              <w:left w:val="nil"/>
              <w:bottom w:val="single" w:color="auto" w:sz="4" w:space="0"/>
              <w:right w:val="single" w:color="auto" w:sz="4" w:space="0"/>
            </w:tcBorders>
            <w:shd w:val="clear" w:color="auto" w:fill="auto"/>
            <w:vAlign w:val="center"/>
          </w:tcPr>
          <w:p w14:paraId="7B5E5672">
            <w:pPr>
              <w:jc w:val="center"/>
              <w:rPr>
                <w:rFonts w:asciiTheme="minorEastAsia" w:hAnsiTheme="minorEastAsia" w:eastAsiaTheme="minorEastAsia" w:cstheme="minorEastAsia"/>
                <w:kern w:val="3"/>
                <w:sz w:val="24"/>
                <w:szCs w:val="24"/>
                <w:lang w:val="en-US" w:eastAsia="zh-CN" w:bidi="ar-SA"/>
              </w:rPr>
            </w:pPr>
          </w:p>
        </w:tc>
        <w:tc>
          <w:tcPr>
            <w:tcW w:w="27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843A88">
            <w:pPr>
              <w:jc w:val="center"/>
              <w:rPr>
                <w:rFonts w:asciiTheme="minorEastAsia" w:hAnsiTheme="minorEastAsia" w:eastAsiaTheme="minorEastAsia" w:cstheme="minorEastAsia"/>
                <w:kern w:val="3"/>
                <w:sz w:val="24"/>
                <w:szCs w:val="24"/>
                <w:lang w:val="en-US" w:eastAsia="zh-CN" w:bidi="ar-SA"/>
              </w:rPr>
            </w:pPr>
          </w:p>
        </w:tc>
      </w:tr>
      <w:tr w14:paraId="7FBADF44">
        <w:tblPrEx>
          <w:tblCellMar>
            <w:top w:w="0" w:type="dxa"/>
            <w:left w:w="108" w:type="dxa"/>
            <w:bottom w:w="0" w:type="dxa"/>
            <w:right w:w="108" w:type="dxa"/>
          </w:tblCellMar>
        </w:tblPrEx>
        <w:trPr>
          <w:trHeight w:val="457" w:hRule="atLeast"/>
        </w:trPr>
        <w:tc>
          <w:tcPr>
            <w:tcW w:w="3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3DC4C1">
            <w:pPr>
              <w:spacing w:line="240" w:lineRule="auto"/>
              <w:jc w:val="center"/>
              <w:rPr>
                <w:rFonts w:hint="eastAsia" w:asciiTheme="minorEastAsia" w:hAnsiTheme="minorEastAsia" w:eastAsiaTheme="minorEastAsia" w:cstheme="minorEastAsia"/>
                <w:kern w:val="3"/>
                <w:sz w:val="24"/>
                <w:szCs w:val="24"/>
                <w:lang w:val="en-US" w:eastAsia="zh-CN" w:bidi="ar-SA"/>
              </w:rPr>
            </w:pPr>
            <w:r>
              <w:rPr>
                <w:rFonts w:hint="eastAsia" w:ascii="宋体" w:hAnsi="宋体" w:cs="宋体"/>
                <w:lang w:val="en-US" w:bidi="zh-CN"/>
              </w:rPr>
              <w:t>学生宿舍B</w:t>
            </w:r>
          </w:p>
        </w:tc>
        <w:tc>
          <w:tcPr>
            <w:tcW w:w="1795" w:type="dxa"/>
            <w:tcBorders>
              <w:top w:val="nil"/>
              <w:left w:val="nil"/>
              <w:bottom w:val="single" w:color="auto" w:sz="4" w:space="0"/>
              <w:right w:val="single" w:color="auto" w:sz="4" w:space="0"/>
            </w:tcBorders>
            <w:shd w:val="clear" w:color="auto" w:fill="auto"/>
            <w:vAlign w:val="center"/>
          </w:tcPr>
          <w:p w14:paraId="7EED758B">
            <w:pPr>
              <w:spacing w:line="240" w:lineRule="auto"/>
              <w:jc w:val="center"/>
              <w:rPr>
                <w:rFonts w:hint="default" w:asciiTheme="minorEastAsia" w:hAnsiTheme="minorEastAsia" w:eastAsiaTheme="minorEastAsia" w:cstheme="minorEastAsia"/>
                <w:kern w:val="3"/>
                <w:sz w:val="24"/>
                <w:szCs w:val="24"/>
                <w:lang w:val="en-US" w:eastAsia="zh-CN" w:bidi="ar-SA"/>
              </w:rPr>
            </w:pPr>
            <w:r>
              <w:rPr>
                <w:rFonts w:hint="eastAsia" w:cstheme="minorEastAsia"/>
                <w:kern w:val="3"/>
                <w:sz w:val="24"/>
                <w:szCs w:val="24"/>
                <w:lang w:val="en-US" w:eastAsia="zh-CN" w:bidi="ar-SA"/>
              </w:rPr>
              <w:t>5</w:t>
            </w:r>
          </w:p>
        </w:tc>
        <w:tc>
          <w:tcPr>
            <w:tcW w:w="2080" w:type="dxa"/>
            <w:tcBorders>
              <w:top w:val="nil"/>
              <w:left w:val="nil"/>
              <w:bottom w:val="single" w:color="auto" w:sz="4" w:space="0"/>
              <w:right w:val="single" w:color="auto" w:sz="4" w:space="0"/>
            </w:tcBorders>
            <w:shd w:val="clear" w:color="auto" w:fill="auto"/>
            <w:vAlign w:val="center"/>
          </w:tcPr>
          <w:p w14:paraId="4C9B7354">
            <w:pPr>
              <w:jc w:val="center"/>
              <w:rPr>
                <w:rFonts w:asciiTheme="minorEastAsia" w:hAnsiTheme="minorEastAsia" w:eastAsiaTheme="minorEastAsia" w:cstheme="minorEastAsia"/>
                <w:kern w:val="3"/>
                <w:sz w:val="24"/>
                <w:szCs w:val="24"/>
                <w:lang w:val="en-US" w:eastAsia="zh-CN" w:bidi="ar-SA"/>
              </w:rPr>
            </w:pPr>
          </w:p>
        </w:tc>
        <w:tc>
          <w:tcPr>
            <w:tcW w:w="27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830096">
            <w:pPr>
              <w:jc w:val="center"/>
              <w:rPr>
                <w:rFonts w:asciiTheme="minorEastAsia" w:hAnsiTheme="minorEastAsia" w:eastAsiaTheme="minorEastAsia" w:cstheme="minorEastAsia"/>
                <w:kern w:val="3"/>
                <w:sz w:val="24"/>
                <w:szCs w:val="24"/>
                <w:lang w:val="en-US" w:eastAsia="zh-CN" w:bidi="ar-SA"/>
              </w:rPr>
            </w:pPr>
          </w:p>
        </w:tc>
      </w:tr>
      <w:tr w14:paraId="6AEC8BE0">
        <w:tblPrEx>
          <w:tblCellMar>
            <w:top w:w="0" w:type="dxa"/>
            <w:left w:w="108" w:type="dxa"/>
            <w:bottom w:w="0" w:type="dxa"/>
            <w:right w:w="108" w:type="dxa"/>
          </w:tblCellMar>
        </w:tblPrEx>
        <w:trPr>
          <w:trHeight w:val="467" w:hRule="atLeast"/>
        </w:trPr>
        <w:tc>
          <w:tcPr>
            <w:tcW w:w="3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BA21D6">
            <w:pPr>
              <w:spacing w:line="240" w:lineRule="auto"/>
              <w:jc w:val="center"/>
              <w:rPr>
                <w:rFonts w:hint="eastAsia" w:asciiTheme="minorEastAsia" w:hAnsiTheme="minorEastAsia" w:eastAsiaTheme="minorEastAsia" w:cstheme="minorEastAsia"/>
                <w:kern w:val="3"/>
                <w:sz w:val="24"/>
                <w:szCs w:val="24"/>
                <w:lang w:val="en-US" w:eastAsia="zh-CN" w:bidi="ar-SA"/>
              </w:rPr>
            </w:pPr>
            <w:r>
              <w:rPr>
                <w:rFonts w:hint="eastAsia" w:ascii="宋体" w:hAnsi="宋体" w:cs="宋体"/>
                <w:lang w:val="en-US" w:bidi="zh-CN"/>
              </w:rPr>
              <w:t>学生宿舍C</w:t>
            </w:r>
          </w:p>
        </w:tc>
        <w:tc>
          <w:tcPr>
            <w:tcW w:w="1795" w:type="dxa"/>
            <w:tcBorders>
              <w:top w:val="nil"/>
              <w:left w:val="nil"/>
              <w:bottom w:val="single" w:color="auto" w:sz="4" w:space="0"/>
              <w:right w:val="single" w:color="auto" w:sz="4" w:space="0"/>
            </w:tcBorders>
            <w:shd w:val="clear" w:color="auto" w:fill="auto"/>
            <w:vAlign w:val="center"/>
          </w:tcPr>
          <w:p w14:paraId="2443E56B">
            <w:pPr>
              <w:spacing w:line="240" w:lineRule="auto"/>
              <w:jc w:val="center"/>
              <w:rPr>
                <w:rFonts w:hint="default" w:asciiTheme="minorEastAsia" w:hAnsiTheme="minorEastAsia" w:eastAsiaTheme="minorEastAsia" w:cstheme="minorEastAsia"/>
                <w:kern w:val="3"/>
                <w:sz w:val="24"/>
                <w:szCs w:val="24"/>
                <w:lang w:val="en-US" w:eastAsia="zh-CN" w:bidi="ar-SA"/>
              </w:rPr>
            </w:pPr>
            <w:r>
              <w:rPr>
                <w:rFonts w:hint="eastAsia" w:cstheme="minorEastAsia"/>
                <w:kern w:val="3"/>
                <w:sz w:val="24"/>
                <w:szCs w:val="24"/>
                <w:lang w:val="en-US" w:eastAsia="zh-CN" w:bidi="ar-SA"/>
              </w:rPr>
              <w:t>5</w:t>
            </w:r>
          </w:p>
        </w:tc>
        <w:tc>
          <w:tcPr>
            <w:tcW w:w="2080" w:type="dxa"/>
            <w:tcBorders>
              <w:top w:val="nil"/>
              <w:left w:val="nil"/>
              <w:bottom w:val="single" w:color="auto" w:sz="4" w:space="0"/>
              <w:right w:val="single" w:color="auto" w:sz="4" w:space="0"/>
            </w:tcBorders>
            <w:shd w:val="clear" w:color="auto" w:fill="auto"/>
            <w:vAlign w:val="center"/>
          </w:tcPr>
          <w:p w14:paraId="6EFC0830">
            <w:pPr>
              <w:jc w:val="center"/>
              <w:rPr>
                <w:rFonts w:asciiTheme="minorEastAsia" w:hAnsiTheme="minorEastAsia" w:eastAsiaTheme="minorEastAsia" w:cstheme="minorEastAsia"/>
                <w:kern w:val="3"/>
                <w:sz w:val="24"/>
                <w:szCs w:val="24"/>
                <w:lang w:val="en-US" w:eastAsia="zh-CN" w:bidi="ar-SA"/>
              </w:rPr>
            </w:pPr>
          </w:p>
        </w:tc>
        <w:tc>
          <w:tcPr>
            <w:tcW w:w="27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DAE6CA">
            <w:pPr>
              <w:jc w:val="center"/>
              <w:rPr>
                <w:rFonts w:asciiTheme="minorEastAsia" w:hAnsiTheme="minorEastAsia" w:eastAsiaTheme="minorEastAsia" w:cstheme="minorEastAsia"/>
                <w:kern w:val="3"/>
                <w:sz w:val="24"/>
                <w:szCs w:val="24"/>
                <w:lang w:val="en-US" w:eastAsia="zh-CN" w:bidi="ar-SA"/>
              </w:rPr>
            </w:pPr>
          </w:p>
        </w:tc>
      </w:tr>
      <w:tr w14:paraId="6BD97A33">
        <w:tblPrEx>
          <w:tblCellMar>
            <w:top w:w="0" w:type="dxa"/>
            <w:left w:w="108" w:type="dxa"/>
            <w:bottom w:w="0" w:type="dxa"/>
            <w:right w:w="108" w:type="dxa"/>
          </w:tblCellMar>
        </w:tblPrEx>
        <w:trPr>
          <w:trHeight w:val="308" w:hRule="atLeast"/>
        </w:trPr>
        <w:tc>
          <w:tcPr>
            <w:tcW w:w="3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691D82">
            <w:pPr>
              <w:spacing w:line="240" w:lineRule="auto"/>
              <w:jc w:val="center"/>
              <w:rPr>
                <w:rFonts w:hint="eastAsia" w:asciiTheme="minorEastAsia" w:hAnsiTheme="minorEastAsia" w:eastAsiaTheme="minorEastAsia" w:cstheme="minorEastAsia"/>
                <w:kern w:val="3"/>
                <w:sz w:val="24"/>
                <w:szCs w:val="24"/>
                <w:lang w:val="en-US" w:eastAsia="zh-CN" w:bidi="ar-SA"/>
              </w:rPr>
            </w:pPr>
            <w:r>
              <w:rPr>
                <w:rFonts w:hint="eastAsia" w:ascii="宋体" w:hAnsi="宋体" w:cs="宋体"/>
                <w:lang w:val="en-US" w:bidi="zh-CN"/>
              </w:rPr>
              <w:t>教职工宿舍</w:t>
            </w:r>
          </w:p>
        </w:tc>
        <w:tc>
          <w:tcPr>
            <w:tcW w:w="1795" w:type="dxa"/>
            <w:tcBorders>
              <w:top w:val="nil"/>
              <w:left w:val="nil"/>
              <w:bottom w:val="single" w:color="auto" w:sz="4" w:space="0"/>
              <w:right w:val="single" w:color="auto" w:sz="4" w:space="0"/>
            </w:tcBorders>
            <w:shd w:val="clear" w:color="auto" w:fill="auto"/>
            <w:vAlign w:val="center"/>
          </w:tcPr>
          <w:p w14:paraId="094C4998">
            <w:pPr>
              <w:spacing w:line="240" w:lineRule="auto"/>
              <w:jc w:val="center"/>
              <w:rPr>
                <w:rFonts w:hint="default" w:asciiTheme="minorEastAsia" w:hAnsiTheme="minorEastAsia" w:eastAsiaTheme="minorEastAsia" w:cstheme="minorEastAsia"/>
                <w:kern w:val="3"/>
                <w:sz w:val="24"/>
                <w:szCs w:val="24"/>
                <w:lang w:val="en-US" w:eastAsia="zh-CN" w:bidi="ar-SA"/>
              </w:rPr>
            </w:pPr>
            <w:r>
              <w:rPr>
                <w:rFonts w:hint="eastAsia" w:cstheme="minorEastAsia"/>
                <w:kern w:val="3"/>
                <w:sz w:val="24"/>
                <w:szCs w:val="24"/>
                <w:lang w:val="en-US" w:eastAsia="zh-CN" w:bidi="ar-SA"/>
              </w:rPr>
              <w:t>2</w:t>
            </w:r>
          </w:p>
        </w:tc>
        <w:tc>
          <w:tcPr>
            <w:tcW w:w="2080" w:type="dxa"/>
            <w:tcBorders>
              <w:top w:val="nil"/>
              <w:left w:val="nil"/>
              <w:bottom w:val="single" w:color="auto" w:sz="4" w:space="0"/>
              <w:right w:val="single" w:color="auto" w:sz="4" w:space="0"/>
            </w:tcBorders>
            <w:shd w:val="clear" w:color="auto" w:fill="auto"/>
            <w:vAlign w:val="center"/>
          </w:tcPr>
          <w:p w14:paraId="18D351C2">
            <w:pPr>
              <w:jc w:val="center"/>
              <w:rPr>
                <w:rFonts w:asciiTheme="minorEastAsia" w:hAnsiTheme="minorEastAsia" w:eastAsiaTheme="minorEastAsia" w:cstheme="minorEastAsia"/>
                <w:kern w:val="3"/>
                <w:sz w:val="24"/>
                <w:szCs w:val="24"/>
                <w:lang w:val="en-US" w:eastAsia="zh-CN" w:bidi="ar-SA"/>
              </w:rPr>
            </w:pPr>
          </w:p>
        </w:tc>
        <w:tc>
          <w:tcPr>
            <w:tcW w:w="27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75EE09">
            <w:pPr>
              <w:jc w:val="center"/>
              <w:rPr>
                <w:rFonts w:asciiTheme="minorEastAsia" w:hAnsiTheme="minorEastAsia" w:eastAsiaTheme="minorEastAsia" w:cstheme="minorEastAsia"/>
                <w:kern w:val="3"/>
                <w:sz w:val="24"/>
                <w:szCs w:val="24"/>
                <w:lang w:val="en-US" w:eastAsia="zh-CN" w:bidi="ar-SA"/>
              </w:rPr>
            </w:pPr>
          </w:p>
        </w:tc>
      </w:tr>
      <w:tr w14:paraId="3FB4E4BE">
        <w:tblPrEx>
          <w:tblCellMar>
            <w:top w:w="0" w:type="dxa"/>
            <w:left w:w="108" w:type="dxa"/>
            <w:bottom w:w="0" w:type="dxa"/>
            <w:right w:w="108" w:type="dxa"/>
          </w:tblCellMar>
        </w:tblPrEx>
        <w:trPr>
          <w:trHeight w:val="308" w:hRule="atLeast"/>
        </w:trPr>
        <w:tc>
          <w:tcPr>
            <w:tcW w:w="3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7B9EF1">
            <w:pPr>
              <w:spacing w:line="240" w:lineRule="auto"/>
              <w:jc w:val="center"/>
              <w:rPr>
                <w:rFonts w:hint="default" w:asciiTheme="minorEastAsia" w:hAnsiTheme="minorEastAsia" w:eastAsiaTheme="minorEastAsia" w:cstheme="minorEastAsia"/>
                <w:kern w:val="3"/>
                <w:sz w:val="24"/>
                <w:szCs w:val="24"/>
                <w:lang w:val="en-US" w:eastAsia="zh-CN" w:bidi="ar-SA"/>
              </w:rPr>
            </w:pPr>
            <w:r>
              <w:rPr>
                <w:rFonts w:hint="eastAsia" w:ascii="宋体" w:hAnsi="宋体" w:cs="宋体"/>
                <w:lang w:val="en-US" w:bidi="zh-CN"/>
              </w:rPr>
              <w:t>室外砼挡墙</w:t>
            </w:r>
          </w:p>
        </w:tc>
        <w:tc>
          <w:tcPr>
            <w:tcW w:w="1795" w:type="dxa"/>
            <w:tcBorders>
              <w:top w:val="nil"/>
              <w:left w:val="nil"/>
              <w:bottom w:val="single" w:color="auto" w:sz="4" w:space="0"/>
              <w:right w:val="single" w:color="auto" w:sz="4" w:space="0"/>
            </w:tcBorders>
            <w:shd w:val="clear" w:color="auto" w:fill="auto"/>
            <w:vAlign w:val="center"/>
          </w:tcPr>
          <w:p w14:paraId="2E3111EB">
            <w:pPr>
              <w:spacing w:line="240" w:lineRule="auto"/>
              <w:jc w:val="center"/>
              <w:rPr>
                <w:rFonts w:hint="default" w:asciiTheme="minorEastAsia" w:hAnsiTheme="minorEastAsia" w:eastAsiaTheme="minorEastAsia" w:cstheme="minorEastAsia"/>
                <w:kern w:val="3"/>
                <w:sz w:val="24"/>
                <w:szCs w:val="24"/>
                <w:lang w:val="en-US" w:eastAsia="zh-CN" w:bidi="ar-SA"/>
              </w:rPr>
            </w:pPr>
            <w:r>
              <w:rPr>
                <w:rFonts w:hint="eastAsia" w:cstheme="minorEastAsia"/>
                <w:kern w:val="3"/>
                <w:sz w:val="24"/>
                <w:szCs w:val="24"/>
                <w:lang w:val="en-US" w:eastAsia="zh-CN" w:bidi="ar-SA"/>
              </w:rPr>
              <w:t>1</w:t>
            </w:r>
          </w:p>
        </w:tc>
        <w:tc>
          <w:tcPr>
            <w:tcW w:w="2080" w:type="dxa"/>
            <w:tcBorders>
              <w:top w:val="nil"/>
              <w:left w:val="nil"/>
              <w:bottom w:val="single" w:color="auto" w:sz="4" w:space="0"/>
              <w:right w:val="single" w:color="auto" w:sz="4" w:space="0"/>
            </w:tcBorders>
            <w:shd w:val="clear" w:color="auto" w:fill="auto"/>
            <w:vAlign w:val="center"/>
          </w:tcPr>
          <w:p w14:paraId="168A60F5">
            <w:pPr>
              <w:jc w:val="center"/>
              <w:rPr>
                <w:rFonts w:asciiTheme="minorEastAsia" w:hAnsiTheme="minorEastAsia" w:eastAsiaTheme="minorEastAsia" w:cstheme="minorEastAsia"/>
                <w:kern w:val="3"/>
                <w:sz w:val="24"/>
                <w:szCs w:val="24"/>
                <w:lang w:val="en-US" w:eastAsia="zh-CN" w:bidi="ar-SA"/>
              </w:rPr>
            </w:pPr>
          </w:p>
        </w:tc>
        <w:tc>
          <w:tcPr>
            <w:tcW w:w="27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F7CBED">
            <w:pPr>
              <w:jc w:val="center"/>
              <w:rPr>
                <w:rFonts w:asciiTheme="minorEastAsia" w:hAnsiTheme="minorEastAsia" w:eastAsiaTheme="minorEastAsia" w:cstheme="minorEastAsia"/>
                <w:kern w:val="3"/>
                <w:sz w:val="24"/>
                <w:szCs w:val="24"/>
                <w:lang w:val="en-US" w:eastAsia="zh-CN" w:bidi="ar-SA"/>
              </w:rPr>
            </w:pPr>
          </w:p>
        </w:tc>
      </w:tr>
    </w:tbl>
    <w:p w14:paraId="01160173">
      <w:pPr>
        <w:pStyle w:val="26"/>
        <w:numPr>
          <w:ilvl w:val="0"/>
          <w:numId w:val="6"/>
        </w:numPr>
        <w:ind w:firstLineChars="0"/>
      </w:pPr>
      <w:r>
        <w:rPr>
          <w:rFonts w:hint="eastAsia"/>
        </w:rPr>
        <w:t>工期考核：</w:t>
      </w:r>
    </w:p>
    <w:p w14:paraId="22C206AB">
      <w:pPr>
        <w:ind w:firstLine="480" w:firstLineChars="200"/>
      </w:pPr>
      <w:r>
        <w:rPr>
          <w:rFonts w:hint="eastAsia"/>
        </w:rPr>
        <w:t>1、工程完工后，分包单位需办理工程完工手续，双方签字确认，分包人每延期一天承担合同价格 1‰的违约金。按上述节点工期要求逾期考核，考核罚款标准为2000/天，设两个累计考核节点（基础和主体为节点），考核当月兑现（具体时间以实际开工时间为准，工期相应顺延）；</w:t>
      </w:r>
    </w:p>
    <w:p w14:paraId="76DB64CE">
      <w:pPr>
        <w:ind w:firstLine="480" w:firstLineChars="200"/>
      </w:pPr>
      <w:r>
        <w:rPr>
          <w:rFonts w:hint="eastAsia"/>
        </w:rPr>
        <w:t>分包人无正当理由连续停工 15 日或累计停工 30 日以上的，承包人有权解除分包合同，分包人承担工程总造价5%的违约金 。</w:t>
      </w:r>
    </w:p>
    <w:p w14:paraId="3687F989">
      <w:pPr>
        <w:ind w:firstLine="480" w:firstLineChars="200"/>
      </w:pPr>
      <w:r>
        <w:rPr>
          <w:rFonts w:hint="eastAsia"/>
        </w:rPr>
        <w:t>2、如果累计考核节点（主体完成节点）按期完成，则累计考核节点内的工期罚款可申请予以免除（退还）。单体总工期提前</w:t>
      </w:r>
      <w:r>
        <w:rPr>
          <w:rFonts w:hint="eastAsia"/>
          <w:u w:val="single"/>
        </w:rPr>
        <w:t xml:space="preserve"> 5 </w:t>
      </w:r>
      <w:r>
        <w:rPr>
          <w:rFonts w:hint="eastAsia"/>
        </w:rPr>
        <w:t>天及以上完成，则对劳务分包人予以</w:t>
      </w:r>
      <w:r>
        <w:rPr>
          <w:rFonts w:hint="eastAsia"/>
          <w:u w:val="single"/>
        </w:rPr>
        <w:t>1-5千元</w:t>
      </w:r>
      <w:r>
        <w:rPr>
          <w:rFonts w:hint="eastAsia"/>
        </w:rPr>
        <w:t>（具体金额按项目实际情况调整）的奖励；</w:t>
      </w:r>
    </w:p>
    <w:p w14:paraId="7C371B40">
      <w:pPr>
        <w:pStyle w:val="26"/>
        <w:numPr>
          <w:ilvl w:val="0"/>
          <w:numId w:val="6"/>
        </w:numPr>
        <w:ind w:firstLineChars="0"/>
      </w:pPr>
      <w:r>
        <w:rPr>
          <w:rFonts w:hint="eastAsia"/>
        </w:rPr>
        <w:t>其他约定：</w:t>
      </w:r>
    </w:p>
    <w:p w14:paraId="6CFE55B9">
      <w:pPr>
        <w:pStyle w:val="26"/>
        <w:numPr>
          <w:ilvl w:val="0"/>
          <w:numId w:val="7"/>
        </w:numPr>
        <w:ind w:firstLineChars="0"/>
      </w:pPr>
      <w:r>
        <w:rPr>
          <w:rFonts w:hint="eastAsia"/>
        </w:rPr>
        <w:t>若是工期因甲方或政府等不可控强制原因，需要调整工期、抢工等，则对劳务价格予以调整。调整程序为：由项目部根据实际情况确认需要调整的价格和调整的理由，以书面形式上报分公司生产安全科、经营科，经分管经理审核后，上报总经理确认，作为合同的附件及结算依据；</w:t>
      </w:r>
    </w:p>
    <w:p w14:paraId="4C3E1A56">
      <w:pPr>
        <w:pStyle w:val="26"/>
        <w:numPr>
          <w:ilvl w:val="0"/>
          <w:numId w:val="7"/>
        </w:numPr>
        <w:ind w:firstLineChars="0"/>
      </w:pPr>
      <w:r>
        <w:rPr>
          <w:rFonts w:hint="eastAsia"/>
        </w:rPr>
        <w:t>本工程因开工时间不确定，最终以实际开工时间与约定开工时间只差相应向后顺延工期；</w:t>
      </w:r>
    </w:p>
    <w:p w14:paraId="66811056">
      <w:r>
        <w:rPr>
          <w:rFonts w:hint="eastAsia"/>
        </w:rPr>
        <w:t>工程承包人：（签章）                    劳务分包人：（签章）</w:t>
      </w:r>
    </w:p>
    <w:p w14:paraId="701DDA82"/>
    <w:p w14:paraId="33B5B192">
      <w:r>
        <w:rPr>
          <w:rFonts w:hint="eastAsia"/>
        </w:rPr>
        <w:t>日期：                          日期：</w:t>
      </w:r>
    </w:p>
    <w:p w14:paraId="5096D7A9"/>
    <w:p w14:paraId="1C1ACE0A">
      <w:pPr>
        <w:rPr>
          <w:highlight w:val="red"/>
        </w:rPr>
        <w:sectPr>
          <w:pgSz w:w="11906" w:h="16838"/>
          <w:pgMar w:top="1100" w:right="1179" w:bottom="816" w:left="1179" w:header="851" w:footer="992" w:gutter="0"/>
          <w:pgNumType w:fmt="decimalFullWidth"/>
          <w:cols w:space="720" w:num="1"/>
          <w:docGrid w:type="lines" w:linePitch="312" w:charSpace="0"/>
        </w:sectPr>
      </w:pPr>
    </w:p>
    <w:p w14:paraId="6456D713">
      <w:r>
        <w:rPr>
          <w:rFonts w:hint="eastAsia"/>
        </w:rPr>
        <w:t xml:space="preserve">附件四：                               </w:t>
      </w:r>
      <w:r>
        <w:rPr>
          <w:rFonts w:hint="eastAsia"/>
          <w:lang w:val="en-US" w:eastAsia="zh-CN"/>
        </w:rPr>
        <w:t>威海市第二实验高级中学</w:t>
      </w:r>
      <w:r>
        <w:rPr>
          <w:rFonts w:hint="eastAsia" w:ascii="宋体" w:hAnsi="宋体"/>
        </w:rPr>
        <w:t>项</w:t>
      </w:r>
      <w:r>
        <w:rPr>
          <w:rFonts w:hint="eastAsia"/>
        </w:rPr>
        <w:t>目</w:t>
      </w:r>
      <w:r>
        <w:rPr>
          <w:rFonts w:hint="eastAsia" w:ascii="宋体" w:hAnsi="宋体"/>
        </w:rPr>
        <w:t>各劳务专业班组汇总表</w:t>
      </w:r>
    </w:p>
    <w:tbl>
      <w:tblPr>
        <w:tblStyle w:val="1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01"/>
        <w:gridCol w:w="952"/>
        <w:gridCol w:w="1343"/>
        <w:gridCol w:w="1420"/>
        <w:gridCol w:w="1100"/>
        <w:gridCol w:w="1930"/>
        <w:gridCol w:w="2600"/>
        <w:gridCol w:w="1482"/>
        <w:gridCol w:w="1454"/>
      </w:tblGrid>
      <w:tr w14:paraId="1E957B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9" w:hRule="atLeast"/>
          <w:jc w:val="center"/>
        </w:trPr>
        <w:tc>
          <w:tcPr>
            <w:tcW w:w="1701" w:type="dxa"/>
            <w:tcBorders>
              <w:top w:val="single" w:color="auto" w:sz="4" w:space="0"/>
              <w:left w:val="single" w:color="auto" w:sz="4" w:space="0"/>
              <w:bottom w:val="single" w:color="auto" w:sz="4" w:space="0"/>
              <w:right w:val="single" w:color="auto" w:sz="4" w:space="0"/>
            </w:tcBorders>
            <w:vAlign w:val="center"/>
          </w:tcPr>
          <w:p w14:paraId="7F1A3A2E">
            <w:pPr>
              <w:rPr>
                <w:sz w:val="21"/>
                <w:szCs w:val="21"/>
              </w:rPr>
            </w:pPr>
            <w:r>
              <w:rPr>
                <w:rFonts w:hint="eastAsia"/>
                <w:sz w:val="21"/>
                <w:szCs w:val="21"/>
              </w:rPr>
              <w:t>劳务公司名称</w:t>
            </w:r>
          </w:p>
        </w:tc>
        <w:tc>
          <w:tcPr>
            <w:tcW w:w="952" w:type="dxa"/>
            <w:tcBorders>
              <w:top w:val="single" w:color="auto" w:sz="4" w:space="0"/>
              <w:left w:val="nil"/>
              <w:bottom w:val="single" w:color="auto" w:sz="4" w:space="0"/>
              <w:right w:val="single" w:color="auto" w:sz="4" w:space="0"/>
            </w:tcBorders>
            <w:vAlign w:val="center"/>
          </w:tcPr>
          <w:p w14:paraId="421CDDE7">
            <w:pPr>
              <w:rPr>
                <w:sz w:val="21"/>
                <w:szCs w:val="21"/>
              </w:rPr>
            </w:pPr>
            <w:r>
              <w:rPr>
                <w:rFonts w:hint="eastAsia"/>
                <w:sz w:val="21"/>
                <w:szCs w:val="21"/>
              </w:rPr>
              <w:t>楼栋号</w:t>
            </w:r>
          </w:p>
        </w:tc>
        <w:tc>
          <w:tcPr>
            <w:tcW w:w="1343" w:type="dxa"/>
            <w:tcBorders>
              <w:top w:val="single" w:color="auto" w:sz="4" w:space="0"/>
              <w:left w:val="single" w:color="auto" w:sz="4" w:space="0"/>
              <w:bottom w:val="single" w:color="auto" w:sz="4" w:space="0"/>
              <w:right w:val="single" w:color="auto" w:sz="4" w:space="0"/>
            </w:tcBorders>
            <w:vAlign w:val="center"/>
          </w:tcPr>
          <w:p w14:paraId="5E6E09F6">
            <w:pPr>
              <w:rPr>
                <w:rFonts w:ascii="Times New Roman" w:hAnsi="Times New Roman"/>
                <w:sz w:val="21"/>
                <w:szCs w:val="21"/>
              </w:rPr>
            </w:pPr>
            <w:r>
              <w:rPr>
                <w:rFonts w:hint="eastAsia"/>
                <w:sz w:val="21"/>
                <w:szCs w:val="21"/>
              </w:rPr>
              <w:t>班组类别</w:t>
            </w:r>
          </w:p>
        </w:tc>
        <w:tc>
          <w:tcPr>
            <w:tcW w:w="1420" w:type="dxa"/>
            <w:tcBorders>
              <w:top w:val="single" w:color="auto" w:sz="4" w:space="0"/>
              <w:left w:val="nil"/>
              <w:bottom w:val="single" w:color="auto" w:sz="4" w:space="0"/>
              <w:right w:val="single" w:color="auto" w:sz="4" w:space="0"/>
            </w:tcBorders>
            <w:vAlign w:val="center"/>
          </w:tcPr>
          <w:p w14:paraId="0358A663">
            <w:pPr>
              <w:rPr>
                <w:sz w:val="21"/>
                <w:szCs w:val="21"/>
              </w:rPr>
            </w:pPr>
            <w:r>
              <w:rPr>
                <w:rFonts w:hint="eastAsia"/>
                <w:sz w:val="21"/>
                <w:szCs w:val="21"/>
              </w:rPr>
              <w:t>班组负责人</w:t>
            </w:r>
          </w:p>
        </w:tc>
        <w:tc>
          <w:tcPr>
            <w:tcW w:w="1100" w:type="dxa"/>
            <w:tcBorders>
              <w:top w:val="single" w:color="auto" w:sz="4" w:space="0"/>
              <w:left w:val="nil"/>
              <w:bottom w:val="single" w:color="auto" w:sz="4" w:space="0"/>
              <w:right w:val="single" w:color="auto" w:sz="4" w:space="0"/>
            </w:tcBorders>
            <w:vAlign w:val="center"/>
          </w:tcPr>
          <w:p w14:paraId="4B63AD5D">
            <w:pPr>
              <w:rPr>
                <w:sz w:val="21"/>
                <w:szCs w:val="21"/>
              </w:rPr>
            </w:pPr>
            <w:r>
              <w:rPr>
                <w:rFonts w:hint="eastAsia"/>
                <w:sz w:val="21"/>
                <w:szCs w:val="21"/>
              </w:rPr>
              <w:t>班组人数</w:t>
            </w:r>
          </w:p>
        </w:tc>
        <w:tc>
          <w:tcPr>
            <w:tcW w:w="1930" w:type="dxa"/>
            <w:tcBorders>
              <w:top w:val="single" w:color="auto" w:sz="4" w:space="0"/>
              <w:left w:val="nil"/>
              <w:bottom w:val="single" w:color="auto" w:sz="4" w:space="0"/>
              <w:right w:val="single" w:color="auto" w:sz="4" w:space="0"/>
            </w:tcBorders>
            <w:vAlign w:val="center"/>
          </w:tcPr>
          <w:p w14:paraId="3C7256FE">
            <w:pPr>
              <w:rPr>
                <w:sz w:val="21"/>
                <w:szCs w:val="21"/>
              </w:rPr>
            </w:pPr>
            <w:r>
              <w:rPr>
                <w:rFonts w:hint="eastAsia"/>
                <w:sz w:val="21"/>
                <w:szCs w:val="21"/>
              </w:rPr>
              <w:t>负责人联系方式</w:t>
            </w:r>
          </w:p>
        </w:tc>
        <w:tc>
          <w:tcPr>
            <w:tcW w:w="2600" w:type="dxa"/>
            <w:tcBorders>
              <w:top w:val="single" w:color="auto" w:sz="4" w:space="0"/>
              <w:left w:val="nil"/>
              <w:bottom w:val="single" w:color="auto" w:sz="4" w:space="0"/>
              <w:right w:val="single" w:color="auto" w:sz="4" w:space="0"/>
            </w:tcBorders>
            <w:vAlign w:val="center"/>
          </w:tcPr>
          <w:p w14:paraId="1B8958B8">
            <w:pPr>
              <w:rPr>
                <w:sz w:val="21"/>
                <w:szCs w:val="21"/>
              </w:rPr>
            </w:pPr>
            <w:r>
              <w:rPr>
                <w:rFonts w:hint="eastAsia"/>
                <w:sz w:val="21"/>
                <w:szCs w:val="21"/>
              </w:rPr>
              <w:t>近一年内施工业绩</w:t>
            </w:r>
          </w:p>
        </w:tc>
        <w:tc>
          <w:tcPr>
            <w:tcW w:w="1482" w:type="dxa"/>
            <w:tcBorders>
              <w:top w:val="single" w:color="auto" w:sz="4" w:space="0"/>
              <w:left w:val="nil"/>
              <w:bottom w:val="single" w:color="auto" w:sz="4" w:space="0"/>
              <w:right w:val="single" w:color="auto" w:sz="4" w:space="0"/>
            </w:tcBorders>
            <w:vAlign w:val="center"/>
          </w:tcPr>
          <w:p w14:paraId="4026C57B">
            <w:pPr>
              <w:rPr>
                <w:rFonts w:ascii="Times New Roman" w:hAnsi="Times New Roman"/>
                <w:sz w:val="21"/>
                <w:szCs w:val="21"/>
              </w:rPr>
            </w:pPr>
            <w:r>
              <w:rPr>
                <w:rFonts w:hint="eastAsia"/>
                <w:sz w:val="21"/>
                <w:szCs w:val="21"/>
              </w:rPr>
              <w:t>班组所属地</w:t>
            </w:r>
          </w:p>
        </w:tc>
        <w:tc>
          <w:tcPr>
            <w:tcW w:w="1454" w:type="dxa"/>
            <w:tcBorders>
              <w:top w:val="single" w:color="auto" w:sz="4" w:space="0"/>
              <w:left w:val="nil"/>
              <w:bottom w:val="single" w:color="auto" w:sz="4" w:space="0"/>
              <w:right w:val="single" w:color="auto" w:sz="4" w:space="0"/>
            </w:tcBorders>
            <w:vAlign w:val="center"/>
          </w:tcPr>
          <w:p w14:paraId="228675D7">
            <w:pPr>
              <w:rPr>
                <w:sz w:val="21"/>
                <w:szCs w:val="21"/>
              </w:rPr>
            </w:pPr>
            <w:r>
              <w:rPr>
                <w:rFonts w:hint="eastAsia"/>
                <w:sz w:val="21"/>
                <w:szCs w:val="21"/>
              </w:rPr>
              <w:t>现场管理员</w:t>
            </w:r>
          </w:p>
        </w:tc>
      </w:tr>
      <w:tr w14:paraId="6E216D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01" w:type="dxa"/>
            <w:vMerge w:val="restart"/>
            <w:tcBorders>
              <w:top w:val="nil"/>
              <w:left w:val="single" w:color="auto" w:sz="4" w:space="0"/>
              <w:bottom w:val="single" w:color="auto" w:sz="4" w:space="0"/>
              <w:right w:val="single" w:color="auto" w:sz="4" w:space="0"/>
            </w:tcBorders>
            <w:vAlign w:val="center"/>
          </w:tcPr>
          <w:p w14:paraId="6F8EF126"/>
        </w:tc>
        <w:tc>
          <w:tcPr>
            <w:tcW w:w="952" w:type="dxa"/>
            <w:tcBorders>
              <w:top w:val="single" w:color="auto" w:sz="4" w:space="0"/>
              <w:left w:val="nil"/>
              <w:bottom w:val="single" w:color="auto" w:sz="4" w:space="0"/>
              <w:right w:val="single" w:color="auto" w:sz="4" w:space="0"/>
            </w:tcBorders>
          </w:tcPr>
          <w:p w14:paraId="67562BEB"/>
        </w:tc>
        <w:tc>
          <w:tcPr>
            <w:tcW w:w="1343" w:type="dxa"/>
            <w:tcBorders>
              <w:top w:val="single" w:color="auto" w:sz="4" w:space="0"/>
              <w:left w:val="single" w:color="auto" w:sz="4" w:space="0"/>
              <w:bottom w:val="single" w:color="auto" w:sz="4" w:space="0"/>
              <w:right w:val="single" w:color="auto" w:sz="4" w:space="0"/>
            </w:tcBorders>
          </w:tcPr>
          <w:p w14:paraId="45523A4F"/>
        </w:tc>
        <w:tc>
          <w:tcPr>
            <w:tcW w:w="1420" w:type="dxa"/>
            <w:tcBorders>
              <w:top w:val="single" w:color="auto" w:sz="4" w:space="0"/>
              <w:left w:val="nil"/>
              <w:bottom w:val="single" w:color="auto" w:sz="4" w:space="0"/>
              <w:right w:val="single" w:color="auto" w:sz="4" w:space="0"/>
            </w:tcBorders>
          </w:tcPr>
          <w:p w14:paraId="496AA25C"/>
        </w:tc>
        <w:tc>
          <w:tcPr>
            <w:tcW w:w="1100" w:type="dxa"/>
            <w:tcBorders>
              <w:top w:val="single" w:color="auto" w:sz="4" w:space="0"/>
              <w:left w:val="nil"/>
              <w:bottom w:val="single" w:color="auto" w:sz="4" w:space="0"/>
              <w:right w:val="single" w:color="auto" w:sz="4" w:space="0"/>
            </w:tcBorders>
          </w:tcPr>
          <w:p w14:paraId="3F01133D"/>
        </w:tc>
        <w:tc>
          <w:tcPr>
            <w:tcW w:w="1930" w:type="dxa"/>
            <w:tcBorders>
              <w:top w:val="single" w:color="auto" w:sz="4" w:space="0"/>
              <w:left w:val="nil"/>
              <w:bottom w:val="single" w:color="auto" w:sz="4" w:space="0"/>
              <w:right w:val="single" w:color="auto" w:sz="4" w:space="0"/>
            </w:tcBorders>
            <w:vAlign w:val="center"/>
          </w:tcPr>
          <w:p w14:paraId="161FF610"/>
        </w:tc>
        <w:tc>
          <w:tcPr>
            <w:tcW w:w="2600" w:type="dxa"/>
            <w:tcBorders>
              <w:top w:val="single" w:color="auto" w:sz="4" w:space="0"/>
              <w:left w:val="nil"/>
              <w:bottom w:val="single" w:color="auto" w:sz="4" w:space="0"/>
              <w:right w:val="single" w:color="auto" w:sz="4" w:space="0"/>
            </w:tcBorders>
            <w:vAlign w:val="center"/>
          </w:tcPr>
          <w:p w14:paraId="4AE0EBB5"/>
        </w:tc>
        <w:tc>
          <w:tcPr>
            <w:tcW w:w="1482" w:type="dxa"/>
            <w:tcBorders>
              <w:top w:val="single" w:color="auto" w:sz="4" w:space="0"/>
              <w:left w:val="nil"/>
              <w:bottom w:val="single" w:color="auto" w:sz="4" w:space="0"/>
              <w:right w:val="single" w:color="auto" w:sz="4" w:space="0"/>
            </w:tcBorders>
            <w:vAlign w:val="center"/>
          </w:tcPr>
          <w:p w14:paraId="510D0CE8"/>
        </w:tc>
        <w:tc>
          <w:tcPr>
            <w:tcW w:w="1454" w:type="dxa"/>
            <w:tcBorders>
              <w:top w:val="single" w:color="auto" w:sz="4" w:space="0"/>
              <w:left w:val="nil"/>
              <w:bottom w:val="single" w:color="auto" w:sz="4" w:space="0"/>
              <w:right w:val="single" w:color="auto" w:sz="4" w:space="0"/>
            </w:tcBorders>
            <w:vAlign w:val="center"/>
          </w:tcPr>
          <w:p w14:paraId="1D598AA4"/>
        </w:tc>
      </w:tr>
      <w:tr w14:paraId="4AA1E5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01" w:type="dxa"/>
            <w:vMerge w:val="continue"/>
            <w:tcBorders>
              <w:top w:val="nil"/>
              <w:left w:val="single" w:color="auto" w:sz="4" w:space="0"/>
              <w:bottom w:val="single" w:color="auto" w:sz="4" w:space="0"/>
              <w:right w:val="single" w:color="auto" w:sz="4" w:space="0"/>
            </w:tcBorders>
            <w:vAlign w:val="center"/>
          </w:tcPr>
          <w:p w14:paraId="2432A7A4"/>
        </w:tc>
        <w:tc>
          <w:tcPr>
            <w:tcW w:w="952" w:type="dxa"/>
            <w:tcBorders>
              <w:top w:val="single" w:color="auto" w:sz="4" w:space="0"/>
              <w:left w:val="nil"/>
              <w:bottom w:val="single" w:color="auto" w:sz="4" w:space="0"/>
              <w:right w:val="single" w:color="auto" w:sz="4" w:space="0"/>
            </w:tcBorders>
          </w:tcPr>
          <w:p w14:paraId="74604D50"/>
        </w:tc>
        <w:tc>
          <w:tcPr>
            <w:tcW w:w="1343" w:type="dxa"/>
            <w:tcBorders>
              <w:top w:val="single" w:color="auto" w:sz="4" w:space="0"/>
              <w:left w:val="single" w:color="auto" w:sz="4" w:space="0"/>
              <w:bottom w:val="single" w:color="auto" w:sz="4" w:space="0"/>
              <w:right w:val="single" w:color="auto" w:sz="4" w:space="0"/>
            </w:tcBorders>
            <w:vAlign w:val="center"/>
          </w:tcPr>
          <w:p w14:paraId="20BD89DD"/>
        </w:tc>
        <w:tc>
          <w:tcPr>
            <w:tcW w:w="1420" w:type="dxa"/>
            <w:tcBorders>
              <w:top w:val="single" w:color="auto" w:sz="4" w:space="0"/>
              <w:left w:val="nil"/>
              <w:bottom w:val="single" w:color="auto" w:sz="4" w:space="0"/>
              <w:right w:val="single" w:color="auto" w:sz="4" w:space="0"/>
            </w:tcBorders>
            <w:vAlign w:val="center"/>
          </w:tcPr>
          <w:p w14:paraId="515ED64E"/>
        </w:tc>
        <w:tc>
          <w:tcPr>
            <w:tcW w:w="1100" w:type="dxa"/>
            <w:tcBorders>
              <w:top w:val="single" w:color="auto" w:sz="4" w:space="0"/>
              <w:left w:val="nil"/>
              <w:bottom w:val="single" w:color="auto" w:sz="4" w:space="0"/>
              <w:right w:val="single" w:color="auto" w:sz="4" w:space="0"/>
            </w:tcBorders>
            <w:vAlign w:val="center"/>
          </w:tcPr>
          <w:p w14:paraId="54F21E7B"/>
        </w:tc>
        <w:tc>
          <w:tcPr>
            <w:tcW w:w="1930" w:type="dxa"/>
            <w:tcBorders>
              <w:top w:val="single" w:color="auto" w:sz="4" w:space="0"/>
              <w:left w:val="nil"/>
              <w:bottom w:val="single" w:color="auto" w:sz="4" w:space="0"/>
              <w:right w:val="single" w:color="auto" w:sz="4" w:space="0"/>
            </w:tcBorders>
            <w:vAlign w:val="center"/>
          </w:tcPr>
          <w:p w14:paraId="44E113DD"/>
        </w:tc>
        <w:tc>
          <w:tcPr>
            <w:tcW w:w="2600" w:type="dxa"/>
            <w:tcBorders>
              <w:top w:val="single" w:color="auto" w:sz="4" w:space="0"/>
              <w:left w:val="nil"/>
              <w:bottom w:val="single" w:color="auto" w:sz="4" w:space="0"/>
              <w:right w:val="single" w:color="auto" w:sz="4" w:space="0"/>
            </w:tcBorders>
            <w:vAlign w:val="center"/>
          </w:tcPr>
          <w:p w14:paraId="5B8BD84E"/>
        </w:tc>
        <w:tc>
          <w:tcPr>
            <w:tcW w:w="1482" w:type="dxa"/>
            <w:tcBorders>
              <w:top w:val="single" w:color="auto" w:sz="4" w:space="0"/>
              <w:left w:val="nil"/>
              <w:bottom w:val="single" w:color="auto" w:sz="4" w:space="0"/>
              <w:right w:val="single" w:color="auto" w:sz="4" w:space="0"/>
            </w:tcBorders>
            <w:vAlign w:val="center"/>
          </w:tcPr>
          <w:p w14:paraId="050D0A5C"/>
        </w:tc>
        <w:tc>
          <w:tcPr>
            <w:tcW w:w="1454" w:type="dxa"/>
            <w:tcBorders>
              <w:top w:val="single" w:color="auto" w:sz="4" w:space="0"/>
              <w:left w:val="nil"/>
              <w:bottom w:val="single" w:color="auto" w:sz="4" w:space="0"/>
              <w:right w:val="single" w:color="auto" w:sz="4" w:space="0"/>
            </w:tcBorders>
            <w:vAlign w:val="center"/>
          </w:tcPr>
          <w:p w14:paraId="42EB8DB8"/>
        </w:tc>
      </w:tr>
      <w:tr w14:paraId="0A5803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01" w:type="dxa"/>
            <w:vMerge w:val="continue"/>
            <w:tcBorders>
              <w:top w:val="nil"/>
              <w:left w:val="single" w:color="auto" w:sz="4" w:space="0"/>
              <w:bottom w:val="single" w:color="auto" w:sz="4" w:space="0"/>
              <w:right w:val="single" w:color="auto" w:sz="4" w:space="0"/>
            </w:tcBorders>
            <w:vAlign w:val="center"/>
          </w:tcPr>
          <w:p w14:paraId="40FF9C2B"/>
        </w:tc>
        <w:tc>
          <w:tcPr>
            <w:tcW w:w="952" w:type="dxa"/>
            <w:tcBorders>
              <w:top w:val="single" w:color="auto" w:sz="4" w:space="0"/>
              <w:left w:val="nil"/>
              <w:bottom w:val="single" w:color="auto" w:sz="4" w:space="0"/>
              <w:right w:val="single" w:color="auto" w:sz="4" w:space="0"/>
            </w:tcBorders>
          </w:tcPr>
          <w:p w14:paraId="77602053"/>
        </w:tc>
        <w:tc>
          <w:tcPr>
            <w:tcW w:w="1343" w:type="dxa"/>
            <w:tcBorders>
              <w:top w:val="single" w:color="auto" w:sz="4" w:space="0"/>
              <w:left w:val="single" w:color="auto" w:sz="4" w:space="0"/>
              <w:bottom w:val="single" w:color="auto" w:sz="4" w:space="0"/>
              <w:right w:val="single" w:color="auto" w:sz="4" w:space="0"/>
            </w:tcBorders>
            <w:vAlign w:val="center"/>
          </w:tcPr>
          <w:p w14:paraId="18E64474"/>
        </w:tc>
        <w:tc>
          <w:tcPr>
            <w:tcW w:w="1420" w:type="dxa"/>
            <w:tcBorders>
              <w:top w:val="single" w:color="auto" w:sz="4" w:space="0"/>
              <w:left w:val="nil"/>
              <w:bottom w:val="single" w:color="auto" w:sz="4" w:space="0"/>
              <w:right w:val="single" w:color="auto" w:sz="4" w:space="0"/>
            </w:tcBorders>
            <w:vAlign w:val="center"/>
          </w:tcPr>
          <w:p w14:paraId="2A4EBFE3"/>
        </w:tc>
        <w:tc>
          <w:tcPr>
            <w:tcW w:w="1100" w:type="dxa"/>
            <w:tcBorders>
              <w:top w:val="single" w:color="auto" w:sz="4" w:space="0"/>
              <w:left w:val="nil"/>
              <w:bottom w:val="single" w:color="auto" w:sz="4" w:space="0"/>
              <w:right w:val="single" w:color="auto" w:sz="4" w:space="0"/>
            </w:tcBorders>
            <w:vAlign w:val="center"/>
          </w:tcPr>
          <w:p w14:paraId="54CF4097"/>
        </w:tc>
        <w:tc>
          <w:tcPr>
            <w:tcW w:w="1930" w:type="dxa"/>
            <w:tcBorders>
              <w:top w:val="single" w:color="auto" w:sz="4" w:space="0"/>
              <w:left w:val="nil"/>
              <w:bottom w:val="single" w:color="auto" w:sz="4" w:space="0"/>
              <w:right w:val="single" w:color="auto" w:sz="4" w:space="0"/>
            </w:tcBorders>
            <w:vAlign w:val="center"/>
          </w:tcPr>
          <w:p w14:paraId="159370FB"/>
        </w:tc>
        <w:tc>
          <w:tcPr>
            <w:tcW w:w="2600" w:type="dxa"/>
            <w:tcBorders>
              <w:top w:val="single" w:color="auto" w:sz="4" w:space="0"/>
              <w:left w:val="nil"/>
              <w:bottom w:val="single" w:color="auto" w:sz="4" w:space="0"/>
              <w:right w:val="single" w:color="auto" w:sz="4" w:space="0"/>
            </w:tcBorders>
            <w:vAlign w:val="center"/>
          </w:tcPr>
          <w:p w14:paraId="0F79C402"/>
        </w:tc>
        <w:tc>
          <w:tcPr>
            <w:tcW w:w="1482" w:type="dxa"/>
            <w:tcBorders>
              <w:top w:val="single" w:color="auto" w:sz="4" w:space="0"/>
              <w:left w:val="nil"/>
              <w:bottom w:val="single" w:color="auto" w:sz="4" w:space="0"/>
              <w:right w:val="single" w:color="auto" w:sz="4" w:space="0"/>
            </w:tcBorders>
            <w:vAlign w:val="center"/>
          </w:tcPr>
          <w:p w14:paraId="2272DD8F"/>
        </w:tc>
        <w:tc>
          <w:tcPr>
            <w:tcW w:w="1454" w:type="dxa"/>
            <w:tcBorders>
              <w:top w:val="single" w:color="auto" w:sz="4" w:space="0"/>
              <w:left w:val="nil"/>
              <w:bottom w:val="single" w:color="auto" w:sz="4" w:space="0"/>
              <w:right w:val="single" w:color="auto" w:sz="4" w:space="0"/>
            </w:tcBorders>
            <w:vAlign w:val="center"/>
          </w:tcPr>
          <w:p w14:paraId="7C086107"/>
        </w:tc>
      </w:tr>
      <w:tr w14:paraId="315B3E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01" w:type="dxa"/>
            <w:vMerge w:val="continue"/>
            <w:tcBorders>
              <w:top w:val="nil"/>
              <w:left w:val="single" w:color="auto" w:sz="4" w:space="0"/>
              <w:bottom w:val="single" w:color="auto" w:sz="4" w:space="0"/>
              <w:right w:val="single" w:color="auto" w:sz="4" w:space="0"/>
            </w:tcBorders>
            <w:vAlign w:val="center"/>
          </w:tcPr>
          <w:p w14:paraId="281C1C57"/>
        </w:tc>
        <w:tc>
          <w:tcPr>
            <w:tcW w:w="952" w:type="dxa"/>
            <w:tcBorders>
              <w:top w:val="single" w:color="auto" w:sz="4" w:space="0"/>
              <w:left w:val="nil"/>
              <w:bottom w:val="single" w:color="auto" w:sz="4" w:space="0"/>
              <w:right w:val="single" w:color="auto" w:sz="4" w:space="0"/>
            </w:tcBorders>
          </w:tcPr>
          <w:p w14:paraId="07671236"/>
        </w:tc>
        <w:tc>
          <w:tcPr>
            <w:tcW w:w="1343" w:type="dxa"/>
            <w:tcBorders>
              <w:top w:val="single" w:color="auto" w:sz="4" w:space="0"/>
              <w:left w:val="single" w:color="auto" w:sz="4" w:space="0"/>
              <w:bottom w:val="single" w:color="auto" w:sz="4" w:space="0"/>
              <w:right w:val="single" w:color="auto" w:sz="4" w:space="0"/>
            </w:tcBorders>
            <w:vAlign w:val="center"/>
          </w:tcPr>
          <w:p w14:paraId="7DEBEC01"/>
        </w:tc>
        <w:tc>
          <w:tcPr>
            <w:tcW w:w="1420" w:type="dxa"/>
            <w:tcBorders>
              <w:top w:val="single" w:color="auto" w:sz="4" w:space="0"/>
              <w:left w:val="nil"/>
              <w:bottom w:val="single" w:color="auto" w:sz="4" w:space="0"/>
              <w:right w:val="single" w:color="auto" w:sz="4" w:space="0"/>
            </w:tcBorders>
            <w:vAlign w:val="center"/>
          </w:tcPr>
          <w:p w14:paraId="2FA9214B"/>
        </w:tc>
        <w:tc>
          <w:tcPr>
            <w:tcW w:w="1100" w:type="dxa"/>
            <w:tcBorders>
              <w:top w:val="single" w:color="auto" w:sz="4" w:space="0"/>
              <w:left w:val="nil"/>
              <w:bottom w:val="single" w:color="auto" w:sz="4" w:space="0"/>
              <w:right w:val="single" w:color="auto" w:sz="4" w:space="0"/>
            </w:tcBorders>
            <w:vAlign w:val="center"/>
          </w:tcPr>
          <w:p w14:paraId="6A492106"/>
        </w:tc>
        <w:tc>
          <w:tcPr>
            <w:tcW w:w="1930" w:type="dxa"/>
            <w:tcBorders>
              <w:top w:val="single" w:color="auto" w:sz="4" w:space="0"/>
              <w:left w:val="nil"/>
              <w:bottom w:val="single" w:color="auto" w:sz="4" w:space="0"/>
              <w:right w:val="single" w:color="auto" w:sz="4" w:space="0"/>
            </w:tcBorders>
            <w:vAlign w:val="center"/>
          </w:tcPr>
          <w:p w14:paraId="6A947462"/>
        </w:tc>
        <w:tc>
          <w:tcPr>
            <w:tcW w:w="2600" w:type="dxa"/>
            <w:tcBorders>
              <w:top w:val="single" w:color="auto" w:sz="4" w:space="0"/>
              <w:left w:val="nil"/>
              <w:bottom w:val="single" w:color="auto" w:sz="4" w:space="0"/>
              <w:right w:val="single" w:color="auto" w:sz="4" w:space="0"/>
            </w:tcBorders>
            <w:vAlign w:val="center"/>
          </w:tcPr>
          <w:p w14:paraId="6503BEAE"/>
        </w:tc>
        <w:tc>
          <w:tcPr>
            <w:tcW w:w="1482" w:type="dxa"/>
            <w:tcBorders>
              <w:top w:val="single" w:color="auto" w:sz="4" w:space="0"/>
              <w:left w:val="nil"/>
              <w:bottom w:val="single" w:color="auto" w:sz="4" w:space="0"/>
              <w:right w:val="single" w:color="auto" w:sz="4" w:space="0"/>
            </w:tcBorders>
            <w:vAlign w:val="center"/>
          </w:tcPr>
          <w:p w14:paraId="7AA7E72E"/>
        </w:tc>
        <w:tc>
          <w:tcPr>
            <w:tcW w:w="1454" w:type="dxa"/>
            <w:tcBorders>
              <w:top w:val="single" w:color="auto" w:sz="4" w:space="0"/>
              <w:left w:val="nil"/>
              <w:bottom w:val="single" w:color="auto" w:sz="4" w:space="0"/>
              <w:right w:val="single" w:color="auto" w:sz="4" w:space="0"/>
            </w:tcBorders>
            <w:vAlign w:val="center"/>
          </w:tcPr>
          <w:p w14:paraId="5320A647"/>
        </w:tc>
      </w:tr>
      <w:tr w14:paraId="00F568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01" w:type="dxa"/>
            <w:vMerge w:val="continue"/>
            <w:tcBorders>
              <w:top w:val="nil"/>
              <w:left w:val="single" w:color="auto" w:sz="4" w:space="0"/>
              <w:bottom w:val="single" w:color="auto" w:sz="4" w:space="0"/>
              <w:right w:val="single" w:color="auto" w:sz="4" w:space="0"/>
            </w:tcBorders>
            <w:vAlign w:val="center"/>
          </w:tcPr>
          <w:p w14:paraId="5774457D"/>
        </w:tc>
        <w:tc>
          <w:tcPr>
            <w:tcW w:w="952" w:type="dxa"/>
            <w:tcBorders>
              <w:top w:val="single" w:color="auto" w:sz="4" w:space="0"/>
              <w:left w:val="nil"/>
              <w:bottom w:val="single" w:color="auto" w:sz="4" w:space="0"/>
              <w:right w:val="single" w:color="auto" w:sz="4" w:space="0"/>
            </w:tcBorders>
          </w:tcPr>
          <w:p w14:paraId="0B0D773F"/>
        </w:tc>
        <w:tc>
          <w:tcPr>
            <w:tcW w:w="1343" w:type="dxa"/>
            <w:tcBorders>
              <w:top w:val="single" w:color="auto" w:sz="4" w:space="0"/>
              <w:left w:val="single" w:color="auto" w:sz="4" w:space="0"/>
              <w:bottom w:val="single" w:color="auto" w:sz="4" w:space="0"/>
              <w:right w:val="single" w:color="auto" w:sz="4" w:space="0"/>
            </w:tcBorders>
            <w:vAlign w:val="center"/>
          </w:tcPr>
          <w:p w14:paraId="664F851E"/>
        </w:tc>
        <w:tc>
          <w:tcPr>
            <w:tcW w:w="1420" w:type="dxa"/>
            <w:tcBorders>
              <w:top w:val="single" w:color="auto" w:sz="4" w:space="0"/>
              <w:left w:val="nil"/>
              <w:bottom w:val="single" w:color="auto" w:sz="4" w:space="0"/>
              <w:right w:val="single" w:color="auto" w:sz="4" w:space="0"/>
            </w:tcBorders>
            <w:vAlign w:val="center"/>
          </w:tcPr>
          <w:p w14:paraId="1AEEE117"/>
        </w:tc>
        <w:tc>
          <w:tcPr>
            <w:tcW w:w="1100" w:type="dxa"/>
            <w:tcBorders>
              <w:top w:val="single" w:color="auto" w:sz="4" w:space="0"/>
              <w:left w:val="nil"/>
              <w:bottom w:val="single" w:color="auto" w:sz="4" w:space="0"/>
              <w:right w:val="single" w:color="auto" w:sz="4" w:space="0"/>
            </w:tcBorders>
            <w:vAlign w:val="center"/>
          </w:tcPr>
          <w:p w14:paraId="7B353CB0"/>
        </w:tc>
        <w:tc>
          <w:tcPr>
            <w:tcW w:w="1930" w:type="dxa"/>
            <w:tcBorders>
              <w:top w:val="single" w:color="auto" w:sz="4" w:space="0"/>
              <w:left w:val="nil"/>
              <w:bottom w:val="single" w:color="auto" w:sz="4" w:space="0"/>
              <w:right w:val="single" w:color="auto" w:sz="4" w:space="0"/>
            </w:tcBorders>
            <w:vAlign w:val="center"/>
          </w:tcPr>
          <w:p w14:paraId="5E7F3AE7"/>
        </w:tc>
        <w:tc>
          <w:tcPr>
            <w:tcW w:w="2600" w:type="dxa"/>
            <w:tcBorders>
              <w:top w:val="single" w:color="auto" w:sz="4" w:space="0"/>
              <w:left w:val="nil"/>
              <w:bottom w:val="single" w:color="auto" w:sz="4" w:space="0"/>
              <w:right w:val="single" w:color="auto" w:sz="4" w:space="0"/>
            </w:tcBorders>
            <w:vAlign w:val="center"/>
          </w:tcPr>
          <w:p w14:paraId="64D039EF"/>
        </w:tc>
        <w:tc>
          <w:tcPr>
            <w:tcW w:w="1482" w:type="dxa"/>
            <w:tcBorders>
              <w:top w:val="single" w:color="auto" w:sz="4" w:space="0"/>
              <w:left w:val="nil"/>
              <w:bottom w:val="single" w:color="auto" w:sz="4" w:space="0"/>
              <w:right w:val="single" w:color="auto" w:sz="4" w:space="0"/>
            </w:tcBorders>
            <w:vAlign w:val="center"/>
          </w:tcPr>
          <w:p w14:paraId="16682F8C"/>
        </w:tc>
        <w:tc>
          <w:tcPr>
            <w:tcW w:w="1454" w:type="dxa"/>
            <w:tcBorders>
              <w:top w:val="single" w:color="auto" w:sz="4" w:space="0"/>
              <w:left w:val="nil"/>
              <w:bottom w:val="single" w:color="auto" w:sz="4" w:space="0"/>
              <w:right w:val="single" w:color="auto" w:sz="4" w:space="0"/>
            </w:tcBorders>
            <w:vAlign w:val="center"/>
          </w:tcPr>
          <w:p w14:paraId="1A82D47B"/>
        </w:tc>
      </w:tr>
      <w:tr w14:paraId="3BB09D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01" w:type="dxa"/>
            <w:vMerge w:val="continue"/>
            <w:tcBorders>
              <w:top w:val="nil"/>
              <w:left w:val="single" w:color="auto" w:sz="4" w:space="0"/>
              <w:bottom w:val="single" w:color="auto" w:sz="4" w:space="0"/>
              <w:right w:val="single" w:color="auto" w:sz="4" w:space="0"/>
            </w:tcBorders>
            <w:vAlign w:val="center"/>
          </w:tcPr>
          <w:p w14:paraId="201BE75F"/>
        </w:tc>
        <w:tc>
          <w:tcPr>
            <w:tcW w:w="952" w:type="dxa"/>
            <w:tcBorders>
              <w:top w:val="single" w:color="auto" w:sz="4" w:space="0"/>
              <w:left w:val="nil"/>
              <w:bottom w:val="single" w:color="auto" w:sz="4" w:space="0"/>
              <w:right w:val="single" w:color="auto" w:sz="4" w:space="0"/>
            </w:tcBorders>
          </w:tcPr>
          <w:p w14:paraId="095115B1"/>
        </w:tc>
        <w:tc>
          <w:tcPr>
            <w:tcW w:w="1343" w:type="dxa"/>
            <w:tcBorders>
              <w:top w:val="single" w:color="auto" w:sz="4" w:space="0"/>
              <w:left w:val="single" w:color="auto" w:sz="4" w:space="0"/>
              <w:bottom w:val="single" w:color="auto" w:sz="4" w:space="0"/>
              <w:right w:val="single" w:color="auto" w:sz="4" w:space="0"/>
            </w:tcBorders>
            <w:vAlign w:val="center"/>
          </w:tcPr>
          <w:p w14:paraId="79917B4A"/>
        </w:tc>
        <w:tc>
          <w:tcPr>
            <w:tcW w:w="1420" w:type="dxa"/>
            <w:tcBorders>
              <w:top w:val="single" w:color="auto" w:sz="4" w:space="0"/>
              <w:left w:val="nil"/>
              <w:bottom w:val="single" w:color="auto" w:sz="4" w:space="0"/>
              <w:right w:val="single" w:color="auto" w:sz="4" w:space="0"/>
            </w:tcBorders>
            <w:vAlign w:val="center"/>
          </w:tcPr>
          <w:p w14:paraId="794831CC"/>
        </w:tc>
        <w:tc>
          <w:tcPr>
            <w:tcW w:w="1100" w:type="dxa"/>
            <w:tcBorders>
              <w:top w:val="single" w:color="auto" w:sz="4" w:space="0"/>
              <w:left w:val="nil"/>
              <w:bottom w:val="single" w:color="auto" w:sz="4" w:space="0"/>
              <w:right w:val="single" w:color="auto" w:sz="4" w:space="0"/>
            </w:tcBorders>
            <w:vAlign w:val="center"/>
          </w:tcPr>
          <w:p w14:paraId="62744DFC"/>
        </w:tc>
        <w:tc>
          <w:tcPr>
            <w:tcW w:w="1930" w:type="dxa"/>
            <w:tcBorders>
              <w:top w:val="single" w:color="auto" w:sz="4" w:space="0"/>
              <w:left w:val="nil"/>
              <w:bottom w:val="single" w:color="auto" w:sz="4" w:space="0"/>
              <w:right w:val="single" w:color="auto" w:sz="4" w:space="0"/>
            </w:tcBorders>
            <w:vAlign w:val="center"/>
          </w:tcPr>
          <w:p w14:paraId="12CF3443"/>
        </w:tc>
        <w:tc>
          <w:tcPr>
            <w:tcW w:w="2600" w:type="dxa"/>
            <w:tcBorders>
              <w:top w:val="single" w:color="auto" w:sz="4" w:space="0"/>
              <w:left w:val="nil"/>
              <w:bottom w:val="single" w:color="auto" w:sz="4" w:space="0"/>
              <w:right w:val="single" w:color="auto" w:sz="4" w:space="0"/>
            </w:tcBorders>
            <w:vAlign w:val="center"/>
          </w:tcPr>
          <w:p w14:paraId="3BBAB08C"/>
        </w:tc>
        <w:tc>
          <w:tcPr>
            <w:tcW w:w="1482" w:type="dxa"/>
            <w:tcBorders>
              <w:top w:val="single" w:color="auto" w:sz="4" w:space="0"/>
              <w:left w:val="nil"/>
              <w:bottom w:val="single" w:color="auto" w:sz="4" w:space="0"/>
              <w:right w:val="single" w:color="auto" w:sz="4" w:space="0"/>
            </w:tcBorders>
            <w:vAlign w:val="center"/>
          </w:tcPr>
          <w:p w14:paraId="2408761F"/>
        </w:tc>
        <w:tc>
          <w:tcPr>
            <w:tcW w:w="1454" w:type="dxa"/>
            <w:tcBorders>
              <w:top w:val="single" w:color="auto" w:sz="4" w:space="0"/>
              <w:left w:val="nil"/>
              <w:bottom w:val="single" w:color="auto" w:sz="4" w:space="0"/>
              <w:right w:val="single" w:color="auto" w:sz="4" w:space="0"/>
            </w:tcBorders>
            <w:vAlign w:val="center"/>
          </w:tcPr>
          <w:p w14:paraId="6BEB2814"/>
        </w:tc>
      </w:tr>
      <w:tr w14:paraId="24B7F6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01" w:type="dxa"/>
            <w:vMerge w:val="continue"/>
            <w:tcBorders>
              <w:top w:val="nil"/>
              <w:left w:val="single" w:color="auto" w:sz="4" w:space="0"/>
              <w:bottom w:val="single" w:color="auto" w:sz="4" w:space="0"/>
              <w:right w:val="single" w:color="auto" w:sz="4" w:space="0"/>
            </w:tcBorders>
            <w:vAlign w:val="center"/>
          </w:tcPr>
          <w:p w14:paraId="31A92E79"/>
        </w:tc>
        <w:tc>
          <w:tcPr>
            <w:tcW w:w="952" w:type="dxa"/>
            <w:tcBorders>
              <w:top w:val="single" w:color="auto" w:sz="4" w:space="0"/>
              <w:left w:val="nil"/>
              <w:bottom w:val="single" w:color="auto" w:sz="4" w:space="0"/>
              <w:right w:val="single" w:color="auto" w:sz="4" w:space="0"/>
            </w:tcBorders>
          </w:tcPr>
          <w:p w14:paraId="4EB2CAE3"/>
        </w:tc>
        <w:tc>
          <w:tcPr>
            <w:tcW w:w="1343" w:type="dxa"/>
            <w:tcBorders>
              <w:top w:val="single" w:color="auto" w:sz="4" w:space="0"/>
              <w:left w:val="single" w:color="auto" w:sz="4" w:space="0"/>
              <w:bottom w:val="single" w:color="auto" w:sz="4" w:space="0"/>
              <w:right w:val="single" w:color="auto" w:sz="4" w:space="0"/>
            </w:tcBorders>
            <w:vAlign w:val="center"/>
          </w:tcPr>
          <w:p w14:paraId="6B40262D"/>
        </w:tc>
        <w:tc>
          <w:tcPr>
            <w:tcW w:w="1420" w:type="dxa"/>
            <w:tcBorders>
              <w:top w:val="single" w:color="auto" w:sz="4" w:space="0"/>
              <w:left w:val="nil"/>
              <w:bottom w:val="single" w:color="auto" w:sz="4" w:space="0"/>
              <w:right w:val="single" w:color="auto" w:sz="4" w:space="0"/>
            </w:tcBorders>
            <w:vAlign w:val="center"/>
          </w:tcPr>
          <w:p w14:paraId="29ACE99E"/>
        </w:tc>
        <w:tc>
          <w:tcPr>
            <w:tcW w:w="1100" w:type="dxa"/>
            <w:tcBorders>
              <w:top w:val="single" w:color="auto" w:sz="4" w:space="0"/>
              <w:left w:val="nil"/>
              <w:bottom w:val="single" w:color="auto" w:sz="4" w:space="0"/>
              <w:right w:val="single" w:color="auto" w:sz="4" w:space="0"/>
            </w:tcBorders>
            <w:vAlign w:val="center"/>
          </w:tcPr>
          <w:p w14:paraId="26018A0F"/>
        </w:tc>
        <w:tc>
          <w:tcPr>
            <w:tcW w:w="1930" w:type="dxa"/>
            <w:tcBorders>
              <w:top w:val="single" w:color="auto" w:sz="4" w:space="0"/>
              <w:left w:val="nil"/>
              <w:bottom w:val="single" w:color="auto" w:sz="4" w:space="0"/>
              <w:right w:val="single" w:color="auto" w:sz="4" w:space="0"/>
            </w:tcBorders>
            <w:vAlign w:val="center"/>
          </w:tcPr>
          <w:p w14:paraId="14A9C723"/>
        </w:tc>
        <w:tc>
          <w:tcPr>
            <w:tcW w:w="2600" w:type="dxa"/>
            <w:tcBorders>
              <w:top w:val="single" w:color="auto" w:sz="4" w:space="0"/>
              <w:left w:val="nil"/>
              <w:bottom w:val="single" w:color="auto" w:sz="4" w:space="0"/>
              <w:right w:val="single" w:color="auto" w:sz="4" w:space="0"/>
            </w:tcBorders>
            <w:vAlign w:val="center"/>
          </w:tcPr>
          <w:p w14:paraId="4BEC4C63"/>
        </w:tc>
        <w:tc>
          <w:tcPr>
            <w:tcW w:w="1482" w:type="dxa"/>
            <w:tcBorders>
              <w:top w:val="single" w:color="auto" w:sz="4" w:space="0"/>
              <w:left w:val="nil"/>
              <w:bottom w:val="single" w:color="auto" w:sz="4" w:space="0"/>
              <w:right w:val="single" w:color="auto" w:sz="4" w:space="0"/>
            </w:tcBorders>
            <w:vAlign w:val="center"/>
          </w:tcPr>
          <w:p w14:paraId="148D4E8C"/>
        </w:tc>
        <w:tc>
          <w:tcPr>
            <w:tcW w:w="1454" w:type="dxa"/>
            <w:tcBorders>
              <w:top w:val="single" w:color="auto" w:sz="4" w:space="0"/>
              <w:left w:val="nil"/>
              <w:bottom w:val="single" w:color="auto" w:sz="4" w:space="0"/>
              <w:right w:val="single" w:color="auto" w:sz="4" w:space="0"/>
            </w:tcBorders>
            <w:vAlign w:val="center"/>
          </w:tcPr>
          <w:p w14:paraId="555A06C2"/>
        </w:tc>
      </w:tr>
      <w:tr w14:paraId="7ED5D8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01" w:type="dxa"/>
            <w:vMerge w:val="continue"/>
            <w:tcBorders>
              <w:top w:val="nil"/>
              <w:left w:val="single" w:color="auto" w:sz="4" w:space="0"/>
              <w:bottom w:val="single" w:color="auto" w:sz="4" w:space="0"/>
              <w:right w:val="single" w:color="auto" w:sz="4" w:space="0"/>
            </w:tcBorders>
            <w:vAlign w:val="center"/>
          </w:tcPr>
          <w:p w14:paraId="649BB50F"/>
        </w:tc>
        <w:tc>
          <w:tcPr>
            <w:tcW w:w="952" w:type="dxa"/>
            <w:tcBorders>
              <w:top w:val="single" w:color="auto" w:sz="4" w:space="0"/>
              <w:left w:val="nil"/>
              <w:bottom w:val="single" w:color="auto" w:sz="4" w:space="0"/>
              <w:right w:val="single" w:color="auto" w:sz="4" w:space="0"/>
            </w:tcBorders>
          </w:tcPr>
          <w:p w14:paraId="5CD660E1"/>
        </w:tc>
        <w:tc>
          <w:tcPr>
            <w:tcW w:w="1343" w:type="dxa"/>
            <w:tcBorders>
              <w:top w:val="single" w:color="auto" w:sz="4" w:space="0"/>
              <w:left w:val="single" w:color="auto" w:sz="4" w:space="0"/>
              <w:bottom w:val="single" w:color="auto" w:sz="4" w:space="0"/>
              <w:right w:val="single" w:color="auto" w:sz="4" w:space="0"/>
            </w:tcBorders>
            <w:vAlign w:val="center"/>
          </w:tcPr>
          <w:p w14:paraId="37F40396"/>
        </w:tc>
        <w:tc>
          <w:tcPr>
            <w:tcW w:w="1420" w:type="dxa"/>
            <w:tcBorders>
              <w:top w:val="single" w:color="auto" w:sz="4" w:space="0"/>
              <w:left w:val="nil"/>
              <w:bottom w:val="single" w:color="auto" w:sz="4" w:space="0"/>
              <w:right w:val="single" w:color="auto" w:sz="4" w:space="0"/>
            </w:tcBorders>
            <w:vAlign w:val="center"/>
          </w:tcPr>
          <w:p w14:paraId="69974A7C"/>
        </w:tc>
        <w:tc>
          <w:tcPr>
            <w:tcW w:w="1100" w:type="dxa"/>
            <w:tcBorders>
              <w:top w:val="single" w:color="auto" w:sz="4" w:space="0"/>
              <w:left w:val="nil"/>
              <w:bottom w:val="single" w:color="auto" w:sz="4" w:space="0"/>
              <w:right w:val="single" w:color="auto" w:sz="4" w:space="0"/>
            </w:tcBorders>
            <w:vAlign w:val="center"/>
          </w:tcPr>
          <w:p w14:paraId="4F1E5998"/>
        </w:tc>
        <w:tc>
          <w:tcPr>
            <w:tcW w:w="1930" w:type="dxa"/>
            <w:tcBorders>
              <w:top w:val="single" w:color="auto" w:sz="4" w:space="0"/>
              <w:left w:val="nil"/>
              <w:bottom w:val="single" w:color="auto" w:sz="4" w:space="0"/>
              <w:right w:val="single" w:color="auto" w:sz="4" w:space="0"/>
            </w:tcBorders>
            <w:vAlign w:val="center"/>
          </w:tcPr>
          <w:p w14:paraId="4EB8023A"/>
        </w:tc>
        <w:tc>
          <w:tcPr>
            <w:tcW w:w="2600" w:type="dxa"/>
            <w:tcBorders>
              <w:top w:val="single" w:color="auto" w:sz="4" w:space="0"/>
              <w:left w:val="nil"/>
              <w:bottom w:val="single" w:color="auto" w:sz="4" w:space="0"/>
              <w:right w:val="single" w:color="auto" w:sz="4" w:space="0"/>
            </w:tcBorders>
            <w:vAlign w:val="center"/>
          </w:tcPr>
          <w:p w14:paraId="646F474C"/>
        </w:tc>
        <w:tc>
          <w:tcPr>
            <w:tcW w:w="1482" w:type="dxa"/>
            <w:tcBorders>
              <w:top w:val="single" w:color="auto" w:sz="4" w:space="0"/>
              <w:left w:val="nil"/>
              <w:bottom w:val="single" w:color="auto" w:sz="4" w:space="0"/>
              <w:right w:val="single" w:color="auto" w:sz="4" w:space="0"/>
            </w:tcBorders>
            <w:vAlign w:val="center"/>
          </w:tcPr>
          <w:p w14:paraId="6A3C61D8"/>
        </w:tc>
        <w:tc>
          <w:tcPr>
            <w:tcW w:w="1454" w:type="dxa"/>
            <w:tcBorders>
              <w:top w:val="single" w:color="auto" w:sz="4" w:space="0"/>
              <w:left w:val="nil"/>
              <w:bottom w:val="single" w:color="auto" w:sz="4" w:space="0"/>
              <w:right w:val="single" w:color="auto" w:sz="4" w:space="0"/>
            </w:tcBorders>
            <w:vAlign w:val="center"/>
          </w:tcPr>
          <w:p w14:paraId="582E031B"/>
        </w:tc>
      </w:tr>
    </w:tbl>
    <w:p w14:paraId="76D46D31">
      <w:pPr>
        <w:ind w:firstLine="361"/>
        <w:rPr>
          <w:sz w:val="18"/>
          <w:szCs w:val="18"/>
        </w:rPr>
      </w:pPr>
      <w:r>
        <w:rPr>
          <w:rFonts w:hint="eastAsia"/>
          <w:sz w:val="18"/>
          <w:szCs w:val="18"/>
        </w:rPr>
        <w:t>备注：</w:t>
      </w:r>
    </w:p>
    <w:p w14:paraId="505A6FBD">
      <w:pPr>
        <w:pStyle w:val="26"/>
        <w:numPr>
          <w:ilvl w:val="0"/>
          <w:numId w:val="8"/>
        </w:numPr>
        <w:ind w:firstLineChars="0"/>
        <w:rPr>
          <w:sz w:val="18"/>
          <w:szCs w:val="18"/>
        </w:rPr>
      </w:pPr>
      <w:r>
        <w:rPr>
          <w:rFonts w:hint="eastAsia"/>
          <w:sz w:val="18"/>
          <w:szCs w:val="18"/>
        </w:rPr>
        <w:t>我方承诺该工程的班组均使用上述相应的班组进场施工，若实际施工中需要调整施工班组的，在该分项施工前5天内重新上报更换的班组，并经项目部审核同意后进场施工。</w:t>
      </w:r>
    </w:p>
    <w:p w14:paraId="5E5A2008">
      <w:pPr>
        <w:pStyle w:val="26"/>
        <w:numPr>
          <w:ilvl w:val="0"/>
          <w:numId w:val="8"/>
        </w:numPr>
        <w:ind w:firstLineChars="0"/>
        <w:rPr>
          <w:sz w:val="18"/>
          <w:szCs w:val="18"/>
        </w:rPr>
      </w:pPr>
      <w:r>
        <w:rPr>
          <w:rFonts w:hint="eastAsia"/>
          <w:sz w:val="18"/>
          <w:szCs w:val="18"/>
        </w:rPr>
        <w:t>若进场施工班组与汇总表不一致，我方同意威建一公司扣除该楼相应分项工程合同总价款的5%作为违约金，同时承担因更换班组给贵方带来一切损失。</w:t>
      </w:r>
    </w:p>
    <w:p w14:paraId="60D8766D">
      <w:pPr>
        <w:pStyle w:val="26"/>
        <w:numPr>
          <w:ilvl w:val="0"/>
          <w:numId w:val="8"/>
        </w:numPr>
        <w:ind w:firstLineChars="0"/>
        <w:rPr>
          <w:sz w:val="18"/>
          <w:szCs w:val="18"/>
        </w:rPr>
      </w:pPr>
      <w:r>
        <w:rPr>
          <w:rFonts w:hint="eastAsia"/>
          <w:sz w:val="18"/>
          <w:szCs w:val="18"/>
        </w:rPr>
        <w:t>施工过程中的任何时刻，在不满足工程进度及质量要求标准的前提下，项目部有随时解除劳务合同或更换劳务班组的权利，且我方劳务为此承担所产生的一切经济损失（包括但不限于不合格分项的维修费用，更换班组等原因所产生的赶工费用等）。</w:t>
      </w:r>
    </w:p>
    <w:p w14:paraId="1085A004">
      <w:pPr>
        <w:rPr>
          <w:rFonts w:ascii="Times New Roman" w:hAnsi="Times New Roman"/>
          <w:sz w:val="21"/>
          <w:szCs w:val="21"/>
        </w:rPr>
      </w:pPr>
      <w:r>
        <w:rPr>
          <w:rFonts w:hint="eastAsia"/>
          <w:sz w:val="21"/>
          <w:szCs w:val="21"/>
        </w:rPr>
        <w:t>劳务公司（签章）：</w:t>
      </w:r>
    </w:p>
    <w:p w14:paraId="505566E2">
      <w:pPr>
        <w:rPr>
          <w:sz w:val="21"/>
          <w:szCs w:val="21"/>
        </w:rPr>
      </w:pPr>
      <w:r>
        <w:rPr>
          <w:rFonts w:hint="eastAsia"/>
          <w:sz w:val="21"/>
          <w:szCs w:val="21"/>
        </w:rPr>
        <w:t>日   期：</w:t>
      </w:r>
    </w:p>
    <w:p w14:paraId="2CC313A8"/>
    <w:p w14:paraId="5B66292A"/>
    <w:sectPr>
      <w:headerReference r:id="rId11" w:type="default"/>
      <w:footerReference r:id="rId12" w:type="default"/>
      <w:pgSz w:w="16838" w:h="11906" w:orient="landscape"/>
      <w:pgMar w:top="720" w:right="720" w:bottom="720" w:left="720" w:header="720" w:footer="720" w:gutter="0"/>
      <w:pgNumType w:fmt="decimalFullWidth"/>
      <w:cols w:space="720" w:num="1"/>
      <w:docGrid w:type="linesAndChars" w:linePitch="286"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roman"/>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Garamond">
    <w:panose1 w:val="02020404030301010803"/>
    <w:charset w:val="00"/>
    <w:family w:val="roman"/>
    <w:pitch w:val="default"/>
    <w:sig w:usb0="00000287" w:usb1="00000000" w:usb2="00000000" w:usb3="00000000" w:csb0="0000009F" w:csb1="DFD70000"/>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modern"/>
    <w:pitch w:val="default"/>
    <w:sig w:usb0="800002BF" w:usb1="38CF7CFA" w:usb2="00000016" w:usb3="00000000" w:csb0="00040001" w:csb1="00000000"/>
  </w:font>
  <w:font w:name="Cambria Math">
    <w:panose1 w:val="02040503050406030204"/>
    <w:charset w:val="00"/>
    <w:family w:val="roman"/>
    <w:pitch w:val="default"/>
    <w:sig w:usb0="E00006FF" w:usb1="420024FF" w:usb2="02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6A5580">
    <w:pPr>
      <w:pStyle w:val="7"/>
      <w:ind w:firstLine="3060"/>
    </w:pPr>
  </w:p>
  <w:p w14:paraId="0E726224">
    <w:pPr>
      <w:pStyle w:val="7"/>
      <w:ind w:firstLine="3060"/>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23851472">
                          <w:pPr>
                            <w:pStyle w:val="7"/>
                          </w:pPr>
                          <w:r>
                            <w:fldChar w:fldCharType="begin"/>
                          </w:r>
                          <w:r>
                            <w:instrText xml:space="preserve"> PAGE  \* MERGEFORMAT </w:instrText>
                          </w:r>
                          <w:r>
                            <w:fldChar w:fldCharType="separate"/>
                          </w:r>
                          <w:r>
                            <w:rPr>
                              <w:rFonts w:hint="eastAsia"/>
                            </w:rPr>
                            <w:t>８</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B4HF0wAgAAYw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QxQHSzMMBESn3p0Qrtvh34&#10;7E1xBk1n+jnxlm9qlLJlPjwwh8FA+Xg64R5LKQ1SmsGipDLuy7/OYzz6BS8lDQYtpxrvihL5XqOP&#10;AAyj4UZjPxr6qO4MJhe9QS2diQsuyNEsnVGf8Z5WMQdcTHNkymkYzbvQDzveIxerVReEybMsbPXO&#10;8ggd5fF2dQyQs1M5itIrge7EDWav69PwTuJw/7nvoh7/Dcvf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AAAAAGRycy9QSwECFAAUAAAACACH&#10;TuJAs0lY7tAAAAAFAQAADwAAAAAAAAABACAAAAAiAAAAZHJzL2Rvd25yZXYueG1sUEsBAhQAFAAA&#10;AAgAh07iQFB4HF0wAgAAYwQAAA4AAAAAAAAAAQAgAAAAHwEAAGRycy9lMm9Eb2MueG1sUEsFBgAA&#10;AAAGAAYAWQEAAMEFAAAAAA==&#10;">
              <v:fill on="f" focussize="0,0"/>
              <v:stroke on="f" weight="0.5pt"/>
              <v:imagedata o:title=""/>
              <o:lock v:ext="edit" aspectratio="f"/>
              <v:textbox inset="0mm,0mm,0mm,0mm" style="mso-fit-shape-to-text:t;">
                <w:txbxContent>
                  <w:p w14:paraId="23851472">
                    <w:pPr>
                      <w:pStyle w:val="7"/>
                    </w:pPr>
                    <w:r>
                      <w:fldChar w:fldCharType="begin"/>
                    </w:r>
                    <w:r>
                      <w:instrText xml:space="preserve"> PAGE  \* MERGEFORMAT </w:instrText>
                    </w:r>
                    <w:r>
                      <w:fldChar w:fldCharType="separate"/>
                    </w:r>
                    <w:r>
                      <w:rPr>
                        <w:rFonts w:hint="eastAsia"/>
                      </w:rPr>
                      <w:t>８</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C99B28">
    <w:pPr>
      <w:pStyle w:val="7"/>
      <w:ind w:firstLine="3060"/>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58120023">
                          <w:pPr>
                            <w:pStyle w:val="7"/>
                          </w:pPr>
                          <w:r>
                            <w:fldChar w:fldCharType="begin"/>
                          </w:r>
                          <w:r>
                            <w:instrText xml:space="preserve"> PAGE  \* MERGEFORMAT </w:instrText>
                          </w:r>
                          <w:r>
                            <w:fldChar w:fldCharType="separate"/>
                          </w:r>
                          <w:r>
                            <w:rPr>
                              <w:rFonts w:hint="eastAsia"/>
                            </w:rPr>
                            <w:t>２２</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NIka7DICAABjBAAADgAAAAAAAAABACAAAAAfAQAAZHJzL2Uyb0RvYy54bWxQSwUG&#10;AAAAAAYABgBZAQAAwwUAAAAA&#10;">
              <v:fill on="f" focussize="0,0"/>
              <v:stroke on="f" weight="0.5pt"/>
              <v:imagedata o:title=""/>
              <o:lock v:ext="edit" aspectratio="f"/>
              <v:textbox inset="0mm,0mm,0mm,0mm" style="mso-fit-shape-to-text:t;">
                <w:txbxContent>
                  <w:p w14:paraId="58120023">
                    <w:pPr>
                      <w:pStyle w:val="7"/>
                    </w:pPr>
                    <w:r>
                      <w:fldChar w:fldCharType="begin"/>
                    </w:r>
                    <w:r>
                      <w:instrText xml:space="preserve"> PAGE  \* MERGEFORMAT </w:instrText>
                    </w:r>
                    <w:r>
                      <w:fldChar w:fldCharType="separate"/>
                    </w:r>
                    <w:r>
                      <w:rPr>
                        <w:rFonts w:hint="eastAsia"/>
                      </w:rPr>
                      <w:t>２２</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2CFFB8">
    <w:pPr>
      <w:pStyle w:val="7"/>
      <w:ind w:firstLine="3060"/>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037B71A6">
                          <w:pPr>
                            <w:pStyle w:val="7"/>
                          </w:pPr>
                          <w:r>
                            <w:fldChar w:fldCharType="begin"/>
                          </w:r>
                          <w:r>
                            <w:instrText xml:space="preserve"> PAGE  \* MERGEFORMAT </w:instrText>
                          </w:r>
                          <w:r>
                            <w:fldChar w:fldCharType="separate"/>
                          </w:r>
                          <w:r>
                            <w:rPr>
                              <w:rFonts w:hint="eastAsia"/>
                            </w:rPr>
                            <w:t>３８</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2Zxg5DICAABjBAAADgAAAAAAAAABACAAAAAfAQAAZHJzL2Uyb0RvYy54bWxQSwUG&#10;AAAAAAYABgBZAQAAwwUAAAAA&#10;">
              <v:fill on="f" focussize="0,0"/>
              <v:stroke on="f" weight="0.5pt"/>
              <v:imagedata o:title=""/>
              <o:lock v:ext="edit" aspectratio="f"/>
              <v:textbox inset="0mm,0mm,0mm,0mm" style="mso-fit-shape-to-text:t;">
                <w:txbxContent>
                  <w:p w14:paraId="037B71A6">
                    <w:pPr>
                      <w:pStyle w:val="7"/>
                    </w:pPr>
                    <w:r>
                      <w:fldChar w:fldCharType="begin"/>
                    </w:r>
                    <w:r>
                      <w:instrText xml:space="preserve"> PAGE  \* MERGEFORMAT </w:instrText>
                    </w:r>
                    <w:r>
                      <w:fldChar w:fldCharType="separate"/>
                    </w:r>
                    <w:r>
                      <w:rPr>
                        <w:rFonts w:hint="eastAsia"/>
                      </w:rPr>
                      <w:t>３８</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27B6D3">
    <w:pPr>
      <w:pStyle w:val="7"/>
      <w:ind w:firstLine="361"/>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6D8CD896">
                          <w:pPr>
                            <w:pStyle w:val="7"/>
                          </w:pPr>
                          <w:r>
                            <w:fldChar w:fldCharType="begin"/>
                          </w:r>
                          <w:r>
                            <w:instrText xml:space="preserve"> PAGE  \* MERGEFORMAT </w:instrText>
                          </w:r>
                          <w:r>
                            <w:fldChar w:fldCharType="separate"/>
                          </w:r>
                          <w:r>
                            <w:rPr>
                              <w:rFonts w:hint="eastAsia"/>
                            </w:rPr>
                            <w:t>３９</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AAAAAGRycy9QSwECFAAUAAAACACH&#10;TuJAs0lY7tAAAAAFAQAADwAAAAAAAAABACAAAAAiAAAAZHJzL2Rvd25yZXYueG1sUEsBAhQAFAAA&#10;AAgAh07iQA8V5Q0wAgAAYwQAAA4AAAAAAAAAAQAgAAAAHwEAAGRycy9lMm9Eb2MueG1sUEsFBgAA&#10;AAAGAAYAWQEAAMEFAAAAAA==&#10;">
              <v:fill on="f" focussize="0,0"/>
              <v:stroke on="f" weight="0.5pt"/>
              <v:imagedata o:title=""/>
              <o:lock v:ext="edit" aspectratio="f"/>
              <v:textbox inset="0mm,0mm,0mm,0mm" style="mso-fit-shape-to-text:t;">
                <w:txbxContent>
                  <w:p w14:paraId="6D8CD896">
                    <w:pPr>
                      <w:pStyle w:val="7"/>
                    </w:pPr>
                    <w:r>
                      <w:fldChar w:fldCharType="begin"/>
                    </w:r>
                    <w:r>
                      <w:instrText xml:space="preserve"> PAGE  \* MERGEFORMAT </w:instrText>
                    </w:r>
                    <w:r>
                      <w:fldChar w:fldCharType="separate"/>
                    </w:r>
                    <w:r>
                      <w:rPr>
                        <w:rFonts w:hint="eastAsia"/>
                      </w:rPr>
                      <w:t>３９</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151742">
    <w:pPr>
      <w:pStyle w:val="8"/>
      <w:ind w:firstLine="3060"/>
    </w:pPr>
    <w:r>
      <w:t>·</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D1AC75">
    <w:pPr>
      <w:pStyle w:val="8"/>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233AED">
    <w:pPr>
      <w:pStyle w:val="8"/>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9B7121">
    <w:pPr>
      <w:pStyle w:val="8"/>
      <w:ind w:firstLine="361"/>
    </w:pPr>
    <w:r>
      <w: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1A2032E"/>
    <w:multiLevelType w:val="singleLevel"/>
    <w:tmpl w:val="C1A2032E"/>
    <w:lvl w:ilvl="0" w:tentative="0">
      <w:start w:val="1"/>
      <w:numFmt w:val="chineseCounting"/>
      <w:suff w:val="nothing"/>
      <w:lvlText w:val="%1、"/>
      <w:lvlJc w:val="left"/>
      <w:rPr>
        <w:rFonts w:hint="eastAsia"/>
      </w:rPr>
    </w:lvl>
  </w:abstractNum>
  <w:abstractNum w:abstractNumId="1">
    <w:nsid w:val="C62A774E"/>
    <w:multiLevelType w:val="singleLevel"/>
    <w:tmpl w:val="C62A774E"/>
    <w:lvl w:ilvl="0" w:tentative="0">
      <w:start w:val="3"/>
      <w:numFmt w:val="decimal"/>
      <w:suff w:val="nothing"/>
      <w:lvlText w:val="%1、"/>
      <w:lvlJc w:val="left"/>
      <w:pPr>
        <w:ind w:left="607" w:firstLine="0"/>
      </w:pPr>
    </w:lvl>
  </w:abstractNum>
  <w:abstractNum w:abstractNumId="2">
    <w:nsid w:val="E914CB47"/>
    <w:multiLevelType w:val="singleLevel"/>
    <w:tmpl w:val="E914CB47"/>
    <w:lvl w:ilvl="0" w:tentative="0">
      <w:start w:val="6"/>
      <w:numFmt w:val="chineseCounting"/>
      <w:suff w:val="nothing"/>
      <w:lvlText w:val="%1、"/>
      <w:lvlJc w:val="left"/>
      <w:rPr>
        <w:rFonts w:hint="eastAsia"/>
      </w:rPr>
    </w:lvl>
  </w:abstractNum>
  <w:abstractNum w:abstractNumId="3">
    <w:nsid w:val="F30B5441"/>
    <w:multiLevelType w:val="singleLevel"/>
    <w:tmpl w:val="F30B5441"/>
    <w:lvl w:ilvl="0" w:tentative="0">
      <w:start w:val="1"/>
      <w:numFmt w:val="decimal"/>
      <w:suff w:val="nothing"/>
      <w:lvlText w:val="（%1）"/>
      <w:lvlJc w:val="left"/>
    </w:lvl>
  </w:abstractNum>
  <w:abstractNum w:abstractNumId="4">
    <w:nsid w:val="115D8127"/>
    <w:multiLevelType w:val="singleLevel"/>
    <w:tmpl w:val="115D8127"/>
    <w:lvl w:ilvl="0" w:tentative="0">
      <w:start w:val="2"/>
      <w:numFmt w:val="chineseCounting"/>
      <w:suff w:val="nothing"/>
      <w:lvlText w:val="%1、"/>
      <w:lvlJc w:val="left"/>
      <w:rPr>
        <w:rFonts w:hint="eastAsia"/>
      </w:rPr>
    </w:lvl>
  </w:abstractNum>
  <w:abstractNum w:abstractNumId="5">
    <w:nsid w:val="23BBE5B4"/>
    <w:multiLevelType w:val="singleLevel"/>
    <w:tmpl w:val="23BBE5B4"/>
    <w:lvl w:ilvl="0" w:tentative="0">
      <w:start w:val="1"/>
      <w:numFmt w:val="decimal"/>
      <w:suff w:val="nothing"/>
      <w:lvlText w:val="%1、"/>
      <w:lvlJc w:val="left"/>
    </w:lvl>
  </w:abstractNum>
  <w:abstractNum w:abstractNumId="6">
    <w:nsid w:val="372B2091"/>
    <w:multiLevelType w:val="multilevel"/>
    <w:tmpl w:val="372B2091"/>
    <w:lvl w:ilvl="0" w:tentative="0">
      <w:start w:val="1"/>
      <w:numFmt w:val="japaneseCounting"/>
      <w:lvlText w:val="%1、"/>
      <w:lvlJc w:val="left"/>
      <w:pPr>
        <w:ind w:left="960" w:hanging="480"/>
      </w:pPr>
      <w:rPr>
        <w:rFonts w:hint="default"/>
      </w:rPr>
    </w:lvl>
    <w:lvl w:ilvl="1" w:tentative="0">
      <w:start w:val="1"/>
      <w:numFmt w:val="lowerLetter"/>
      <w:lvlText w:val="%2)"/>
      <w:lvlJc w:val="left"/>
      <w:pPr>
        <w:ind w:left="1360" w:hanging="440"/>
      </w:pPr>
    </w:lvl>
    <w:lvl w:ilvl="2" w:tentative="0">
      <w:start w:val="1"/>
      <w:numFmt w:val="lowerRoman"/>
      <w:lvlText w:val="%3."/>
      <w:lvlJc w:val="right"/>
      <w:pPr>
        <w:ind w:left="1800" w:hanging="440"/>
      </w:pPr>
    </w:lvl>
    <w:lvl w:ilvl="3" w:tentative="0">
      <w:start w:val="1"/>
      <w:numFmt w:val="decimal"/>
      <w:lvlText w:val="%4."/>
      <w:lvlJc w:val="left"/>
      <w:pPr>
        <w:ind w:left="2240" w:hanging="440"/>
      </w:pPr>
    </w:lvl>
    <w:lvl w:ilvl="4" w:tentative="0">
      <w:start w:val="1"/>
      <w:numFmt w:val="lowerLetter"/>
      <w:lvlText w:val="%5)"/>
      <w:lvlJc w:val="left"/>
      <w:pPr>
        <w:ind w:left="2680" w:hanging="440"/>
      </w:pPr>
    </w:lvl>
    <w:lvl w:ilvl="5" w:tentative="0">
      <w:start w:val="1"/>
      <w:numFmt w:val="lowerRoman"/>
      <w:lvlText w:val="%6."/>
      <w:lvlJc w:val="right"/>
      <w:pPr>
        <w:ind w:left="3120" w:hanging="440"/>
      </w:pPr>
    </w:lvl>
    <w:lvl w:ilvl="6" w:tentative="0">
      <w:start w:val="1"/>
      <w:numFmt w:val="decimal"/>
      <w:lvlText w:val="%7."/>
      <w:lvlJc w:val="left"/>
      <w:pPr>
        <w:ind w:left="3560" w:hanging="440"/>
      </w:pPr>
    </w:lvl>
    <w:lvl w:ilvl="7" w:tentative="0">
      <w:start w:val="1"/>
      <w:numFmt w:val="lowerLetter"/>
      <w:lvlText w:val="%8)"/>
      <w:lvlJc w:val="left"/>
      <w:pPr>
        <w:ind w:left="4000" w:hanging="440"/>
      </w:pPr>
    </w:lvl>
    <w:lvl w:ilvl="8" w:tentative="0">
      <w:start w:val="1"/>
      <w:numFmt w:val="lowerRoman"/>
      <w:lvlText w:val="%9."/>
      <w:lvlJc w:val="right"/>
      <w:pPr>
        <w:ind w:left="4440" w:hanging="440"/>
      </w:pPr>
    </w:lvl>
  </w:abstractNum>
  <w:abstractNum w:abstractNumId="7">
    <w:nsid w:val="6223130A"/>
    <w:multiLevelType w:val="multilevel"/>
    <w:tmpl w:val="6223130A"/>
    <w:lvl w:ilvl="0" w:tentative="0">
      <w:start w:val="1"/>
      <w:numFmt w:val="decimal"/>
      <w:suff w:val="nothing"/>
      <w:lvlText w:val="%1、"/>
      <w:lvlJc w:val="left"/>
      <w:pPr>
        <w:ind w:left="-105" w:firstLine="0"/>
      </w:pPr>
      <w:rPr>
        <w:rFonts w:hint="default" w:ascii="Times New Roman" w:hAnsi="Times New Roman" w:cs="Times New Roman"/>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num w:numId="1">
    <w:abstractNumId w:val="6"/>
  </w:num>
  <w:num w:numId="2">
    <w:abstractNumId w:val="2"/>
  </w:num>
  <w:num w:numId="3">
    <w:abstractNumId w:val="1"/>
  </w:num>
  <w:num w:numId="4">
    <w:abstractNumId w:val="3"/>
  </w:num>
  <w:num w:numId="5">
    <w:abstractNumId w:val="0"/>
  </w:num>
  <w:num w:numId="6">
    <w:abstractNumId w:val="4"/>
  </w:num>
  <w:num w:numId="7">
    <w:abstractNumId w:val="5"/>
  </w:num>
  <w:num w:numId="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displayBackgroundShape w:val="1"/>
  <w:bordersDoNotSurroundHeader w:val="0"/>
  <w:bordersDoNotSurroundFooter w:val="0"/>
  <w:documentProtection w:enforcement="0"/>
  <w:defaultTabStop w:val="420"/>
  <w:autoHyphenation/>
  <w:drawingGridHorizontalSpacing w:val="105"/>
  <w:displayHorizontalDrawingGridEvery w:val="1"/>
  <w:displayVerticalDrawingGridEvery w:val="1"/>
  <w:noPunctuationKerning w:val="1"/>
  <w:characterSpacingControl w:val="doNotCompress"/>
  <w:footnotePr>
    <w:footnote w:id="0"/>
    <w:footnote w:id="1"/>
  </w:footnotePr>
  <w:endnotePr>
    <w:endnote w:id="0"/>
    <w:endnote w:id="1"/>
  </w:endnotePr>
  <w:compat>
    <w:doNotExpandShiftReturn/>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WEwMjUxMTQ1YTYxNDE2NDRlYjM3YjZiMmJmNmM0OTAifQ=="/>
  </w:docVars>
  <w:rsids>
    <w:rsidRoot w:val="00673360"/>
    <w:rsid w:val="000022AF"/>
    <w:rsid w:val="00005389"/>
    <w:rsid w:val="00005FF5"/>
    <w:rsid w:val="000072DE"/>
    <w:rsid w:val="000104F1"/>
    <w:rsid w:val="00010E3C"/>
    <w:rsid w:val="0001472C"/>
    <w:rsid w:val="00015246"/>
    <w:rsid w:val="0002699C"/>
    <w:rsid w:val="00027CBF"/>
    <w:rsid w:val="0003502E"/>
    <w:rsid w:val="00040490"/>
    <w:rsid w:val="00040D29"/>
    <w:rsid w:val="000418B3"/>
    <w:rsid w:val="00043786"/>
    <w:rsid w:val="000438CC"/>
    <w:rsid w:val="00052108"/>
    <w:rsid w:val="00054726"/>
    <w:rsid w:val="000558B5"/>
    <w:rsid w:val="00063566"/>
    <w:rsid w:val="00064747"/>
    <w:rsid w:val="00070FC9"/>
    <w:rsid w:val="000730BD"/>
    <w:rsid w:val="000747EF"/>
    <w:rsid w:val="00075225"/>
    <w:rsid w:val="00080449"/>
    <w:rsid w:val="000812D0"/>
    <w:rsid w:val="00082430"/>
    <w:rsid w:val="000829DC"/>
    <w:rsid w:val="000845A6"/>
    <w:rsid w:val="00086096"/>
    <w:rsid w:val="00090921"/>
    <w:rsid w:val="00093AF3"/>
    <w:rsid w:val="00095A42"/>
    <w:rsid w:val="000A1038"/>
    <w:rsid w:val="000A6CE4"/>
    <w:rsid w:val="000B1AEF"/>
    <w:rsid w:val="000B4AD5"/>
    <w:rsid w:val="000B613C"/>
    <w:rsid w:val="000C1037"/>
    <w:rsid w:val="000C18E7"/>
    <w:rsid w:val="000C277B"/>
    <w:rsid w:val="000C5B80"/>
    <w:rsid w:val="000C6FAC"/>
    <w:rsid w:val="000D1B81"/>
    <w:rsid w:val="000D37EE"/>
    <w:rsid w:val="000D6BB5"/>
    <w:rsid w:val="000E0F2C"/>
    <w:rsid w:val="000E2B58"/>
    <w:rsid w:val="000E3868"/>
    <w:rsid w:val="000E3F61"/>
    <w:rsid w:val="000E49CF"/>
    <w:rsid w:val="000E53AC"/>
    <w:rsid w:val="000E799B"/>
    <w:rsid w:val="000F238E"/>
    <w:rsid w:val="000F2CED"/>
    <w:rsid w:val="000F3F79"/>
    <w:rsid w:val="000F49CD"/>
    <w:rsid w:val="000F64F7"/>
    <w:rsid w:val="001009F3"/>
    <w:rsid w:val="001039B8"/>
    <w:rsid w:val="00121039"/>
    <w:rsid w:val="0012197C"/>
    <w:rsid w:val="00121B70"/>
    <w:rsid w:val="00121EE5"/>
    <w:rsid w:val="001229B9"/>
    <w:rsid w:val="00125CCE"/>
    <w:rsid w:val="00126F09"/>
    <w:rsid w:val="00130E26"/>
    <w:rsid w:val="001353EE"/>
    <w:rsid w:val="00141B0C"/>
    <w:rsid w:val="00142830"/>
    <w:rsid w:val="00150FE0"/>
    <w:rsid w:val="0015257C"/>
    <w:rsid w:val="001548D9"/>
    <w:rsid w:val="00156B97"/>
    <w:rsid w:val="00160110"/>
    <w:rsid w:val="001607B3"/>
    <w:rsid w:val="00164A4D"/>
    <w:rsid w:val="00164DF3"/>
    <w:rsid w:val="001665E8"/>
    <w:rsid w:val="00173C1F"/>
    <w:rsid w:val="001754A4"/>
    <w:rsid w:val="001874FD"/>
    <w:rsid w:val="00192088"/>
    <w:rsid w:val="00192D59"/>
    <w:rsid w:val="00194B7B"/>
    <w:rsid w:val="001A0B94"/>
    <w:rsid w:val="001A446A"/>
    <w:rsid w:val="001B056E"/>
    <w:rsid w:val="001B1785"/>
    <w:rsid w:val="001B1AF3"/>
    <w:rsid w:val="001B349E"/>
    <w:rsid w:val="001B657E"/>
    <w:rsid w:val="001B7861"/>
    <w:rsid w:val="001C08EA"/>
    <w:rsid w:val="001C4436"/>
    <w:rsid w:val="001C57E5"/>
    <w:rsid w:val="001C7AA0"/>
    <w:rsid w:val="001D1A93"/>
    <w:rsid w:val="001E1625"/>
    <w:rsid w:val="001E2F0E"/>
    <w:rsid w:val="001E4C89"/>
    <w:rsid w:val="001E52BD"/>
    <w:rsid w:val="001E58DE"/>
    <w:rsid w:val="001E6FF1"/>
    <w:rsid w:val="001E785F"/>
    <w:rsid w:val="001F192C"/>
    <w:rsid w:val="00201BBD"/>
    <w:rsid w:val="00201E88"/>
    <w:rsid w:val="00202431"/>
    <w:rsid w:val="0020379F"/>
    <w:rsid w:val="00205AED"/>
    <w:rsid w:val="002166C6"/>
    <w:rsid w:val="00223995"/>
    <w:rsid w:val="00226BDF"/>
    <w:rsid w:val="00227BE8"/>
    <w:rsid w:val="00230755"/>
    <w:rsid w:val="00231A82"/>
    <w:rsid w:val="00231CC3"/>
    <w:rsid w:val="00236398"/>
    <w:rsid w:val="002413D2"/>
    <w:rsid w:val="00241B12"/>
    <w:rsid w:val="002501C2"/>
    <w:rsid w:val="00251814"/>
    <w:rsid w:val="00255EBA"/>
    <w:rsid w:val="002579AC"/>
    <w:rsid w:val="00257B89"/>
    <w:rsid w:val="0026324D"/>
    <w:rsid w:val="00264545"/>
    <w:rsid w:val="002645B1"/>
    <w:rsid w:val="0026631F"/>
    <w:rsid w:val="002675F5"/>
    <w:rsid w:val="002707DB"/>
    <w:rsid w:val="0027336B"/>
    <w:rsid w:val="00273E0F"/>
    <w:rsid w:val="0027644A"/>
    <w:rsid w:val="00283549"/>
    <w:rsid w:val="002877FA"/>
    <w:rsid w:val="00291EF8"/>
    <w:rsid w:val="002A2BCF"/>
    <w:rsid w:val="002A76F1"/>
    <w:rsid w:val="002B1508"/>
    <w:rsid w:val="002B1DFF"/>
    <w:rsid w:val="002B24CE"/>
    <w:rsid w:val="002B379C"/>
    <w:rsid w:val="002B7D05"/>
    <w:rsid w:val="002C4CC5"/>
    <w:rsid w:val="002C6EB4"/>
    <w:rsid w:val="002C7C56"/>
    <w:rsid w:val="002D4971"/>
    <w:rsid w:val="002E17F0"/>
    <w:rsid w:val="002E37C5"/>
    <w:rsid w:val="002E593B"/>
    <w:rsid w:val="002E7C73"/>
    <w:rsid w:val="002F26EA"/>
    <w:rsid w:val="002F6A4F"/>
    <w:rsid w:val="0030026F"/>
    <w:rsid w:val="0030121E"/>
    <w:rsid w:val="00301C2D"/>
    <w:rsid w:val="00304A92"/>
    <w:rsid w:val="00305777"/>
    <w:rsid w:val="00306A44"/>
    <w:rsid w:val="00311C4F"/>
    <w:rsid w:val="00312941"/>
    <w:rsid w:val="00312E4B"/>
    <w:rsid w:val="0031445A"/>
    <w:rsid w:val="00315C9B"/>
    <w:rsid w:val="00315CE3"/>
    <w:rsid w:val="0031745F"/>
    <w:rsid w:val="003240C5"/>
    <w:rsid w:val="00325317"/>
    <w:rsid w:val="00325E86"/>
    <w:rsid w:val="00326863"/>
    <w:rsid w:val="00330208"/>
    <w:rsid w:val="00334362"/>
    <w:rsid w:val="003358D1"/>
    <w:rsid w:val="00341C0B"/>
    <w:rsid w:val="00352C2F"/>
    <w:rsid w:val="00362FEB"/>
    <w:rsid w:val="00363DC7"/>
    <w:rsid w:val="003662BF"/>
    <w:rsid w:val="00370FD0"/>
    <w:rsid w:val="00371FC7"/>
    <w:rsid w:val="0037224F"/>
    <w:rsid w:val="00372509"/>
    <w:rsid w:val="00372751"/>
    <w:rsid w:val="00373B0B"/>
    <w:rsid w:val="00373C05"/>
    <w:rsid w:val="0037767E"/>
    <w:rsid w:val="003824EC"/>
    <w:rsid w:val="00386E60"/>
    <w:rsid w:val="00392B6A"/>
    <w:rsid w:val="00393218"/>
    <w:rsid w:val="00397060"/>
    <w:rsid w:val="003A4F9D"/>
    <w:rsid w:val="003A528D"/>
    <w:rsid w:val="003A55EF"/>
    <w:rsid w:val="003A6C1B"/>
    <w:rsid w:val="003B3CFB"/>
    <w:rsid w:val="003B3F11"/>
    <w:rsid w:val="003C0780"/>
    <w:rsid w:val="003C1D7E"/>
    <w:rsid w:val="003C70E8"/>
    <w:rsid w:val="003D4606"/>
    <w:rsid w:val="003D486F"/>
    <w:rsid w:val="003D76B6"/>
    <w:rsid w:val="003E0F36"/>
    <w:rsid w:val="003E2C8F"/>
    <w:rsid w:val="003E5891"/>
    <w:rsid w:val="003E7CC7"/>
    <w:rsid w:val="003F158C"/>
    <w:rsid w:val="003F475C"/>
    <w:rsid w:val="003F4840"/>
    <w:rsid w:val="003F492C"/>
    <w:rsid w:val="003F7F32"/>
    <w:rsid w:val="00403A1B"/>
    <w:rsid w:val="00404DCF"/>
    <w:rsid w:val="004102C6"/>
    <w:rsid w:val="00414B59"/>
    <w:rsid w:val="004201A7"/>
    <w:rsid w:val="004205B8"/>
    <w:rsid w:val="004211C6"/>
    <w:rsid w:val="004226BC"/>
    <w:rsid w:val="00424E39"/>
    <w:rsid w:val="004275E8"/>
    <w:rsid w:val="00432ACB"/>
    <w:rsid w:val="0043523F"/>
    <w:rsid w:val="0043697A"/>
    <w:rsid w:val="004405C4"/>
    <w:rsid w:val="00444F45"/>
    <w:rsid w:val="004455C6"/>
    <w:rsid w:val="00453036"/>
    <w:rsid w:val="004536C2"/>
    <w:rsid w:val="00455F73"/>
    <w:rsid w:val="004562BB"/>
    <w:rsid w:val="004562D3"/>
    <w:rsid w:val="004578BA"/>
    <w:rsid w:val="00457EAD"/>
    <w:rsid w:val="00460569"/>
    <w:rsid w:val="00464C42"/>
    <w:rsid w:val="004663C2"/>
    <w:rsid w:val="00466544"/>
    <w:rsid w:val="00466A13"/>
    <w:rsid w:val="00470760"/>
    <w:rsid w:val="0047210F"/>
    <w:rsid w:val="0047340D"/>
    <w:rsid w:val="00474A51"/>
    <w:rsid w:val="0048039D"/>
    <w:rsid w:val="00481F4E"/>
    <w:rsid w:val="00490825"/>
    <w:rsid w:val="00490D4D"/>
    <w:rsid w:val="00492F4B"/>
    <w:rsid w:val="00493EEC"/>
    <w:rsid w:val="00495447"/>
    <w:rsid w:val="004A00A7"/>
    <w:rsid w:val="004A4194"/>
    <w:rsid w:val="004B5452"/>
    <w:rsid w:val="004B5A80"/>
    <w:rsid w:val="004C0122"/>
    <w:rsid w:val="004C04A3"/>
    <w:rsid w:val="004C23CB"/>
    <w:rsid w:val="004C7EBC"/>
    <w:rsid w:val="004D1AB9"/>
    <w:rsid w:val="004D20F8"/>
    <w:rsid w:val="004D3EFB"/>
    <w:rsid w:val="004D4F29"/>
    <w:rsid w:val="004D5A84"/>
    <w:rsid w:val="004E4934"/>
    <w:rsid w:val="004E6CF7"/>
    <w:rsid w:val="004F37E7"/>
    <w:rsid w:val="004F4C4E"/>
    <w:rsid w:val="004F4D28"/>
    <w:rsid w:val="004F5A7C"/>
    <w:rsid w:val="004F70BB"/>
    <w:rsid w:val="00500072"/>
    <w:rsid w:val="005000DA"/>
    <w:rsid w:val="00503C62"/>
    <w:rsid w:val="00506B04"/>
    <w:rsid w:val="00506B6E"/>
    <w:rsid w:val="00506F33"/>
    <w:rsid w:val="00506F8E"/>
    <w:rsid w:val="005118D3"/>
    <w:rsid w:val="00515DC1"/>
    <w:rsid w:val="00521C87"/>
    <w:rsid w:val="00523C1B"/>
    <w:rsid w:val="00523F6D"/>
    <w:rsid w:val="005241F4"/>
    <w:rsid w:val="005251A5"/>
    <w:rsid w:val="00527C9B"/>
    <w:rsid w:val="0053039F"/>
    <w:rsid w:val="00533113"/>
    <w:rsid w:val="00533CF9"/>
    <w:rsid w:val="00541A4B"/>
    <w:rsid w:val="00544D04"/>
    <w:rsid w:val="005458D2"/>
    <w:rsid w:val="00552E92"/>
    <w:rsid w:val="00553150"/>
    <w:rsid w:val="00555400"/>
    <w:rsid w:val="00555810"/>
    <w:rsid w:val="00555B20"/>
    <w:rsid w:val="00556C73"/>
    <w:rsid w:val="00560A14"/>
    <w:rsid w:val="0056106B"/>
    <w:rsid w:val="0056333E"/>
    <w:rsid w:val="00564F98"/>
    <w:rsid w:val="00565F88"/>
    <w:rsid w:val="005760F7"/>
    <w:rsid w:val="00583921"/>
    <w:rsid w:val="00583BCD"/>
    <w:rsid w:val="00585B5C"/>
    <w:rsid w:val="00585B8C"/>
    <w:rsid w:val="00585C0D"/>
    <w:rsid w:val="00591E70"/>
    <w:rsid w:val="00595475"/>
    <w:rsid w:val="005A1D45"/>
    <w:rsid w:val="005A3F9F"/>
    <w:rsid w:val="005B0C65"/>
    <w:rsid w:val="005B0F04"/>
    <w:rsid w:val="005B6126"/>
    <w:rsid w:val="005B79A2"/>
    <w:rsid w:val="005C0E42"/>
    <w:rsid w:val="005C30F3"/>
    <w:rsid w:val="005C485B"/>
    <w:rsid w:val="005D00A5"/>
    <w:rsid w:val="005D147B"/>
    <w:rsid w:val="005D1E6C"/>
    <w:rsid w:val="005D23C1"/>
    <w:rsid w:val="005D2FED"/>
    <w:rsid w:val="005E10A6"/>
    <w:rsid w:val="005E3233"/>
    <w:rsid w:val="005F14E4"/>
    <w:rsid w:val="005F26DF"/>
    <w:rsid w:val="00600EA4"/>
    <w:rsid w:val="006051F0"/>
    <w:rsid w:val="006101C1"/>
    <w:rsid w:val="00614A81"/>
    <w:rsid w:val="00614AF1"/>
    <w:rsid w:val="00617611"/>
    <w:rsid w:val="00622D49"/>
    <w:rsid w:val="006237E9"/>
    <w:rsid w:val="006257FA"/>
    <w:rsid w:val="006258A0"/>
    <w:rsid w:val="00631BCE"/>
    <w:rsid w:val="0063388C"/>
    <w:rsid w:val="00641E77"/>
    <w:rsid w:val="006420A3"/>
    <w:rsid w:val="0064533D"/>
    <w:rsid w:val="0065100C"/>
    <w:rsid w:val="0065541F"/>
    <w:rsid w:val="00663CD2"/>
    <w:rsid w:val="00665257"/>
    <w:rsid w:val="006662C7"/>
    <w:rsid w:val="00672266"/>
    <w:rsid w:val="0067245D"/>
    <w:rsid w:val="00673360"/>
    <w:rsid w:val="0067523C"/>
    <w:rsid w:val="00683D15"/>
    <w:rsid w:val="00684449"/>
    <w:rsid w:val="006857C5"/>
    <w:rsid w:val="00686997"/>
    <w:rsid w:val="006910B6"/>
    <w:rsid w:val="0069117E"/>
    <w:rsid w:val="006953DF"/>
    <w:rsid w:val="006954F4"/>
    <w:rsid w:val="006972F0"/>
    <w:rsid w:val="006977AE"/>
    <w:rsid w:val="006A10AA"/>
    <w:rsid w:val="006B0639"/>
    <w:rsid w:val="006B1C7C"/>
    <w:rsid w:val="006B1DB0"/>
    <w:rsid w:val="006B205F"/>
    <w:rsid w:val="006B30ED"/>
    <w:rsid w:val="006B370B"/>
    <w:rsid w:val="006B5170"/>
    <w:rsid w:val="006B6551"/>
    <w:rsid w:val="006B7406"/>
    <w:rsid w:val="006B79DC"/>
    <w:rsid w:val="006C3527"/>
    <w:rsid w:val="006C38C7"/>
    <w:rsid w:val="006C57AE"/>
    <w:rsid w:val="006D524C"/>
    <w:rsid w:val="006D6EEB"/>
    <w:rsid w:val="006E1278"/>
    <w:rsid w:val="006E5F1D"/>
    <w:rsid w:val="006F15A7"/>
    <w:rsid w:val="006F196A"/>
    <w:rsid w:val="006F45A9"/>
    <w:rsid w:val="006F6BF9"/>
    <w:rsid w:val="00702470"/>
    <w:rsid w:val="00702E9C"/>
    <w:rsid w:val="00705E37"/>
    <w:rsid w:val="0071024B"/>
    <w:rsid w:val="00710C50"/>
    <w:rsid w:val="007116F4"/>
    <w:rsid w:val="00712579"/>
    <w:rsid w:val="00713022"/>
    <w:rsid w:val="007151A2"/>
    <w:rsid w:val="007220A9"/>
    <w:rsid w:val="007224D4"/>
    <w:rsid w:val="00724D99"/>
    <w:rsid w:val="007259CF"/>
    <w:rsid w:val="00727641"/>
    <w:rsid w:val="00734E2D"/>
    <w:rsid w:val="00740BFC"/>
    <w:rsid w:val="00741700"/>
    <w:rsid w:val="00743F85"/>
    <w:rsid w:val="007467F3"/>
    <w:rsid w:val="00747A23"/>
    <w:rsid w:val="007527D4"/>
    <w:rsid w:val="00756131"/>
    <w:rsid w:val="00756FDF"/>
    <w:rsid w:val="00760AF7"/>
    <w:rsid w:val="007629A5"/>
    <w:rsid w:val="00765443"/>
    <w:rsid w:val="00767262"/>
    <w:rsid w:val="00767B29"/>
    <w:rsid w:val="0077153E"/>
    <w:rsid w:val="00771908"/>
    <w:rsid w:val="007728B7"/>
    <w:rsid w:val="00773C96"/>
    <w:rsid w:val="00780FB5"/>
    <w:rsid w:val="0078310A"/>
    <w:rsid w:val="00784161"/>
    <w:rsid w:val="00784338"/>
    <w:rsid w:val="00784B0B"/>
    <w:rsid w:val="00795884"/>
    <w:rsid w:val="007966B7"/>
    <w:rsid w:val="007A0809"/>
    <w:rsid w:val="007A3AAF"/>
    <w:rsid w:val="007A4937"/>
    <w:rsid w:val="007B10BA"/>
    <w:rsid w:val="007B38F0"/>
    <w:rsid w:val="007C2FED"/>
    <w:rsid w:val="007C488E"/>
    <w:rsid w:val="007C68D2"/>
    <w:rsid w:val="007D08E6"/>
    <w:rsid w:val="007D1F28"/>
    <w:rsid w:val="007D3E6B"/>
    <w:rsid w:val="007D5862"/>
    <w:rsid w:val="007D59E4"/>
    <w:rsid w:val="007D60DC"/>
    <w:rsid w:val="007D6D1B"/>
    <w:rsid w:val="007E1D76"/>
    <w:rsid w:val="007E2990"/>
    <w:rsid w:val="007E2F16"/>
    <w:rsid w:val="007E3DAF"/>
    <w:rsid w:val="007E7382"/>
    <w:rsid w:val="007F0ED5"/>
    <w:rsid w:val="007F6A1F"/>
    <w:rsid w:val="007F7125"/>
    <w:rsid w:val="00803D89"/>
    <w:rsid w:val="008060C3"/>
    <w:rsid w:val="00806F9A"/>
    <w:rsid w:val="0081386C"/>
    <w:rsid w:val="00813AD8"/>
    <w:rsid w:val="0081709B"/>
    <w:rsid w:val="008170C8"/>
    <w:rsid w:val="00817D4A"/>
    <w:rsid w:val="00820AA3"/>
    <w:rsid w:val="00820DE5"/>
    <w:rsid w:val="008221D9"/>
    <w:rsid w:val="008305A0"/>
    <w:rsid w:val="00834337"/>
    <w:rsid w:val="008348A1"/>
    <w:rsid w:val="00840A0D"/>
    <w:rsid w:val="008410A1"/>
    <w:rsid w:val="008410B6"/>
    <w:rsid w:val="00845068"/>
    <w:rsid w:val="00846443"/>
    <w:rsid w:val="008469C5"/>
    <w:rsid w:val="008509B7"/>
    <w:rsid w:val="00851AF5"/>
    <w:rsid w:val="00852022"/>
    <w:rsid w:val="00854D8C"/>
    <w:rsid w:val="00855807"/>
    <w:rsid w:val="0085591D"/>
    <w:rsid w:val="008565A6"/>
    <w:rsid w:val="0085711D"/>
    <w:rsid w:val="00857A4F"/>
    <w:rsid w:val="00860CC1"/>
    <w:rsid w:val="008636E8"/>
    <w:rsid w:val="0086449E"/>
    <w:rsid w:val="008663D6"/>
    <w:rsid w:val="00874F56"/>
    <w:rsid w:val="00876599"/>
    <w:rsid w:val="00880D61"/>
    <w:rsid w:val="00883C54"/>
    <w:rsid w:val="0088625B"/>
    <w:rsid w:val="00890952"/>
    <w:rsid w:val="00892BA3"/>
    <w:rsid w:val="00895CD5"/>
    <w:rsid w:val="00895E68"/>
    <w:rsid w:val="008A3365"/>
    <w:rsid w:val="008A3AF1"/>
    <w:rsid w:val="008A3D4C"/>
    <w:rsid w:val="008A3FF6"/>
    <w:rsid w:val="008A6F98"/>
    <w:rsid w:val="008A75B0"/>
    <w:rsid w:val="008B0ED4"/>
    <w:rsid w:val="008B1ECC"/>
    <w:rsid w:val="008B4024"/>
    <w:rsid w:val="008B40F4"/>
    <w:rsid w:val="008B4D30"/>
    <w:rsid w:val="008B7088"/>
    <w:rsid w:val="008C1EE4"/>
    <w:rsid w:val="008C2811"/>
    <w:rsid w:val="008C627F"/>
    <w:rsid w:val="008D0DAA"/>
    <w:rsid w:val="008D2190"/>
    <w:rsid w:val="008D3A80"/>
    <w:rsid w:val="008D5E33"/>
    <w:rsid w:val="008E4D33"/>
    <w:rsid w:val="008E7503"/>
    <w:rsid w:val="008E7C7E"/>
    <w:rsid w:val="008F06A5"/>
    <w:rsid w:val="008F55D9"/>
    <w:rsid w:val="0090037B"/>
    <w:rsid w:val="00900CA5"/>
    <w:rsid w:val="0090225A"/>
    <w:rsid w:val="00902C89"/>
    <w:rsid w:val="00903D7E"/>
    <w:rsid w:val="0090624D"/>
    <w:rsid w:val="00912659"/>
    <w:rsid w:val="00913641"/>
    <w:rsid w:val="009138F2"/>
    <w:rsid w:val="00913D2F"/>
    <w:rsid w:val="0091405E"/>
    <w:rsid w:val="00917B47"/>
    <w:rsid w:val="00917B6A"/>
    <w:rsid w:val="00917CB5"/>
    <w:rsid w:val="00920BF9"/>
    <w:rsid w:val="0092108B"/>
    <w:rsid w:val="00922E96"/>
    <w:rsid w:val="00923946"/>
    <w:rsid w:val="0092619D"/>
    <w:rsid w:val="00930EDE"/>
    <w:rsid w:val="00932440"/>
    <w:rsid w:val="0093282C"/>
    <w:rsid w:val="00935964"/>
    <w:rsid w:val="0093789C"/>
    <w:rsid w:val="00937CA4"/>
    <w:rsid w:val="009405D3"/>
    <w:rsid w:val="00940907"/>
    <w:rsid w:val="009419F1"/>
    <w:rsid w:val="009432C1"/>
    <w:rsid w:val="009446EC"/>
    <w:rsid w:val="00946214"/>
    <w:rsid w:val="00947C08"/>
    <w:rsid w:val="009502E3"/>
    <w:rsid w:val="00950D73"/>
    <w:rsid w:val="009527BF"/>
    <w:rsid w:val="009556ED"/>
    <w:rsid w:val="00956DF3"/>
    <w:rsid w:val="00957B27"/>
    <w:rsid w:val="00961F5B"/>
    <w:rsid w:val="009639BC"/>
    <w:rsid w:val="00966C83"/>
    <w:rsid w:val="0097084A"/>
    <w:rsid w:val="00970D8C"/>
    <w:rsid w:val="009721A4"/>
    <w:rsid w:val="00973547"/>
    <w:rsid w:val="009749D5"/>
    <w:rsid w:val="00975962"/>
    <w:rsid w:val="00976C19"/>
    <w:rsid w:val="0098229F"/>
    <w:rsid w:val="009851B1"/>
    <w:rsid w:val="009872CB"/>
    <w:rsid w:val="00987DA8"/>
    <w:rsid w:val="0099001F"/>
    <w:rsid w:val="00992031"/>
    <w:rsid w:val="009938C1"/>
    <w:rsid w:val="0099410E"/>
    <w:rsid w:val="009945C8"/>
    <w:rsid w:val="009954AD"/>
    <w:rsid w:val="009977B5"/>
    <w:rsid w:val="00997A42"/>
    <w:rsid w:val="00997CEC"/>
    <w:rsid w:val="009A7A70"/>
    <w:rsid w:val="009B084C"/>
    <w:rsid w:val="009B20EC"/>
    <w:rsid w:val="009B4F0A"/>
    <w:rsid w:val="009B5892"/>
    <w:rsid w:val="009C4CC4"/>
    <w:rsid w:val="009C63D0"/>
    <w:rsid w:val="009D4672"/>
    <w:rsid w:val="009D6A13"/>
    <w:rsid w:val="009D7772"/>
    <w:rsid w:val="009E0B3F"/>
    <w:rsid w:val="009E41BF"/>
    <w:rsid w:val="009F1F25"/>
    <w:rsid w:val="00A00482"/>
    <w:rsid w:val="00A00716"/>
    <w:rsid w:val="00A05BFB"/>
    <w:rsid w:val="00A10C51"/>
    <w:rsid w:val="00A1331B"/>
    <w:rsid w:val="00A160E2"/>
    <w:rsid w:val="00A177F3"/>
    <w:rsid w:val="00A20DE6"/>
    <w:rsid w:val="00A26DC8"/>
    <w:rsid w:val="00A27845"/>
    <w:rsid w:val="00A27DAA"/>
    <w:rsid w:val="00A31D19"/>
    <w:rsid w:val="00A34D50"/>
    <w:rsid w:val="00A35A47"/>
    <w:rsid w:val="00A37709"/>
    <w:rsid w:val="00A409E4"/>
    <w:rsid w:val="00A43269"/>
    <w:rsid w:val="00A4356E"/>
    <w:rsid w:val="00A445F4"/>
    <w:rsid w:val="00A45CEB"/>
    <w:rsid w:val="00A569A9"/>
    <w:rsid w:val="00A579C7"/>
    <w:rsid w:val="00A62294"/>
    <w:rsid w:val="00A762C0"/>
    <w:rsid w:val="00A76478"/>
    <w:rsid w:val="00A76A03"/>
    <w:rsid w:val="00A8034B"/>
    <w:rsid w:val="00A82C7F"/>
    <w:rsid w:val="00A846E0"/>
    <w:rsid w:val="00A8738D"/>
    <w:rsid w:val="00A93537"/>
    <w:rsid w:val="00A93600"/>
    <w:rsid w:val="00A962AC"/>
    <w:rsid w:val="00AA20F0"/>
    <w:rsid w:val="00AA29CA"/>
    <w:rsid w:val="00AB0601"/>
    <w:rsid w:val="00AB1733"/>
    <w:rsid w:val="00AC2E2D"/>
    <w:rsid w:val="00AC3501"/>
    <w:rsid w:val="00AC5548"/>
    <w:rsid w:val="00AD053A"/>
    <w:rsid w:val="00AD14EB"/>
    <w:rsid w:val="00AD25B6"/>
    <w:rsid w:val="00AD647A"/>
    <w:rsid w:val="00AD7C1C"/>
    <w:rsid w:val="00AE00C1"/>
    <w:rsid w:val="00AE02C8"/>
    <w:rsid w:val="00AE0B74"/>
    <w:rsid w:val="00AE11AB"/>
    <w:rsid w:val="00AE24FE"/>
    <w:rsid w:val="00AE296E"/>
    <w:rsid w:val="00AE3ADA"/>
    <w:rsid w:val="00AE608D"/>
    <w:rsid w:val="00AE6B06"/>
    <w:rsid w:val="00AE7845"/>
    <w:rsid w:val="00AF2B77"/>
    <w:rsid w:val="00B06D2E"/>
    <w:rsid w:val="00B10219"/>
    <w:rsid w:val="00B14A75"/>
    <w:rsid w:val="00B14FEC"/>
    <w:rsid w:val="00B223FC"/>
    <w:rsid w:val="00B25A41"/>
    <w:rsid w:val="00B26048"/>
    <w:rsid w:val="00B30F18"/>
    <w:rsid w:val="00B35DE6"/>
    <w:rsid w:val="00B36CD8"/>
    <w:rsid w:val="00B3756B"/>
    <w:rsid w:val="00B40316"/>
    <w:rsid w:val="00B432C5"/>
    <w:rsid w:val="00B44626"/>
    <w:rsid w:val="00B4486E"/>
    <w:rsid w:val="00B44D37"/>
    <w:rsid w:val="00B55436"/>
    <w:rsid w:val="00B6115C"/>
    <w:rsid w:val="00B6605A"/>
    <w:rsid w:val="00B66884"/>
    <w:rsid w:val="00B7120A"/>
    <w:rsid w:val="00B7795C"/>
    <w:rsid w:val="00B80375"/>
    <w:rsid w:val="00B81F71"/>
    <w:rsid w:val="00B856FF"/>
    <w:rsid w:val="00B859B5"/>
    <w:rsid w:val="00B907D7"/>
    <w:rsid w:val="00B90D4D"/>
    <w:rsid w:val="00B910D0"/>
    <w:rsid w:val="00B93119"/>
    <w:rsid w:val="00BA1992"/>
    <w:rsid w:val="00BA2E67"/>
    <w:rsid w:val="00BA490F"/>
    <w:rsid w:val="00BA752C"/>
    <w:rsid w:val="00BB2CC8"/>
    <w:rsid w:val="00BB3A4D"/>
    <w:rsid w:val="00BB5B10"/>
    <w:rsid w:val="00BB6905"/>
    <w:rsid w:val="00BB76CF"/>
    <w:rsid w:val="00BC02ED"/>
    <w:rsid w:val="00BC300C"/>
    <w:rsid w:val="00BC41CA"/>
    <w:rsid w:val="00BC4AF3"/>
    <w:rsid w:val="00BD2A39"/>
    <w:rsid w:val="00BD37A7"/>
    <w:rsid w:val="00BD7CA4"/>
    <w:rsid w:val="00BE57FC"/>
    <w:rsid w:val="00BE72AB"/>
    <w:rsid w:val="00BF0642"/>
    <w:rsid w:val="00BF08CB"/>
    <w:rsid w:val="00C00CFA"/>
    <w:rsid w:val="00C05CD4"/>
    <w:rsid w:val="00C06CA3"/>
    <w:rsid w:val="00C11850"/>
    <w:rsid w:val="00C175B5"/>
    <w:rsid w:val="00C17961"/>
    <w:rsid w:val="00C2397E"/>
    <w:rsid w:val="00C24814"/>
    <w:rsid w:val="00C26B5B"/>
    <w:rsid w:val="00C330BC"/>
    <w:rsid w:val="00C33F59"/>
    <w:rsid w:val="00C34462"/>
    <w:rsid w:val="00C36ABE"/>
    <w:rsid w:val="00C3789D"/>
    <w:rsid w:val="00C37D4E"/>
    <w:rsid w:val="00C40EDB"/>
    <w:rsid w:val="00C435A6"/>
    <w:rsid w:val="00C4444E"/>
    <w:rsid w:val="00C528FE"/>
    <w:rsid w:val="00C536BC"/>
    <w:rsid w:val="00C55AC0"/>
    <w:rsid w:val="00C56EF0"/>
    <w:rsid w:val="00C62119"/>
    <w:rsid w:val="00C631DE"/>
    <w:rsid w:val="00C63602"/>
    <w:rsid w:val="00C63A22"/>
    <w:rsid w:val="00C6563E"/>
    <w:rsid w:val="00C6681B"/>
    <w:rsid w:val="00C668F0"/>
    <w:rsid w:val="00C73805"/>
    <w:rsid w:val="00C73958"/>
    <w:rsid w:val="00C75535"/>
    <w:rsid w:val="00C80F48"/>
    <w:rsid w:val="00C86211"/>
    <w:rsid w:val="00C86255"/>
    <w:rsid w:val="00C93F2E"/>
    <w:rsid w:val="00C93FE4"/>
    <w:rsid w:val="00C96BA3"/>
    <w:rsid w:val="00C97649"/>
    <w:rsid w:val="00CA17E2"/>
    <w:rsid w:val="00CA2084"/>
    <w:rsid w:val="00CA292B"/>
    <w:rsid w:val="00CA5DF3"/>
    <w:rsid w:val="00CB0627"/>
    <w:rsid w:val="00CB0AE1"/>
    <w:rsid w:val="00CB0C02"/>
    <w:rsid w:val="00CB188C"/>
    <w:rsid w:val="00CB2EA2"/>
    <w:rsid w:val="00CB351C"/>
    <w:rsid w:val="00CB3596"/>
    <w:rsid w:val="00CB645B"/>
    <w:rsid w:val="00CB651C"/>
    <w:rsid w:val="00CB77C6"/>
    <w:rsid w:val="00CB77F6"/>
    <w:rsid w:val="00CC2EDA"/>
    <w:rsid w:val="00CC506D"/>
    <w:rsid w:val="00CC5A1B"/>
    <w:rsid w:val="00CD1E30"/>
    <w:rsid w:val="00CD4972"/>
    <w:rsid w:val="00CE1938"/>
    <w:rsid w:val="00CE1A59"/>
    <w:rsid w:val="00CE281F"/>
    <w:rsid w:val="00CE3D98"/>
    <w:rsid w:val="00CE4C2D"/>
    <w:rsid w:val="00CE58F2"/>
    <w:rsid w:val="00CE6CA0"/>
    <w:rsid w:val="00CE77EA"/>
    <w:rsid w:val="00CF2E3B"/>
    <w:rsid w:val="00CF559C"/>
    <w:rsid w:val="00CF76B1"/>
    <w:rsid w:val="00D0196A"/>
    <w:rsid w:val="00D04902"/>
    <w:rsid w:val="00D05AF5"/>
    <w:rsid w:val="00D05B2E"/>
    <w:rsid w:val="00D06201"/>
    <w:rsid w:val="00D0669C"/>
    <w:rsid w:val="00D07109"/>
    <w:rsid w:val="00D07442"/>
    <w:rsid w:val="00D14347"/>
    <w:rsid w:val="00D167ED"/>
    <w:rsid w:val="00D1792E"/>
    <w:rsid w:val="00D215FF"/>
    <w:rsid w:val="00D2239E"/>
    <w:rsid w:val="00D267BB"/>
    <w:rsid w:val="00D27746"/>
    <w:rsid w:val="00D407E6"/>
    <w:rsid w:val="00D47828"/>
    <w:rsid w:val="00D50224"/>
    <w:rsid w:val="00D62258"/>
    <w:rsid w:val="00D6252C"/>
    <w:rsid w:val="00D62D68"/>
    <w:rsid w:val="00D72D54"/>
    <w:rsid w:val="00D73B61"/>
    <w:rsid w:val="00D740A4"/>
    <w:rsid w:val="00D75C23"/>
    <w:rsid w:val="00D84E40"/>
    <w:rsid w:val="00D85A7D"/>
    <w:rsid w:val="00D86320"/>
    <w:rsid w:val="00D87059"/>
    <w:rsid w:val="00D905AD"/>
    <w:rsid w:val="00D91D4D"/>
    <w:rsid w:val="00D9386E"/>
    <w:rsid w:val="00D94BDE"/>
    <w:rsid w:val="00D95DD7"/>
    <w:rsid w:val="00D96B3A"/>
    <w:rsid w:val="00D97276"/>
    <w:rsid w:val="00DA0299"/>
    <w:rsid w:val="00DA3098"/>
    <w:rsid w:val="00DA3CC9"/>
    <w:rsid w:val="00DA3FBD"/>
    <w:rsid w:val="00DA71CD"/>
    <w:rsid w:val="00DB0BB0"/>
    <w:rsid w:val="00DB1276"/>
    <w:rsid w:val="00DB29E0"/>
    <w:rsid w:val="00DB30E6"/>
    <w:rsid w:val="00DC42A4"/>
    <w:rsid w:val="00DC53A0"/>
    <w:rsid w:val="00DC7940"/>
    <w:rsid w:val="00DD1222"/>
    <w:rsid w:val="00DD2A8F"/>
    <w:rsid w:val="00DD3224"/>
    <w:rsid w:val="00DD4DD0"/>
    <w:rsid w:val="00DD7B15"/>
    <w:rsid w:val="00DE00C9"/>
    <w:rsid w:val="00DE28EE"/>
    <w:rsid w:val="00DE43F6"/>
    <w:rsid w:val="00DF1FE3"/>
    <w:rsid w:val="00DF2907"/>
    <w:rsid w:val="00DF5C81"/>
    <w:rsid w:val="00E01701"/>
    <w:rsid w:val="00E043C5"/>
    <w:rsid w:val="00E06CA4"/>
    <w:rsid w:val="00E10BB3"/>
    <w:rsid w:val="00E11B27"/>
    <w:rsid w:val="00E143EC"/>
    <w:rsid w:val="00E21581"/>
    <w:rsid w:val="00E24FD3"/>
    <w:rsid w:val="00E258EA"/>
    <w:rsid w:val="00E26AF5"/>
    <w:rsid w:val="00E27922"/>
    <w:rsid w:val="00E27AD2"/>
    <w:rsid w:val="00E32BA1"/>
    <w:rsid w:val="00E33B1D"/>
    <w:rsid w:val="00E33FD5"/>
    <w:rsid w:val="00E367DB"/>
    <w:rsid w:val="00E36805"/>
    <w:rsid w:val="00E376AC"/>
    <w:rsid w:val="00E42CDB"/>
    <w:rsid w:val="00E4517A"/>
    <w:rsid w:val="00E45432"/>
    <w:rsid w:val="00E45670"/>
    <w:rsid w:val="00E45E06"/>
    <w:rsid w:val="00E500E8"/>
    <w:rsid w:val="00E50C37"/>
    <w:rsid w:val="00E53449"/>
    <w:rsid w:val="00E53ED8"/>
    <w:rsid w:val="00E540AB"/>
    <w:rsid w:val="00E54497"/>
    <w:rsid w:val="00E563BD"/>
    <w:rsid w:val="00E56525"/>
    <w:rsid w:val="00E606AD"/>
    <w:rsid w:val="00E61166"/>
    <w:rsid w:val="00E61CDF"/>
    <w:rsid w:val="00E62FA6"/>
    <w:rsid w:val="00E64A60"/>
    <w:rsid w:val="00E66BB3"/>
    <w:rsid w:val="00E70536"/>
    <w:rsid w:val="00E75347"/>
    <w:rsid w:val="00E7588F"/>
    <w:rsid w:val="00E77F4B"/>
    <w:rsid w:val="00E810F5"/>
    <w:rsid w:val="00EA2BCE"/>
    <w:rsid w:val="00EA2CCB"/>
    <w:rsid w:val="00EA2D62"/>
    <w:rsid w:val="00EA4886"/>
    <w:rsid w:val="00EA6AB1"/>
    <w:rsid w:val="00EB1F58"/>
    <w:rsid w:val="00EB2FE0"/>
    <w:rsid w:val="00EB3AD4"/>
    <w:rsid w:val="00EB5475"/>
    <w:rsid w:val="00EB6718"/>
    <w:rsid w:val="00EC0884"/>
    <w:rsid w:val="00EC2D77"/>
    <w:rsid w:val="00EC398E"/>
    <w:rsid w:val="00EC55A6"/>
    <w:rsid w:val="00ED091F"/>
    <w:rsid w:val="00ED0A71"/>
    <w:rsid w:val="00ED25FD"/>
    <w:rsid w:val="00ED2B17"/>
    <w:rsid w:val="00ED2BB7"/>
    <w:rsid w:val="00ED2F98"/>
    <w:rsid w:val="00ED6816"/>
    <w:rsid w:val="00EE3BCF"/>
    <w:rsid w:val="00EE3C7C"/>
    <w:rsid w:val="00EE522A"/>
    <w:rsid w:val="00EF56B5"/>
    <w:rsid w:val="00EF5C05"/>
    <w:rsid w:val="00EF69C8"/>
    <w:rsid w:val="00F00044"/>
    <w:rsid w:val="00F03F62"/>
    <w:rsid w:val="00F04DB7"/>
    <w:rsid w:val="00F0520D"/>
    <w:rsid w:val="00F0546E"/>
    <w:rsid w:val="00F1022C"/>
    <w:rsid w:val="00F104E5"/>
    <w:rsid w:val="00F1483B"/>
    <w:rsid w:val="00F154F0"/>
    <w:rsid w:val="00F16822"/>
    <w:rsid w:val="00F25451"/>
    <w:rsid w:val="00F30F4C"/>
    <w:rsid w:val="00F32D1D"/>
    <w:rsid w:val="00F333E9"/>
    <w:rsid w:val="00F37B4A"/>
    <w:rsid w:val="00F37C1C"/>
    <w:rsid w:val="00F406B4"/>
    <w:rsid w:val="00F41161"/>
    <w:rsid w:val="00F44538"/>
    <w:rsid w:val="00F50F0C"/>
    <w:rsid w:val="00F605C7"/>
    <w:rsid w:val="00F61323"/>
    <w:rsid w:val="00F65D59"/>
    <w:rsid w:val="00F66AFF"/>
    <w:rsid w:val="00F72856"/>
    <w:rsid w:val="00F81E4D"/>
    <w:rsid w:val="00F93EEE"/>
    <w:rsid w:val="00FA0D9E"/>
    <w:rsid w:val="00FA3B27"/>
    <w:rsid w:val="00FA4928"/>
    <w:rsid w:val="00FA4B75"/>
    <w:rsid w:val="00FB1A79"/>
    <w:rsid w:val="00FB1DC2"/>
    <w:rsid w:val="00FB2947"/>
    <w:rsid w:val="00FB50D3"/>
    <w:rsid w:val="00FB65B0"/>
    <w:rsid w:val="00FB6AA4"/>
    <w:rsid w:val="00FB729B"/>
    <w:rsid w:val="00FC2F02"/>
    <w:rsid w:val="00FC4FC9"/>
    <w:rsid w:val="00FC6668"/>
    <w:rsid w:val="00FC7691"/>
    <w:rsid w:val="00FD2520"/>
    <w:rsid w:val="00FD4A67"/>
    <w:rsid w:val="00FD7C4A"/>
    <w:rsid w:val="00FE01F5"/>
    <w:rsid w:val="00FE17F4"/>
    <w:rsid w:val="00FE1E52"/>
    <w:rsid w:val="00FE3C2D"/>
    <w:rsid w:val="00FF0EFF"/>
    <w:rsid w:val="00FF16F1"/>
    <w:rsid w:val="00FF5FD4"/>
    <w:rsid w:val="00FF671C"/>
    <w:rsid w:val="00FF7126"/>
    <w:rsid w:val="010351AA"/>
    <w:rsid w:val="0159126E"/>
    <w:rsid w:val="018F05EE"/>
    <w:rsid w:val="01AA07B9"/>
    <w:rsid w:val="02906AC3"/>
    <w:rsid w:val="02E75811"/>
    <w:rsid w:val="02FD7D77"/>
    <w:rsid w:val="030D0562"/>
    <w:rsid w:val="031A565D"/>
    <w:rsid w:val="03276F2B"/>
    <w:rsid w:val="033349EE"/>
    <w:rsid w:val="03411FB9"/>
    <w:rsid w:val="03467C14"/>
    <w:rsid w:val="038E4D9B"/>
    <w:rsid w:val="03C241F9"/>
    <w:rsid w:val="04135373"/>
    <w:rsid w:val="042F62B6"/>
    <w:rsid w:val="0442248D"/>
    <w:rsid w:val="045D5BD6"/>
    <w:rsid w:val="04AB44AD"/>
    <w:rsid w:val="04C06617"/>
    <w:rsid w:val="04E91598"/>
    <w:rsid w:val="04EE4465"/>
    <w:rsid w:val="05400D74"/>
    <w:rsid w:val="05473EE7"/>
    <w:rsid w:val="05966074"/>
    <w:rsid w:val="059960DD"/>
    <w:rsid w:val="05AF443F"/>
    <w:rsid w:val="05E15EDA"/>
    <w:rsid w:val="05E51C8A"/>
    <w:rsid w:val="06147E59"/>
    <w:rsid w:val="064B1AAF"/>
    <w:rsid w:val="06782196"/>
    <w:rsid w:val="0693067A"/>
    <w:rsid w:val="06E710CA"/>
    <w:rsid w:val="0701218C"/>
    <w:rsid w:val="0708351A"/>
    <w:rsid w:val="071023CF"/>
    <w:rsid w:val="07163C30"/>
    <w:rsid w:val="07645CD8"/>
    <w:rsid w:val="076C6154"/>
    <w:rsid w:val="078132CC"/>
    <w:rsid w:val="07936324"/>
    <w:rsid w:val="07A85514"/>
    <w:rsid w:val="07AD2D4A"/>
    <w:rsid w:val="07BC2556"/>
    <w:rsid w:val="07C54D89"/>
    <w:rsid w:val="07CD3513"/>
    <w:rsid w:val="084A696C"/>
    <w:rsid w:val="0858227F"/>
    <w:rsid w:val="085D0853"/>
    <w:rsid w:val="087D3A94"/>
    <w:rsid w:val="089E49B5"/>
    <w:rsid w:val="08A234FA"/>
    <w:rsid w:val="09973C4E"/>
    <w:rsid w:val="09B0234C"/>
    <w:rsid w:val="09FA24C5"/>
    <w:rsid w:val="0A0A40D9"/>
    <w:rsid w:val="0A2166A1"/>
    <w:rsid w:val="0A326B00"/>
    <w:rsid w:val="0A35072C"/>
    <w:rsid w:val="0A4E5D60"/>
    <w:rsid w:val="0A6B0849"/>
    <w:rsid w:val="0AC36D4E"/>
    <w:rsid w:val="0AD709D1"/>
    <w:rsid w:val="0AF77169"/>
    <w:rsid w:val="0AFD4EC4"/>
    <w:rsid w:val="0B3E28E6"/>
    <w:rsid w:val="0B796D53"/>
    <w:rsid w:val="0B8C3FEE"/>
    <w:rsid w:val="0BAA054C"/>
    <w:rsid w:val="0BE257DB"/>
    <w:rsid w:val="0BE55E0C"/>
    <w:rsid w:val="0C480D7A"/>
    <w:rsid w:val="0C4C20FB"/>
    <w:rsid w:val="0C9520A5"/>
    <w:rsid w:val="0CAA5073"/>
    <w:rsid w:val="0CAE26BE"/>
    <w:rsid w:val="0CBB0B30"/>
    <w:rsid w:val="0CC53B2E"/>
    <w:rsid w:val="0CE2480D"/>
    <w:rsid w:val="0D310106"/>
    <w:rsid w:val="0D773094"/>
    <w:rsid w:val="0D984C3B"/>
    <w:rsid w:val="0DDD6CA4"/>
    <w:rsid w:val="0DF465A6"/>
    <w:rsid w:val="0DF64B59"/>
    <w:rsid w:val="0E091442"/>
    <w:rsid w:val="0E197DBB"/>
    <w:rsid w:val="0E341ECD"/>
    <w:rsid w:val="0E4137B5"/>
    <w:rsid w:val="0E5377F1"/>
    <w:rsid w:val="0E5C7E8F"/>
    <w:rsid w:val="0EAF35B4"/>
    <w:rsid w:val="0EC86014"/>
    <w:rsid w:val="0ECA4EB3"/>
    <w:rsid w:val="0F2F1860"/>
    <w:rsid w:val="0F3C2441"/>
    <w:rsid w:val="0F3D4A86"/>
    <w:rsid w:val="0F554825"/>
    <w:rsid w:val="0F611D27"/>
    <w:rsid w:val="0F910D13"/>
    <w:rsid w:val="0F99645F"/>
    <w:rsid w:val="0FA77273"/>
    <w:rsid w:val="0FC401FA"/>
    <w:rsid w:val="101209A7"/>
    <w:rsid w:val="10592E0C"/>
    <w:rsid w:val="10635C65"/>
    <w:rsid w:val="108B42A6"/>
    <w:rsid w:val="10B466FF"/>
    <w:rsid w:val="10B626A3"/>
    <w:rsid w:val="10C61D50"/>
    <w:rsid w:val="10D4004E"/>
    <w:rsid w:val="112E1DCF"/>
    <w:rsid w:val="11406D4B"/>
    <w:rsid w:val="114B271D"/>
    <w:rsid w:val="11656E35"/>
    <w:rsid w:val="11702A4A"/>
    <w:rsid w:val="11743E1E"/>
    <w:rsid w:val="118300FB"/>
    <w:rsid w:val="11967974"/>
    <w:rsid w:val="11A1576A"/>
    <w:rsid w:val="11A25F2B"/>
    <w:rsid w:val="11DA1F57"/>
    <w:rsid w:val="11FF5E66"/>
    <w:rsid w:val="123F1DBA"/>
    <w:rsid w:val="12462D15"/>
    <w:rsid w:val="128B4FFF"/>
    <w:rsid w:val="12B21D05"/>
    <w:rsid w:val="12BC3C2C"/>
    <w:rsid w:val="12BD638D"/>
    <w:rsid w:val="12C80001"/>
    <w:rsid w:val="12FF554B"/>
    <w:rsid w:val="13004B96"/>
    <w:rsid w:val="132B01DA"/>
    <w:rsid w:val="13366263"/>
    <w:rsid w:val="135B2A94"/>
    <w:rsid w:val="13673B1E"/>
    <w:rsid w:val="137D5290"/>
    <w:rsid w:val="13BC4AF1"/>
    <w:rsid w:val="13C407C9"/>
    <w:rsid w:val="140870C8"/>
    <w:rsid w:val="141A2ADF"/>
    <w:rsid w:val="143A62A9"/>
    <w:rsid w:val="144152A0"/>
    <w:rsid w:val="145B6B03"/>
    <w:rsid w:val="147709AB"/>
    <w:rsid w:val="147A7D6A"/>
    <w:rsid w:val="148D32B1"/>
    <w:rsid w:val="14C41EF0"/>
    <w:rsid w:val="14FE4A14"/>
    <w:rsid w:val="15127C5A"/>
    <w:rsid w:val="155E3013"/>
    <w:rsid w:val="156807CE"/>
    <w:rsid w:val="159871D3"/>
    <w:rsid w:val="15B14205"/>
    <w:rsid w:val="15C06673"/>
    <w:rsid w:val="15D66ED9"/>
    <w:rsid w:val="15EE4223"/>
    <w:rsid w:val="160E0421"/>
    <w:rsid w:val="161C6EC1"/>
    <w:rsid w:val="162D4212"/>
    <w:rsid w:val="16322361"/>
    <w:rsid w:val="163C5870"/>
    <w:rsid w:val="16426A1B"/>
    <w:rsid w:val="1674297A"/>
    <w:rsid w:val="16A668AC"/>
    <w:rsid w:val="16AD16E9"/>
    <w:rsid w:val="16B07844"/>
    <w:rsid w:val="16D7443F"/>
    <w:rsid w:val="17026CA5"/>
    <w:rsid w:val="170567D7"/>
    <w:rsid w:val="174C42CD"/>
    <w:rsid w:val="175F6772"/>
    <w:rsid w:val="17B0676A"/>
    <w:rsid w:val="17D72BB2"/>
    <w:rsid w:val="17EB5932"/>
    <w:rsid w:val="17EB6C6C"/>
    <w:rsid w:val="17F17890"/>
    <w:rsid w:val="181D0DEF"/>
    <w:rsid w:val="182932F0"/>
    <w:rsid w:val="18866995"/>
    <w:rsid w:val="189054B6"/>
    <w:rsid w:val="18BC257C"/>
    <w:rsid w:val="18C95C9A"/>
    <w:rsid w:val="18ED07C2"/>
    <w:rsid w:val="18F43A61"/>
    <w:rsid w:val="19193365"/>
    <w:rsid w:val="198464BC"/>
    <w:rsid w:val="19AC1CD7"/>
    <w:rsid w:val="19B72B7E"/>
    <w:rsid w:val="19DF187E"/>
    <w:rsid w:val="1A2B6C2C"/>
    <w:rsid w:val="1AC314EF"/>
    <w:rsid w:val="1B0241E0"/>
    <w:rsid w:val="1B334891"/>
    <w:rsid w:val="1B937D95"/>
    <w:rsid w:val="1BD22EF1"/>
    <w:rsid w:val="1C2838BF"/>
    <w:rsid w:val="1C4A5F2B"/>
    <w:rsid w:val="1C6F7740"/>
    <w:rsid w:val="1C82074F"/>
    <w:rsid w:val="1C896A53"/>
    <w:rsid w:val="1C9F6164"/>
    <w:rsid w:val="1D1C3424"/>
    <w:rsid w:val="1DE15B65"/>
    <w:rsid w:val="1E1E28AB"/>
    <w:rsid w:val="1E215788"/>
    <w:rsid w:val="1E3C465E"/>
    <w:rsid w:val="1E3F5595"/>
    <w:rsid w:val="1E4B7C84"/>
    <w:rsid w:val="1E4F70AC"/>
    <w:rsid w:val="1E7C5610"/>
    <w:rsid w:val="1EBD4099"/>
    <w:rsid w:val="1EC9504A"/>
    <w:rsid w:val="1EDA5AE4"/>
    <w:rsid w:val="1F087C9C"/>
    <w:rsid w:val="1F2F3AFD"/>
    <w:rsid w:val="1F491C89"/>
    <w:rsid w:val="1F59095F"/>
    <w:rsid w:val="2016352A"/>
    <w:rsid w:val="2053733A"/>
    <w:rsid w:val="208E288A"/>
    <w:rsid w:val="20947775"/>
    <w:rsid w:val="20C0056A"/>
    <w:rsid w:val="20CC6F0F"/>
    <w:rsid w:val="20D9319E"/>
    <w:rsid w:val="210A5D50"/>
    <w:rsid w:val="212E13B4"/>
    <w:rsid w:val="213C361E"/>
    <w:rsid w:val="218A3743"/>
    <w:rsid w:val="21AD193E"/>
    <w:rsid w:val="21CF05A1"/>
    <w:rsid w:val="223B07F0"/>
    <w:rsid w:val="226B796A"/>
    <w:rsid w:val="226C1BBE"/>
    <w:rsid w:val="22A719E1"/>
    <w:rsid w:val="22E54C87"/>
    <w:rsid w:val="23250FF5"/>
    <w:rsid w:val="2357583A"/>
    <w:rsid w:val="23684490"/>
    <w:rsid w:val="239B10CD"/>
    <w:rsid w:val="23DA15C7"/>
    <w:rsid w:val="23E10F23"/>
    <w:rsid w:val="24490F73"/>
    <w:rsid w:val="245C2342"/>
    <w:rsid w:val="246D7199"/>
    <w:rsid w:val="24C70119"/>
    <w:rsid w:val="24CD4797"/>
    <w:rsid w:val="24DC5213"/>
    <w:rsid w:val="25284930"/>
    <w:rsid w:val="255D73A3"/>
    <w:rsid w:val="257A5B4A"/>
    <w:rsid w:val="257E720D"/>
    <w:rsid w:val="25A0096A"/>
    <w:rsid w:val="25A93CC2"/>
    <w:rsid w:val="25AB5805"/>
    <w:rsid w:val="25B368EF"/>
    <w:rsid w:val="25C6600D"/>
    <w:rsid w:val="25CB1E8B"/>
    <w:rsid w:val="25E22D30"/>
    <w:rsid w:val="25E24B7B"/>
    <w:rsid w:val="26235823"/>
    <w:rsid w:val="26266CA3"/>
    <w:rsid w:val="26600825"/>
    <w:rsid w:val="26802FB9"/>
    <w:rsid w:val="26812549"/>
    <w:rsid w:val="26842D50"/>
    <w:rsid w:val="26C012C4"/>
    <w:rsid w:val="26F43984"/>
    <w:rsid w:val="26FE5F03"/>
    <w:rsid w:val="270C62B7"/>
    <w:rsid w:val="27137AE5"/>
    <w:rsid w:val="271B33D3"/>
    <w:rsid w:val="273F3B54"/>
    <w:rsid w:val="275C07E9"/>
    <w:rsid w:val="27626EF5"/>
    <w:rsid w:val="27C44DE4"/>
    <w:rsid w:val="28B4090A"/>
    <w:rsid w:val="28C50E13"/>
    <w:rsid w:val="28EC3768"/>
    <w:rsid w:val="28F50E98"/>
    <w:rsid w:val="29215EF3"/>
    <w:rsid w:val="294153A7"/>
    <w:rsid w:val="29572D9B"/>
    <w:rsid w:val="295B1778"/>
    <w:rsid w:val="299470D0"/>
    <w:rsid w:val="29F902B7"/>
    <w:rsid w:val="2A063491"/>
    <w:rsid w:val="2A247DBB"/>
    <w:rsid w:val="2A2D3B25"/>
    <w:rsid w:val="2A954A47"/>
    <w:rsid w:val="2ABC7FF4"/>
    <w:rsid w:val="2AC0064B"/>
    <w:rsid w:val="2B171AB8"/>
    <w:rsid w:val="2B492D30"/>
    <w:rsid w:val="2B4F2C16"/>
    <w:rsid w:val="2B654536"/>
    <w:rsid w:val="2B8E7BE2"/>
    <w:rsid w:val="2BE03161"/>
    <w:rsid w:val="2BEE242F"/>
    <w:rsid w:val="2BF43904"/>
    <w:rsid w:val="2C461615"/>
    <w:rsid w:val="2C7E5774"/>
    <w:rsid w:val="2C817878"/>
    <w:rsid w:val="2CA43435"/>
    <w:rsid w:val="2D10334C"/>
    <w:rsid w:val="2D6706EB"/>
    <w:rsid w:val="2D7335BE"/>
    <w:rsid w:val="2D8963CF"/>
    <w:rsid w:val="2D9743C5"/>
    <w:rsid w:val="2D9A3811"/>
    <w:rsid w:val="2DB8561D"/>
    <w:rsid w:val="2E635445"/>
    <w:rsid w:val="2E7D1359"/>
    <w:rsid w:val="2E834313"/>
    <w:rsid w:val="2EA15F2C"/>
    <w:rsid w:val="2EB77450"/>
    <w:rsid w:val="2EFF5ECB"/>
    <w:rsid w:val="2F795AD4"/>
    <w:rsid w:val="2F887F1C"/>
    <w:rsid w:val="2FA85C0F"/>
    <w:rsid w:val="2FF327F8"/>
    <w:rsid w:val="30444D13"/>
    <w:rsid w:val="305C2AD0"/>
    <w:rsid w:val="307D1236"/>
    <w:rsid w:val="30A76D43"/>
    <w:rsid w:val="30B5373E"/>
    <w:rsid w:val="30C776F3"/>
    <w:rsid w:val="30CB5C84"/>
    <w:rsid w:val="30F71D86"/>
    <w:rsid w:val="312078D0"/>
    <w:rsid w:val="315A2980"/>
    <w:rsid w:val="315A4C3D"/>
    <w:rsid w:val="31603DCF"/>
    <w:rsid w:val="318D26EA"/>
    <w:rsid w:val="31C06A84"/>
    <w:rsid w:val="320C4CA9"/>
    <w:rsid w:val="321A5F6D"/>
    <w:rsid w:val="323963CE"/>
    <w:rsid w:val="3287538B"/>
    <w:rsid w:val="32A13DC3"/>
    <w:rsid w:val="32D52E03"/>
    <w:rsid w:val="32F742D6"/>
    <w:rsid w:val="32FE08BC"/>
    <w:rsid w:val="331609C4"/>
    <w:rsid w:val="33184899"/>
    <w:rsid w:val="335D7E9A"/>
    <w:rsid w:val="3375188C"/>
    <w:rsid w:val="33806A8D"/>
    <w:rsid w:val="33AC0475"/>
    <w:rsid w:val="33C76311"/>
    <w:rsid w:val="33D97DBE"/>
    <w:rsid w:val="33DD4EBE"/>
    <w:rsid w:val="34417C80"/>
    <w:rsid w:val="34443F4D"/>
    <w:rsid w:val="344946DE"/>
    <w:rsid w:val="34621C0C"/>
    <w:rsid w:val="346327CA"/>
    <w:rsid w:val="348A5C2C"/>
    <w:rsid w:val="35004F81"/>
    <w:rsid w:val="35550544"/>
    <w:rsid w:val="3575264D"/>
    <w:rsid w:val="358643DE"/>
    <w:rsid w:val="35AF70D3"/>
    <w:rsid w:val="36041B6D"/>
    <w:rsid w:val="37014E77"/>
    <w:rsid w:val="37103BA1"/>
    <w:rsid w:val="373139DE"/>
    <w:rsid w:val="376143FD"/>
    <w:rsid w:val="377564DD"/>
    <w:rsid w:val="3782209C"/>
    <w:rsid w:val="37CE7423"/>
    <w:rsid w:val="37DE5A4E"/>
    <w:rsid w:val="37F340FF"/>
    <w:rsid w:val="38095B4D"/>
    <w:rsid w:val="38095F42"/>
    <w:rsid w:val="38296277"/>
    <w:rsid w:val="3873792C"/>
    <w:rsid w:val="388B7489"/>
    <w:rsid w:val="3894015E"/>
    <w:rsid w:val="38977286"/>
    <w:rsid w:val="38A04AB1"/>
    <w:rsid w:val="38AF2F46"/>
    <w:rsid w:val="38B44EE6"/>
    <w:rsid w:val="38B95F47"/>
    <w:rsid w:val="38BB7B3D"/>
    <w:rsid w:val="38BC7E3B"/>
    <w:rsid w:val="38C369F1"/>
    <w:rsid w:val="38C70336"/>
    <w:rsid w:val="38F8063F"/>
    <w:rsid w:val="39432B08"/>
    <w:rsid w:val="394C2089"/>
    <w:rsid w:val="39581830"/>
    <w:rsid w:val="398027C6"/>
    <w:rsid w:val="39B81D84"/>
    <w:rsid w:val="39EA270B"/>
    <w:rsid w:val="39FB4E6E"/>
    <w:rsid w:val="3A192D6D"/>
    <w:rsid w:val="3ABA4002"/>
    <w:rsid w:val="3AF03417"/>
    <w:rsid w:val="3B3B1EA1"/>
    <w:rsid w:val="3B51307E"/>
    <w:rsid w:val="3B7F32BA"/>
    <w:rsid w:val="3B8F2737"/>
    <w:rsid w:val="3B9D5A7B"/>
    <w:rsid w:val="3BEB6CF7"/>
    <w:rsid w:val="3BFF63F5"/>
    <w:rsid w:val="3C0B1EDB"/>
    <w:rsid w:val="3C291E28"/>
    <w:rsid w:val="3C2F01C9"/>
    <w:rsid w:val="3C343EA1"/>
    <w:rsid w:val="3C4E0CC8"/>
    <w:rsid w:val="3C6B7ACC"/>
    <w:rsid w:val="3C7D70DA"/>
    <w:rsid w:val="3CA12F59"/>
    <w:rsid w:val="3CA34E3F"/>
    <w:rsid w:val="3D0D0479"/>
    <w:rsid w:val="3D0F0457"/>
    <w:rsid w:val="3D302BB8"/>
    <w:rsid w:val="3D3D3216"/>
    <w:rsid w:val="3D895F4A"/>
    <w:rsid w:val="3D8E5949"/>
    <w:rsid w:val="3D962926"/>
    <w:rsid w:val="3E181588"/>
    <w:rsid w:val="3E1B735A"/>
    <w:rsid w:val="3E1F291C"/>
    <w:rsid w:val="3E65093B"/>
    <w:rsid w:val="3E6E4D83"/>
    <w:rsid w:val="3E6F38A3"/>
    <w:rsid w:val="3F1B2679"/>
    <w:rsid w:val="3F237558"/>
    <w:rsid w:val="3F237562"/>
    <w:rsid w:val="3F4E0147"/>
    <w:rsid w:val="3F5D36FC"/>
    <w:rsid w:val="3F656A41"/>
    <w:rsid w:val="3F6A5E19"/>
    <w:rsid w:val="3FA707F0"/>
    <w:rsid w:val="3FBF68DD"/>
    <w:rsid w:val="3FD21202"/>
    <w:rsid w:val="3FEB51AC"/>
    <w:rsid w:val="40223343"/>
    <w:rsid w:val="40303552"/>
    <w:rsid w:val="405A40DF"/>
    <w:rsid w:val="40725573"/>
    <w:rsid w:val="40A70071"/>
    <w:rsid w:val="40BA692C"/>
    <w:rsid w:val="41067544"/>
    <w:rsid w:val="410D73A4"/>
    <w:rsid w:val="41106A86"/>
    <w:rsid w:val="41447AF8"/>
    <w:rsid w:val="414E4470"/>
    <w:rsid w:val="415C50E6"/>
    <w:rsid w:val="41902DB7"/>
    <w:rsid w:val="41944C3A"/>
    <w:rsid w:val="42473A3A"/>
    <w:rsid w:val="4262727B"/>
    <w:rsid w:val="42895BB9"/>
    <w:rsid w:val="42C02CF4"/>
    <w:rsid w:val="43343262"/>
    <w:rsid w:val="4366577F"/>
    <w:rsid w:val="436F7EA2"/>
    <w:rsid w:val="43783E62"/>
    <w:rsid w:val="43DD305D"/>
    <w:rsid w:val="44066714"/>
    <w:rsid w:val="4408500B"/>
    <w:rsid w:val="44244C8A"/>
    <w:rsid w:val="4427753F"/>
    <w:rsid w:val="44DF74E0"/>
    <w:rsid w:val="44E16E1F"/>
    <w:rsid w:val="44EB0CCB"/>
    <w:rsid w:val="44F042BB"/>
    <w:rsid w:val="452F241A"/>
    <w:rsid w:val="452F6D33"/>
    <w:rsid w:val="453C3DB3"/>
    <w:rsid w:val="4541761C"/>
    <w:rsid w:val="45420CB1"/>
    <w:rsid w:val="45A2042B"/>
    <w:rsid w:val="45CD62E3"/>
    <w:rsid w:val="45CF4C28"/>
    <w:rsid w:val="45F35DD3"/>
    <w:rsid w:val="46056168"/>
    <w:rsid w:val="4616728A"/>
    <w:rsid w:val="4632634E"/>
    <w:rsid w:val="46362A39"/>
    <w:rsid w:val="4665376B"/>
    <w:rsid w:val="46A55988"/>
    <w:rsid w:val="46BB6481"/>
    <w:rsid w:val="46E748E3"/>
    <w:rsid w:val="47094169"/>
    <w:rsid w:val="476E221E"/>
    <w:rsid w:val="47E51EAA"/>
    <w:rsid w:val="482C7D9F"/>
    <w:rsid w:val="485D29BF"/>
    <w:rsid w:val="4861639D"/>
    <w:rsid w:val="486378A9"/>
    <w:rsid w:val="4871351D"/>
    <w:rsid w:val="48743864"/>
    <w:rsid w:val="4877696D"/>
    <w:rsid w:val="489161E5"/>
    <w:rsid w:val="48EA5566"/>
    <w:rsid w:val="48EB1D78"/>
    <w:rsid w:val="48F006D9"/>
    <w:rsid w:val="48FE2C52"/>
    <w:rsid w:val="498568CD"/>
    <w:rsid w:val="49FC7FB5"/>
    <w:rsid w:val="4A64297B"/>
    <w:rsid w:val="4A6F4C2B"/>
    <w:rsid w:val="4A75444E"/>
    <w:rsid w:val="4AA30431"/>
    <w:rsid w:val="4AAC0D27"/>
    <w:rsid w:val="4AB526A2"/>
    <w:rsid w:val="4ADE7E8B"/>
    <w:rsid w:val="4B2F4E77"/>
    <w:rsid w:val="4B3D0885"/>
    <w:rsid w:val="4B455EC1"/>
    <w:rsid w:val="4B923629"/>
    <w:rsid w:val="4BB571DF"/>
    <w:rsid w:val="4BF04060"/>
    <w:rsid w:val="4C1B0BC7"/>
    <w:rsid w:val="4C27216E"/>
    <w:rsid w:val="4C315B33"/>
    <w:rsid w:val="4C910E89"/>
    <w:rsid w:val="4CE03BBE"/>
    <w:rsid w:val="4D74286A"/>
    <w:rsid w:val="4D744B78"/>
    <w:rsid w:val="4D970721"/>
    <w:rsid w:val="4DB30144"/>
    <w:rsid w:val="4DD62D3F"/>
    <w:rsid w:val="4DEA6AA2"/>
    <w:rsid w:val="4DF755E4"/>
    <w:rsid w:val="4E603A18"/>
    <w:rsid w:val="4E997A52"/>
    <w:rsid w:val="4EE82538"/>
    <w:rsid w:val="4EF676C9"/>
    <w:rsid w:val="4EF7020E"/>
    <w:rsid w:val="4EF75830"/>
    <w:rsid w:val="4F53268E"/>
    <w:rsid w:val="4F701229"/>
    <w:rsid w:val="4F7505EE"/>
    <w:rsid w:val="4F922441"/>
    <w:rsid w:val="4F9A4E11"/>
    <w:rsid w:val="4F9F1CDE"/>
    <w:rsid w:val="4FD74E04"/>
    <w:rsid w:val="500951DA"/>
    <w:rsid w:val="503708EA"/>
    <w:rsid w:val="503E0FBE"/>
    <w:rsid w:val="50456B8B"/>
    <w:rsid w:val="50523DE8"/>
    <w:rsid w:val="50DC4E4F"/>
    <w:rsid w:val="50FE0AB7"/>
    <w:rsid w:val="51085492"/>
    <w:rsid w:val="510A745C"/>
    <w:rsid w:val="511424AE"/>
    <w:rsid w:val="51630116"/>
    <w:rsid w:val="51C94C21"/>
    <w:rsid w:val="52197CD7"/>
    <w:rsid w:val="52644CB0"/>
    <w:rsid w:val="526A6351"/>
    <w:rsid w:val="52993A23"/>
    <w:rsid w:val="52B70F1D"/>
    <w:rsid w:val="52FA7615"/>
    <w:rsid w:val="531A6615"/>
    <w:rsid w:val="5334431C"/>
    <w:rsid w:val="53357F28"/>
    <w:rsid w:val="533B7DA0"/>
    <w:rsid w:val="53430F23"/>
    <w:rsid w:val="53591FD4"/>
    <w:rsid w:val="536A7037"/>
    <w:rsid w:val="53B457A3"/>
    <w:rsid w:val="53D855EF"/>
    <w:rsid w:val="53EB66D7"/>
    <w:rsid w:val="53FF3871"/>
    <w:rsid w:val="542402E2"/>
    <w:rsid w:val="542F5F3C"/>
    <w:rsid w:val="543A1709"/>
    <w:rsid w:val="544440C9"/>
    <w:rsid w:val="5445603F"/>
    <w:rsid w:val="545A1791"/>
    <w:rsid w:val="54825621"/>
    <w:rsid w:val="54AA249E"/>
    <w:rsid w:val="54C6740B"/>
    <w:rsid w:val="54EB3100"/>
    <w:rsid w:val="54F738D6"/>
    <w:rsid w:val="55376345"/>
    <w:rsid w:val="55447A06"/>
    <w:rsid w:val="55672065"/>
    <w:rsid w:val="558F6181"/>
    <w:rsid w:val="55A53521"/>
    <w:rsid w:val="55CB435B"/>
    <w:rsid w:val="55F048BF"/>
    <w:rsid w:val="55F67FAE"/>
    <w:rsid w:val="55F81FE1"/>
    <w:rsid w:val="560533DA"/>
    <w:rsid w:val="56A52DB2"/>
    <w:rsid w:val="56C675E6"/>
    <w:rsid w:val="56E52070"/>
    <w:rsid w:val="56E82C47"/>
    <w:rsid w:val="56EA6C9B"/>
    <w:rsid w:val="572C2BD9"/>
    <w:rsid w:val="57465EFE"/>
    <w:rsid w:val="578B0416"/>
    <w:rsid w:val="57997627"/>
    <w:rsid w:val="57DD099D"/>
    <w:rsid w:val="57FA1FD8"/>
    <w:rsid w:val="580B5F93"/>
    <w:rsid w:val="583152CE"/>
    <w:rsid w:val="58501AFA"/>
    <w:rsid w:val="589C57D4"/>
    <w:rsid w:val="591C41D0"/>
    <w:rsid w:val="592D5B8C"/>
    <w:rsid w:val="59407EBE"/>
    <w:rsid w:val="59486D73"/>
    <w:rsid w:val="596013A4"/>
    <w:rsid w:val="59831B59"/>
    <w:rsid w:val="59C75EEA"/>
    <w:rsid w:val="59E072E2"/>
    <w:rsid w:val="5A223AB0"/>
    <w:rsid w:val="5A371E52"/>
    <w:rsid w:val="5A5C16CB"/>
    <w:rsid w:val="5A695A43"/>
    <w:rsid w:val="5B0213EF"/>
    <w:rsid w:val="5B423BDA"/>
    <w:rsid w:val="5B4C792C"/>
    <w:rsid w:val="5B81656C"/>
    <w:rsid w:val="5BB50945"/>
    <w:rsid w:val="5BCA0189"/>
    <w:rsid w:val="5BDB3ECE"/>
    <w:rsid w:val="5BEC60DC"/>
    <w:rsid w:val="5BEE468D"/>
    <w:rsid w:val="5BF6140F"/>
    <w:rsid w:val="5C1E1400"/>
    <w:rsid w:val="5C730E0D"/>
    <w:rsid w:val="5CB00D05"/>
    <w:rsid w:val="5CB072F8"/>
    <w:rsid w:val="5CCE20A1"/>
    <w:rsid w:val="5CCF342A"/>
    <w:rsid w:val="5CD050B5"/>
    <w:rsid w:val="5CE55871"/>
    <w:rsid w:val="5CEC174A"/>
    <w:rsid w:val="5D3915C9"/>
    <w:rsid w:val="5D454750"/>
    <w:rsid w:val="5D5E0913"/>
    <w:rsid w:val="5E0B3595"/>
    <w:rsid w:val="5E4C2DF5"/>
    <w:rsid w:val="5EA0057F"/>
    <w:rsid w:val="5EC64B44"/>
    <w:rsid w:val="5ED51B89"/>
    <w:rsid w:val="5F0E548F"/>
    <w:rsid w:val="5F1A2F60"/>
    <w:rsid w:val="5F210A89"/>
    <w:rsid w:val="5F2E2567"/>
    <w:rsid w:val="5F4633C2"/>
    <w:rsid w:val="5F702B80"/>
    <w:rsid w:val="5F7768AC"/>
    <w:rsid w:val="5F9E43E5"/>
    <w:rsid w:val="5FAB3BB8"/>
    <w:rsid w:val="5FAC498D"/>
    <w:rsid w:val="5FD046D2"/>
    <w:rsid w:val="5FE17DDD"/>
    <w:rsid w:val="600C54DF"/>
    <w:rsid w:val="600D03CE"/>
    <w:rsid w:val="60400949"/>
    <w:rsid w:val="604758A2"/>
    <w:rsid w:val="606100F2"/>
    <w:rsid w:val="60AF3751"/>
    <w:rsid w:val="60B53253"/>
    <w:rsid w:val="60DF1D6B"/>
    <w:rsid w:val="60EA69EA"/>
    <w:rsid w:val="60EE06D5"/>
    <w:rsid w:val="60F11E42"/>
    <w:rsid w:val="60F1769A"/>
    <w:rsid w:val="6142679E"/>
    <w:rsid w:val="616E4CA0"/>
    <w:rsid w:val="6190049D"/>
    <w:rsid w:val="6195243A"/>
    <w:rsid w:val="61C72714"/>
    <w:rsid w:val="61C75C85"/>
    <w:rsid w:val="6215426A"/>
    <w:rsid w:val="621C6FEF"/>
    <w:rsid w:val="621C7F29"/>
    <w:rsid w:val="625F09FC"/>
    <w:rsid w:val="62683FE2"/>
    <w:rsid w:val="628B5D44"/>
    <w:rsid w:val="62AC2121"/>
    <w:rsid w:val="62D503A9"/>
    <w:rsid w:val="62D96C8E"/>
    <w:rsid w:val="62FC3001"/>
    <w:rsid w:val="630C0456"/>
    <w:rsid w:val="638F31B2"/>
    <w:rsid w:val="63AE3EDB"/>
    <w:rsid w:val="63B81E84"/>
    <w:rsid w:val="63C47FD6"/>
    <w:rsid w:val="63D62B9B"/>
    <w:rsid w:val="640A5D9C"/>
    <w:rsid w:val="64460353"/>
    <w:rsid w:val="644665A5"/>
    <w:rsid w:val="647C5B23"/>
    <w:rsid w:val="64CC6AAA"/>
    <w:rsid w:val="64EE0B10"/>
    <w:rsid w:val="64F32289"/>
    <w:rsid w:val="65536205"/>
    <w:rsid w:val="65603852"/>
    <w:rsid w:val="657A7DE7"/>
    <w:rsid w:val="657C4CC0"/>
    <w:rsid w:val="658C3C50"/>
    <w:rsid w:val="65B23EF2"/>
    <w:rsid w:val="65D200F0"/>
    <w:rsid w:val="65DD16A8"/>
    <w:rsid w:val="6685137A"/>
    <w:rsid w:val="66E84587"/>
    <w:rsid w:val="6706505B"/>
    <w:rsid w:val="67413DE8"/>
    <w:rsid w:val="675C0B63"/>
    <w:rsid w:val="67665B52"/>
    <w:rsid w:val="679851AB"/>
    <w:rsid w:val="67C937B9"/>
    <w:rsid w:val="67CB129B"/>
    <w:rsid w:val="67E1286C"/>
    <w:rsid w:val="68070509"/>
    <w:rsid w:val="684079C6"/>
    <w:rsid w:val="685A6C36"/>
    <w:rsid w:val="686B660F"/>
    <w:rsid w:val="68953657"/>
    <w:rsid w:val="68B27D65"/>
    <w:rsid w:val="68BB1F19"/>
    <w:rsid w:val="68C5726C"/>
    <w:rsid w:val="69090FE4"/>
    <w:rsid w:val="690F3409"/>
    <w:rsid w:val="694A5DB6"/>
    <w:rsid w:val="695E4F61"/>
    <w:rsid w:val="69687D13"/>
    <w:rsid w:val="69847953"/>
    <w:rsid w:val="698614C8"/>
    <w:rsid w:val="69B73C4C"/>
    <w:rsid w:val="69CB37D4"/>
    <w:rsid w:val="69FC3738"/>
    <w:rsid w:val="6A166ACC"/>
    <w:rsid w:val="6A2161CA"/>
    <w:rsid w:val="6A305722"/>
    <w:rsid w:val="6AD458BE"/>
    <w:rsid w:val="6AF134FF"/>
    <w:rsid w:val="6B052DD4"/>
    <w:rsid w:val="6B154282"/>
    <w:rsid w:val="6B1C7EEE"/>
    <w:rsid w:val="6B265B50"/>
    <w:rsid w:val="6B38570D"/>
    <w:rsid w:val="6B6214E3"/>
    <w:rsid w:val="6BA22313"/>
    <w:rsid w:val="6BC0523A"/>
    <w:rsid w:val="6BC524A5"/>
    <w:rsid w:val="6BD34BC2"/>
    <w:rsid w:val="6C2948E8"/>
    <w:rsid w:val="6C330956"/>
    <w:rsid w:val="6CA95355"/>
    <w:rsid w:val="6CB174AE"/>
    <w:rsid w:val="6CC87595"/>
    <w:rsid w:val="6D443E48"/>
    <w:rsid w:val="6D6D4BA2"/>
    <w:rsid w:val="6D984D64"/>
    <w:rsid w:val="6DB441DE"/>
    <w:rsid w:val="6DBE1EE4"/>
    <w:rsid w:val="6E2711F5"/>
    <w:rsid w:val="6E5D0773"/>
    <w:rsid w:val="6E7A1325"/>
    <w:rsid w:val="6E8606A6"/>
    <w:rsid w:val="6E890338"/>
    <w:rsid w:val="6EBF4E32"/>
    <w:rsid w:val="6EEB2904"/>
    <w:rsid w:val="6F102886"/>
    <w:rsid w:val="6F4C341A"/>
    <w:rsid w:val="6F8A099A"/>
    <w:rsid w:val="6F981FD3"/>
    <w:rsid w:val="6FC84312"/>
    <w:rsid w:val="6FDB2297"/>
    <w:rsid w:val="6FF4180D"/>
    <w:rsid w:val="6FF93D55"/>
    <w:rsid w:val="701E3F32"/>
    <w:rsid w:val="704F0948"/>
    <w:rsid w:val="704F233D"/>
    <w:rsid w:val="70840239"/>
    <w:rsid w:val="70AE39D8"/>
    <w:rsid w:val="710936B8"/>
    <w:rsid w:val="710E21F8"/>
    <w:rsid w:val="7118041D"/>
    <w:rsid w:val="712C12B9"/>
    <w:rsid w:val="713934E1"/>
    <w:rsid w:val="718F3339"/>
    <w:rsid w:val="71E2071C"/>
    <w:rsid w:val="720C4581"/>
    <w:rsid w:val="722731C5"/>
    <w:rsid w:val="72786FDB"/>
    <w:rsid w:val="72AB311F"/>
    <w:rsid w:val="72FC60A4"/>
    <w:rsid w:val="7306762B"/>
    <w:rsid w:val="730B2CC7"/>
    <w:rsid w:val="733C4352"/>
    <w:rsid w:val="735018BD"/>
    <w:rsid w:val="73767F76"/>
    <w:rsid w:val="73970F13"/>
    <w:rsid w:val="73C551BD"/>
    <w:rsid w:val="744D4DE6"/>
    <w:rsid w:val="750E7E95"/>
    <w:rsid w:val="755F78EE"/>
    <w:rsid w:val="758331B5"/>
    <w:rsid w:val="75C73210"/>
    <w:rsid w:val="75D61609"/>
    <w:rsid w:val="75EA6D90"/>
    <w:rsid w:val="75EE5BC2"/>
    <w:rsid w:val="76C770D1"/>
    <w:rsid w:val="76F14C3E"/>
    <w:rsid w:val="770328FD"/>
    <w:rsid w:val="773A3CF8"/>
    <w:rsid w:val="775F37AE"/>
    <w:rsid w:val="776A40A8"/>
    <w:rsid w:val="77860CAA"/>
    <w:rsid w:val="778D033F"/>
    <w:rsid w:val="77920316"/>
    <w:rsid w:val="779B58A1"/>
    <w:rsid w:val="77E93ECC"/>
    <w:rsid w:val="77F02CFE"/>
    <w:rsid w:val="78022AA8"/>
    <w:rsid w:val="78395C69"/>
    <w:rsid w:val="785B2BE5"/>
    <w:rsid w:val="788031DA"/>
    <w:rsid w:val="78D635FC"/>
    <w:rsid w:val="78EC72C3"/>
    <w:rsid w:val="78EE4CAA"/>
    <w:rsid w:val="79063F20"/>
    <w:rsid w:val="791F6480"/>
    <w:rsid w:val="79382508"/>
    <w:rsid w:val="794A5D98"/>
    <w:rsid w:val="79555C48"/>
    <w:rsid w:val="795F1BBD"/>
    <w:rsid w:val="796D439A"/>
    <w:rsid w:val="798B088A"/>
    <w:rsid w:val="799F71FA"/>
    <w:rsid w:val="79C13DE5"/>
    <w:rsid w:val="79CF26BF"/>
    <w:rsid w:val="79D833A4"/>
    <w:rsid w:val="79EB1329"/>
    <w:rsid w:val="7A306423"/>
    <w:rsid w:val="7A3D1D82"/>
    <w:rsid w:val="7A524990"/>
    <w:rsid w:val="7A5E5838"/>
    <w:rsid w:val="7A990D85"/>
    <w:rsid w:val="7A9B42D8"/>
    <w:rsid w:val="7A9E046D"/>
    <w:rsid w:val="7AA17C39"/>
    <w:rsid w:val="7AFC4FF3"/>
    <w:rsid w:val="7B6865D4"/>
    <w:rsid w:val="7B76710A"/>
    <w:rsid w:val="7BB10AFB"/>
    <w:rsid w:val="7BE875EF"/>
    <w:rsid w:val="7C09233D"/>
    <w:rsid w:val="7C376A40"/>
    <w:rsid w:val="7C937121"/>
    <w:rsid w:val="7CC02EA8"/>
    <w:rsid w:val="7CD17A56"/>
    <w:rsid w:val="7CDD337A"/>
    <w:rsid w:val="7CEF62FD"/>
    <w:rsid w:val="7CFB56BA"/>
    <w:rsid w:val="7D0B583E"/>
    <w:rsid w:val="7D1A70FC"/>
    <w:rsid w:val="7D5A30FF"/>
    <w:rsid w:val="7DBC6AE1"/>
    <w:rsid w:val="7DE82DDE"/>
    <w:rsid w:val="7E4B6666"/>
    <w:rsid w:val="7E686AA3"/>
    <w:rsid w:val="7EB72204"/>
    <w:rsid w:val="7EC87E8B"/>
    <w:rsid w:val="7F315A30"/>
    <w:rsid w:val="7F5C3CB3"/>
    <w:rsid w:val="7F6D3E88"/>
    <w:rsid w:val="7F7E679B"/>
    <w:rsid w:val="7F834C81"/>
    <w:rsid w:val="7F9B2EB0"/>
    <w:rsid w:val="7FCC2CA7"/>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nhideWhenUsed="0" w:uiPriority="0" w:semiHidden="0" w:name="Body Text Indent 2"/>
    <w:lsdException w:uiPriority="99" w:name="Body Text Indent 3"/>
    <w:lsdException w:uiPriority="99" w:name="Block Text"/>
    <w:lsdException w:qFormat="1" w:uiPriority="99"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qFormat="1" w:uiPriority="99" w:name="HTML Cite"/>
    <w:lsdException w:uiPriority="99" w:name="HTML Code"/>
    <w:lsdException w:qFormat="1" w:uiPriority="99" w:name="HTML Definition"/>
    <w:lsdException w:uiPriority="99" w:name="HTML Keyboard"/>
    <w:lsdException w:qFormat="1" w:unhideWhenUsed="0" w:uiPriority="0" w:semiHidden="0" w:name="HTML Preformatted"/>
    <w:lsdException w:uiPriority="99" w:name="HTML Sample"/>
    <w:lsdException w:uiPriority="99" w:name="HTML Typewriter"/>
    <w:lsdException w:qFormat="1"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suppressAutoHyphens/>
      <w:autoSpaceDN w:val="0"/>
      <w:spacing w:line="440" w:lineRule="exact"/>
      <w:textAlignment w:val="baseline"/>
    </w:pPr>
    <w:rPr>
      <w:rFonts w:asciiTheme="minorEastAsia" w:hAnsiTheme="minorEastAsia" w:eastAsiaTheme="minorEastAsia" w:cstheme="minorEastAsia"/>
      <w:kern w:val="3"/>
      <w:sz w:val="24"/>
      <w:szCs w:val="24"/>
      <w:lang w:val="en-US" w:eastAsia="zh-CN" w:bidi="ar-SA"/>
    </w:rPr>
  </w:style>
  <w:style w:type="paragraph" w:styleId="3">
    <w:name w:val="heading 3"/>
    <w:basedOn w:val="1"/>
    <w:next w:val="1"/>
    <w:autoRedefine/>
    <w:qFormat/>
    <w:uiPriority w:val="0"/>
    <w:pPr>
      <w:keepNext/>
      <w:keepLines/>
      <w:spacing w:before="260" w:after="260" w:line="415" w:lineRule="auto"/>
      <w:outlineLvl w:val="2"/>
    </w:pPr>
    <w:rPr>
      <w:b/>
      <w:bCs/>
      <w:kern w:val="0"/>
      <w:sz w:val="32"/>
      <w:szCs w:val="32"/>
    </w:rPr>
  </w:style>
  <w:style w:type="character" w:default="1" w:styleId="14">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2">
    <w:name w:val="Normal Indent"/>
    <w:basedOn w:val="1"/>
    <w:next w:val="1"/>
    <w:autoRedefine/>
    <w:qFormat/>
    <w:uiPriority w:val="0"/>
    <w:pPr>
      <w:ind w:firstLine="420"/>
    </w:pPr>
    <w:rPr>
      <w:rFonts w:eastAsia="楷体_GB2312"/>
      <w:sz w:val="28"/>
    </w:rPr>
  </w:style>
  <w:style w:type="paragraph" w:styleId="4">
    <w:name w:val="Plain Text"/>
    <w:basedOn w:val="1"/>
    <w:autoRedefine/>
    <w:qFormat/>
    <w:uiPriority w:val="0"/>
    <w:rPr>
      <w:rFonts w:ascii="宋体" w:hAnsi="宋体" w:cs="Courier New"/>
      <w:szCs w:val="21"/>
    </w:rPr>
  </w:style>
  <w:style w:type="paragraph" w:styleId="5">
    <w:name w:val="Body Text Indent 2"/>
    <w:basedOn w:val="1"/>
    <w:autoRedefine/>
    <w:qFormat/>
    <w:uiPriority w:val="0"/>
    <w:pPr>
      <w:snapToGrid w:val="0"/>
      <w:spacing w:line="420" w:lineRule="auto"/>
      <w:ind w:firstLine="538"/>
    </w:pPr>
    <w:rPr>
      <w:rFonts w:ascii="Garamond" w:hAnsi="Garamond"/>
      <w:sz w:val="28"/>
    </w:rPr>
  </w:style>
  <w:style w:type="paragraph" w:styleId="6">
    <w:name w:val="Balloon Text"/>
    <w:basedOn w:val="1"/>
    <w:autoRedefine/>
    <w:qFormat/>
    <w:uiPriority w:val="0"/>
    <w:rPr>
      <w:sz w:val="18"/>
      <w:szCs w:val="18"/>
    </w:rPr>
  </w:style>
  <w:style w:type="paragraph" w:styleId="7">
    <w:name w:val="footer"/>
    <w:basedOn w:val="1"/>
    <w:autoRedefine/>
    <w:qFormat/>
    <w:uiPriority w:val="0"/>
    <w:pPr>
      <w:tabs>
        <w:tab w:val="center" w:pos="4153"/>
        <w:tab w:val="right" w:pos="8306"/>
      </w:tabs>
      <w:snapToGrid w:val="0"/>
    </w:pPr>
    <w:rPr>
      <w:sz w:val="18"/>
      <w:szCs w:val="18"/>
    </w:rPr>
  </w:style>
  <w:style w:type="paragraph" w:styleId="8">
    <w:name w:val="header"/>
    <w:basedOn w:val="1"/>
    <w:autoRedefine/>
    <w:qFormat/>
    <w:uiPriority w:val="0"/>
    <w:pPr>
      <w:pBdr>
        <w:bottom w:val="single" w:color="000000" w:sz="6" w:space="1"/>
      </w:pBdr>
      <w:tabs>
        <w:tab w:val="center" w:pos="4153"/>
        <w:tab w:val="right" w:pos="8306"/>
      </w:tabs>
      <w:snapToGrid w:val="0"/>
      <w:jc w:val="center"/>
    </w:pPr>
    <w:rPr>
      <w:sz w:val="18"/>
      <w:szCs w:val="18"/>
    </w:rPr>
  </w:style>
  <w:style w:type="paragraph" w:styleId="9">
    <w:name w:val="HTML Preformatted"/>
    <w:basedOn w:val="1"/>
    <w:autoRedefine/>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w:hAnsi="Arial"/>
      <w:kern w:val="0"/>
      <w:sz w:val="20"/>
    </w:rPr>
  </w:style>
  <w:style w:type="paragraph" w:styleId="10">
    <w:name w:val="Normal (Web)"/>
    <w:basedOn w:val="1"/>
    <w:autoRedefine/>
    <w:qFormat/>
    <w:uiPriority w:val="0"/>
    <w:pPr>
      <w:widowControl/>
      <w:spacing w:before="100" w:after="100"/>
    </w:pPr>
    <w:rPr>
      <w:rFonts w:ascii="宋体" w:hAnsi="宋体" w:cs="宋体"/>
      <w:kern w:val="0"/>
    </w:rPr>
  </w:style>
  <w:style w:type="paragraph" w:styleId="11">
    <w:name w:val="Title"/>
    <w:basedOn w:val="1"/>
    <w:next w:val="1"/>
    <w:autoRedefine/>
    <w:qFormat/>
    <w:uiPriority w:val="0"/>
    <w:pPr>
      <w:spacing w:before="240" w:after="60"/>
      <w:jc w:val="center"/>
      <w:outlineLvl w:val="0"/>
    </w:pPr>
    <w:rPr>
      <w:rFonts w:ascii="Cambria" w:hAnsi="Cambria"/>
      <w:b/>
      <w:bCs/>
      <w:sz w:val="32"/>
      <w:szCs w:val="32"/>
    </w:rPr>
  </w:style>
  <w:style w:type="table" w:styleId="13">
    <w:name w:val="Table Grid"/>
    <w:basedOn w:val="12"/>
    <w:autoRedefine/>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5">
    <w:name w:val="FollowedHyperlink"/>
    <w:basedOn w:val="14"/>
    <w:autoRedefine/>
    <w:semiHidden/>
    <w:unhideWhenUsed/>
    <w:qFormat/>
    <w:uiPriority w:val="99"/>
    <w:rPr>
      <w:color w:val="377CBD"/>
      <w:u w:val="single"/>
    </w:rPr>
  </w:style>
  <w:style w:type="character" w:styleId="16">
    <w:name w:val="Emphasis"/>
    <w:basedOn w:val="14"/>
    <w:autoRedefine/>
    <w:qFormat/>
    <w:uiPriority w:val="20"/>
    <w:rPr>
      <w:i/>
      <w:iCs/>
    </w:rPr>
  </w:style>
  <w:style w:type="character" w:styleId="17">
    <w:name w:val="HTML Definition"/>
    <w:basedOn w:val="14"/>
    <w:autoRedefine/>
    <w:semiHidden/>
    <w:unhideWhenUsed/>
    <w:qFormat/>
    <w:uiPriority w:val="99"/>
    <w:rPr>
      <w:i/>
      <w:iCs/>
    </w:rPr>
  </w:style>
  <w:style w:type="character" w:styleId="18">
    <w:name w:val="HTML Variable"/>
    <w:basedOn w:val="14"/>
    <w:autoRedefine/>
    <w:semiHidden/>
    <w:unhideWhenUsed/>
    <w:qFormat/>
    <w:uiPriority w:val="99"/>
    <w:rPr>
      <w:i/>
      <w:iCs/>
    </w:rPr>
  </w:style>
  <w:style w:type="character" w:styleId="19">
    <w:name w:val="Hyperlink"/>
    <w:basedOn w:val="14"/>
    <w:autoRedefine/>
    <w:semiHidden/>
    <w:unhideWhenUsed/>
    <w:qFormat/>
    <w:uiPriority w:val="99"/>
    <w:rPr>
      <w:color w:val="17419D"/>
      <w:u w:val="none"/>
    </w:rPr>
  </w:style>
  <w:style w:type="character" w:styleId="20">
    <w:name w:val="HTML Cite"/>
    <w:basedOn w:val="14"/>
    <w:autoRedefine/>
    <w:semiHidden/>
    <w:unhideWhenUsed/>
    <w:qFormat/>
    <w:uiPriority w:val="99"/>
    <w:rPr>
      <w:i/>
      <w:iCs/>
    </w:rPr>
  </w:style>
  <w:style w:type="character" w:customStyle="1" w:styleId="21">
    <w:name w:val="标题 3 字符"/>
    <w:autoRedefine/>
    <w:qFormat/>
    <w:uiPriority w:val="0"/>
    <w:rPr>
      <w:b/>
      <w:bCs/>
      <w:sz w:val="32"/>
      <w:szCs w:val="32"/>
    </w:rPr>
  </w:style>
  <w:style w:type="character" w:customStyle="1" w:styleId="22">
    <w:name w:val="标题 字符"/>
    <w:autoRedefine/>
    <w:qFormat/>
    <w:uiPriority w:val="0"/>
    <w:rPr>
      <w:rFonts w:ascii="Cambria" w:hAnsi="Cambria" w:cs="Times New Roman"/>
      <w:b/>
      <w:bCs/>
      <w:kern w:val="3"/>
      <w:sz w:val="32"/>
      <w:szCs w:val="32"/>
    </w:rPr>
  </w:style>
  <w:style w:type="paragraph" w:customStyle="1" w:styleId="23">
    <w:name w:val="Char Char Char Char"/>
    <w:basedOn w:val="1"/>
    <w:autoRedefine/>
    <w:qFormat/>
    <w:uiPriority w:val="0"/>
    <w:rPr>
      <w:rFonts w:eastAsia="楷体_GB2312"/>
      <w:sz w:val="28"/>
      <w:szCs w:val="28"/>
    </w:rPr>
  </w:style>
  <w:style w:type="character" w:customStyle="1" w:styleId="24">
    <w:name w:val="正文文本缩进 2 字符"/>
    <w:autoRedefine/>
    <w:qFormat/>
    <w:uiPriority w:val="0"/>
    <w:rPr>
      <w:rFonts w:ascii="Garamond" w:hAnsi="Garamond"/>
      <w:kern w:val="3"/>
      <w:sz w:val="28"/>
      <w:szCs w:val="24"/>
    </w:rPr>
  </w:style>
  <w:style w:type="character" w:customStyle="1" w:styleId="25">
    <w:name w:val="正文文本缩进 2 字符1"/>
    <w:autoRedefine/>
    <w:qFormat/>
    <w:uiPriority w:val="0"/>
    <w:rPr>
      <w:kern w:val="3"/>
      <w:sz w:val="21"/>
      <w:szCs w:val="24"/>
    </w:rPr>
  </w:style>
  <w:style w:type="paragraph" w:styleId="26">
    <w:name w:val="List Paragraph"/>
    <w:basedOn w:val="1"/>
    <w:autoRedefine/>
    <w:qFormat/>
    <w:uiPriority w:val="34"/>
    <w:pPr>
      <w:ind w:firstLine="420" w:firstLineChars="200"/>
    </w:pPr>
  </w:style>
  <w:style w:type="character" w:customStyle="1" w:styleId="27">
    <w:name w:val="toggle"/>
    <w:basedOn w:val="14"/>
    <w:autoRedefine/>
    <w:qFormat/>
    <w:uiPriority w:val="0"/>
  </w:style>
  <w:style w:type="character" w:customStyle="1" w:styleId="28">
    <w:name w:val="spanlabel"/>
    <w:basedOn w:val="14"/>
    <w:autoRedefine/>
    <w:qFormat/>
    <w:uiPriority w:val="0"/>
    <w:rPr>
      <w:b/>
      <w:bCs/>
      <w:color w:val="000000"/>
      <w:bdr w:val="single" w:color="95B8E7" w:sz="4" w:space="0"/>
      <w:shd w:val="clear" w:color="auto" w:fill="E0ECFF"/>
    </w:rPr>
  </w:style>
  <w:style w:type="character" w:customStyle="1" w:styleId="29">
    <w:name w:val="checkbox2"/>
    <w:basedOn w:val="14"/>
    <w:autoRedefine/>
    <w:qFormat/>
    <w:uiPriority w:val="0"/>
  </w:style>
  <w:style w:type="character" w:customStyle="1" w:styleId="30">
    <w:name w:val="font11"/>
    <w:basedOn w:val="14"/>
    <w:autoRedefine/>
    <w:qFormat/>
    <w:uiPriority w:val="0"/>
    <w:rPr>
      <w:rFonts w:hint="eastAsia" w:ascii="宋体" w:hAnsi="宋体" w:eastAsia="宋体" w:cs="宋体"/>
      <w:color w:val="000000"/>
      <w:sz w:val="20"/>
      <w:szCs w:val="20"/>
      <w:u w:val="none"/>
    </w:rPr>
  </w:style>
  <w:style w:type="character" w:customStyle="1" w:styleId="31">
    <w:name w:val="font21"/>
    <w:basedOn w:val="14"/>
    <w:autoRedefine/>
    <w:qFormat/>
    <w:uiPriority w:val="0"/>
    <w:rPr>
      <w:rFonts w:ascii="Calibri" w:hAnsi="Calibri" w:cs="Calibri"/>
      <w:color w:val="000000"/>
      <w:sz w:val="20"/>
      <w:szCs w:val="20"/>
      <w:u w:val="none"/>
    </w:rPr>
  </w:style>
  <w:style w:type="character" w:customStyle="1" w:styleId="32">
    <w:name w:val="checkbox"/>
    <w:basedOn w:val="14"/>
    <w:autoRedefine/>
    <w:qFormat/>
    <w:uiPriority w:val="0"/>
    <w:rPr>
      <w:bdr w:val="single" w:color="655E4E" w:sz="12" w:space="0"/>
    </w:r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footer" Target="footer2.xml"/><Relationship Id="rId7" Type="http://schemas.openxmlformats.org/officeDocument/2006/relationships/header" Target="head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9" Type="http://schemas.openxmlformats.org/officeDocument/2006/relationships/fontTable" Target="fontTable.xml"/><Relationship Id="rId18" Type="http://schemas.openxmlformats.org/officeDocument/2006/relationships/customXml" Target="../customXml/item2.xml"/><Relationship Id="rId17" Type="http://schemas.openxmlformats.org/officeDocument/2006/relationships/numbering" Target="numbering.xml"/><Relationship Id="rId16" Type="http://schemas.openxmlformats.org/officeDocument/2006/relationships/customXml" Target="../customXml/item1.xml"/><Relationship Id="rId15" Type="http://schemas.openxmlformats.org/officeDocument/2006/relationships/image" Target="media/image2.png"/><Relationship Id="rId14" Type="http://schemas.openxmlformats.org/officeDocument/2006/relationships/image" Target="media/image1.jpeg"/><Relationship Id="rId13" Type="http://schemas.openxmlformats.org/officeDocument/2006/relationships/theme" Target="theme/theme1.xml"/><Relationship Id="rId12" Type="http://schemas.openxmlformats.org/officeDocument/2006/relationships/footer" Target="footer4.xml"/><Relationship Id="rId11" Type="http://schemas.openxmlformats.org/officeDocument/2006/relationships/header" Target="header4.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A58568D-987A-4F94-A9F9-699B75CF4B85}">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33</Pages>
  <Words>23615</Words>
  <Characters>24382</Characters>
  <Lines>201</Lines>
  <Paragraphs>56</Paragraphs>
  <TotalTime>8</TotalTime>
  <ScaleCrop>false</ScaleCrop>
  <LinksUpToDate>false</LinksUpToDate>
  <CharactersWithSpaces>24589</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2024-06-17T00:26:00Z</dcterms:created>
  <dc:creator>微软用户</dc:creator>
  <cp:lastModifiedBy>不忘初心 方得始终</cp:lastModifiedBy>
  <cp:lastPrinted>2024-04-20T12:06:00Z</cp:lastPrinted>
  <dcterms:modified xsi:type="dcterms:W3CDTF">2025-12-09T08:54:21Z</dcterms:modified>
  <cp:revision>433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C61E4A23C0C64F50B5977FE20FA41CC2_13</vt:lpwstr>
  </property>
  <property fmtid="{D5CDD505-2E9C-101B-9397-08002B2CF9AE}" pid="4" name="KSOTemplateDocerSaveRecord">
    <vt:lpwstr>eyJoZGlkIjoiZDM0YWMyNGRkMTQ2NTVmMWI0OWRiMzBlMmVmMTRlZDAiLCJ1c2VySWQiOiIxMTczODgzNDM3In0=</vt:lpwstr>
  </property>
</Properties>
</file>