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jc w:val="center"/>
        <w:rPr>
          <w:rFonts w:ascii="黑体" w:eastAsia="黑体"/>
          <w:sz w:val="28"/>
          <w:szCs w:val="28"/>
        </w:rPr>
      </w:pPr>
      <w:bookmarkStart w:id="0" w:name="_Toc2811"/>
      <w:bookmarkStart w:id="1" w:name="_Toc11594"/>
      <w:r>
        <w:rPr>
          <w:rFonts w:hint="eastAsia" w:ascii="黑体" w:eastAsia="黑体"/>
          <w:color w:val="FF0000"/>
          <w:sz w:val="28"/>
          <w:szCs w:val="28"/>
          <w:highlight w:val="yellow"/>
        </w:rPr>
        <w:t>宁夏东宏电力有限公司</w:t>
      </w:r>
      <w:r>
        <w:rPr>
          <w:rFonts w:hint="eastAsia" w:ascii="黑体" w:eastAsia="黑体"/>
          <w:color w:val="FF0000"/>
          <w:sz w:val="28"/>
          <w:szCs w:val="28"/>
          <w:highlight w:val="yellow"/>
          <w:lang w:val="en-US" w:eastAsia="zh-CN"/>
        </w:rPr>
        <w:t>2023</w:t>
      </w:r>
      <w:r>
        <w:rPr>
          <w:rFonts w:hint="eastAsia" w:ascii="黑体" w:eastAsia="黑体"/>
          <w:color w:val="FF0000"/>
          <w:sz w:val="28"/>
          <w:szCs w:val="28"/>
          <w:highlight w:val="yellow"/>
        </w:rPr>
        <w:t>年第</w:t>
      </w:r>
      <w:r>
        <w:rPr>
          <w:rFonts w:hint="eastAsia" w:ascii="黑体" w:eastAsia="黑体"/>
          <w:color w:val="FF0000"/>
          <w:sz w:val="28"/>
          <w:szCs w:val="28"/>
          <w:highlight w:val="yellow"/>
          <w:lang w:val="en-US" w:eastAsia="zh-CN"/>
        </w:rPr>
        <w:t>十六</w:t>
      </w:r>
      <w:r>
        <w:rPr>
          <w:rFonts w:hint="eastAsia" w:ascii="黑体" w:eastAsia="黑体"/>
          <w:color w:val="FF0000"/>
          <w:sz w:val="28"/>
          <w:szCs w:val="28"/>
          <w:highlight w:val="yellow"/>
        </w:rPr>
        <w:t>批公开竞争性谈判</w:t>
      </w:r>
      <w:bookmarkEnd w:id="0"/>
    </w:p>
    <w:bookmarkEnd w:id="1"/>
    <w:p>
      <w:pPr>
        <w:adjustRightInd w:val="0"/>
        <w:snapToGrid w:val="0"/>
        <w:spacing w:line="400" w:lineRule="exact"/>
        <w:jc w:val="center"/>
        <w:rPr>
          <w:rFonts w:ascii="黑体" w:hAnsi="黑体" w:eastAsia="黑体" w:cstheme="minorEastAsia"/>
          <w:sz w:val="28"/>
          <w:szCs w:val="21"/>
        </w:rPr>
      </w:pPr>
      <w:bookmarkStart w:id="2" w:name="_Toc160"/>
      <w:r>
        <w:rPr>
          <w:rFonts w:hint="eastAsia" w:ascii="黑体" w:hAnsi="黑体" w:eastAsia="黑体" w:cstheme="minorEastAsia"/>
          <w:sz w:val="28"/>
          <w:szCs w:val="21"/>
        </w:rPr>
        <w:t>采购公告</w:t>
      </w:r>
      <w:bookmarkEnd w:id="2"/>
    </w:p>
    <w:p>
      <w:pPr>
        <w:adjustRightInd w:val="0"/>
        <w:snapToGrid w:val="0"/>
        <w:spacing w:line="400" w:lineRule="exact"/>
        <w:jc w:val="center"/>
        <w:rPr>
          <w:rFonts w:ascii="黑体" w:hAnsi="黑体" w:eastAsia="黑体" w:cstheme="minorEastAsia"/>
          <w:b/>
          <w:szCs w:val="21"/>
        </w:rPr>
      </w:pPr>
      <w:r>
        <w:rPr>
          <w:rFonts w:hint="eastAsia" w:ascii="黑体" w:hAnsi="黑体" w:eastAsia="黑体" w:cstheme="minorEastAsia"/>
          <w:sz w:val="24"/>
          <w:szCs w:val="21"/>
        </w:rPr>
        <w:t>采购编号：</w:t>
      </w:r>
      <w:r>
        <w:rPr>
          <w:rFonts w:hint="eastAsia" w:ascii="黑体" w:hAnsi="黑体" w:eastAsia="黑体" w:cstheme="minorEastAsia"/>
          <w:color w:val="FF0000"/>
          <w:sz w:val="24"/>
          <w:szCs w:val="21"/>
          <w:highlight w:val="yellow"/>
        </w:rPr>
        <w:t>NXDHDL-GKJT-2023-16</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3" w:name="_Toc62566117"/>
      <w:bookmarkStart w:id="4" w:name="_Toc11488"/>
      <w:bookmarkStart w:id="5" w:name="_Toc7788"/>
      <w:r>
        <w:rPr>
          <w:rFonts w:hint="eastAsia" w:ascii="黑体" w:eastAsia="黑体" w:hAnsiTheme="majorHAnsi" w:cstheme="majorBidi"/>
          <w:b/>
          <w:kern w:val="0"/>
          <w:sz w:val="24"/>
          <w:lang w:bidi="en-US"/>
        </w:rPr>
        <w:t>1.采购条件</w:t>
      </w:r>
      <w:bookmarkEnd w:id="3"/>
      <w:bookmarkEnd w:id="4"/>
      <w:bookmarkEnd w:id="5"/>
    </w:p>
    <w:p>
      <w:pPr>
        <w:adjustRightInd w:val="0"/>
        <w:snapToGrid w:val="0"/>
        <w:spacing w:line="400" w:lineRule="exact"/>
        <w:ind w:firstLine="420" w:firstLineChars="200"/>
        <w:rPr>
          <w:rFonts w:ascii="宋体" w:hAnsi="宋体"/>
        </w:rPr>
      </w:pPr>
      <w:r>
        <w:rPr>
          <w:rFonts w:hint="eastAsia" w:ascii="宋体" w:hAnsi="宋体"/>
        </w:rPr>
        <w:t>本项目采购人为</w:t>
      </w:r>
      <w:r>
        <w:rPr>
          <w:rFonts w:hint="eastAsia" w:ascii="宋体" w:hAnsi="宋体"/>
          <w:color w:val="FF0000"/>
          <w:highlight w:val="yellow"/>
        </w:rPr>
        <w:t>宁夏东宏电力有限公司</w:t>
      </w:r>
      <w:r>
        <w:rPr>
          <w:rFonts w:hint="eastAsia" w:ascii="宋体" w:hAnsi="宋体"/>
        </w:rPr>
        <w:t>，项目资金已落实，并委托宁夏天鹰电力物资有限公司为采购代理机构。项目已具备采购条件，现对该项目进行公开竞争性谈判采购。</w:t>
      </w:r>
    </w:p>
    <w:p>
      <w:pPr>
        <w:adjustRightInd w:val="0"/>
        <w:snapToGrid w:val="0"/>
        <w:spacing w:line="400" w:lineRule="exact"/>
        <w:ind w:firstLine="420" w:firstLineChars="200"/>
        <w:rPr>
          <w:rFonts w:ascii="宋体" w:hAnsi="宋体"/>
        </w:rPr>
      </w:pPr>
      <w:r>
        <w:rPr>
          <w:rFonts w:hint="eastAsia" w:ascii="宋体" w:hAnsi="宋体"/>
        </w:rPr>
        <w:t>本项目积极响应《中共中央国务院关于开展质量提升行动的指导意见》，倡导潜在应答人用先进标准引领服务质量提升，有效治理质量突出问题，推动形成优质优价的采购机制。</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6" w:name="_Toc31701"/>
      <w:bookmarkStart w:id="7" w:name="_Toc62566118"/>
      <w:bookmarkStart w:id="8" w:name="_Toc15047"/>
      <w:r>
        <w:rPr>
          <w:rFonts w:hint="eastAsia" w:ascii="黑体" w:eastAsia="黑体" w:hAnsiTheme="majorHAnsi" w:cstheme="majorBidi"/>
          <w:b/>
          <w:kern w:val="0"/>
          <w:sz w:val="24"/>
          <w:lang w:bidi="en-US"/>
        </w:rPr>
        <w:t>2.</w:t>
      </w:r>
      <w:bookmarkEnd w:id="6"/>
      <w:bookmarkEnd w:id="7"/>
      <w:bookmarkEnd w:id="8"/>
      <w:r>
        <w:rPr>
          <w:rFonts w:hint="eastAsia" w:ascii="黑体" w:eastAsia="黑体"/>
          <w:b/>
          <w:sz w:val="24"/>
        </w:rPr>
        <w:t>项目概况与采购范围</w:t>
      </w:r>
    </w:p>
    <w:p>
      <w:pPr>
        <w:adjustRightInd w:val="0"/>
        <w:snapToGrid w:val="0"/>
        <w:spacing w:line="400" w:lineRule="exact"/>
        <w:ind w:firstLine="422" w:firstLineChars="200"/>
        <w:rPr>
          <w:rFonts w:ascii="宋体" w:hAnsi="宋体"/>
          <w:b/>
          <w:bCs/>
        </w:rPr>
      </w:pPr>
      <w:bookmarkStart w:id="9" w:name="_Toc24269"/>
      <w:bookmarkStart w:id="10" w:name="_Toc62566119"/>
      <w:bookmarkStart w:id="11" w:name="_Toc2249"/>
      <w:r>
        <w:rPr>
          <w:rFonts w:hint="eastAsia" w:ascii="宋体" w:hAnsi="宋体" w:cs="宋体"/>
          <w:b/>
          <w:bCs/>
          <w:szCs w:val="21"/>
        </w:rPr>
        <w:t>详见采购公告附件一：需求一览表</w:t>
      </w:r>
      <w:r>
        <w:rPr>
          <w:rFonts w:hint="eastAsia" w:ascii="宋体" w:hAnsi="宋体"/>
          <w:b/>
          <w:bCs/>
        </w:rPr>
        <w:t>。</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r>
        <w:rPr>
          <w:rFonts w:hint="eastAsia" w:ascii="黑体" w:eastAsia="黑体" w:hAnsiTheme="majorHAnsi" w:cstheme="majorBidi"/>
          <w:b/>
          <w:kern w:val="0"/>
          <w:sz w:val="24"/>
          <w:lang w:bidi="en-US"/>
        </w:rPr>
        <w:t>3.应答人资格要求</w:t>
      </w:r>
      <w:bookmarkEnd w:id="9"/>
      <w:bookmarkEnd w:id="10"/>
      <w:bookmarkEnd w:id="11"/>
    </w:p>
    <w:p>
      <w:pPr>
        <w:adjustRightInd w:val="0"/>
        <w:snapToGrid w:val="0"/>
        <w:spacing w:line="400" w:lineRule="exact"/>
        <w:ind w:firstLine="422" w:firstLineChars="200"/>
        <w:rPr>
          <w:rFonts w:ascii="宋体" w:hAnsi="宋体"/>
          <w:b/>
        </w:rPr>
      </w:pPr>
      <w:r>
        <w:rPr>
          <w:rFonts w:ascii="宋体" w:hAnsi="宋体"/>
          <w:b/>
        </w:rPr>
        <w:t>3.1</w:t>
      </w:r>
      <w:r>
        <w:rPr>
          <w:rFonts w:hint="eastAsia" w:ascii="宋体" w:hAnsi="宋体"/>
          <w:b/>
        </w:rPr>
        <w:t xml:space="preserve"> 应答人须满足如下通用资格要求：</w:t>
      </w:r>
    </w:p>
    <w:p>
      <w:pPr>
        <w:adjustRightInd w:val="0"/>
        <w:snapToGrid w:val="0"/>
        <w:spacing w:line="400" w:lineRule="exact"/>
        <w:ind w:firstLine="420" w:firstLineChars="200"/>
      </w:pPr>
      <w:r>
        <w:rPr>
          <w:rFonts w:hint="eastAsia" w:ascii="宋体" w:hAnsi="宋体"/>
        </w:rPr>
        <w:t>（1）本次采购要求应答人须为中华人民共和国境内依法注册的法人或非法人组织，须具备承担所应答项目的资格条件；并在人员、设备、资金等方面具有保障如期完成采购项目的能力，</w:t>
      </w:r>
      <w:r>
        <w:rPr>
          <w:rFonts w:hint="eastAsia" w:ascii="宋体" w:hAnsi="宋体" w:cs="宋体"/>
          <w:szCs w:val="21"/>
        </w:rPr>
        <w:t>具有与本采购项目相应的供货能力。</w:t>
      </w:r>
    </w:p>
    <w:p>
      <w:pPr>
        <w:adjustRightInd w:val="0"/>
        <w:snapToGrid w:val="0"/>
        <w:spacing w:line="400" w:lineRule="exact"/>
        <w:ind w:firstLine="420" w:firstLineChars="200"/>
        <w:rPr>
          <w:rFonts w:ascii="宋体" w:hAnsi="宋体"/>
        </w:rPr>
      </w:pPr>
      <w:r>
        <w:rPr>
          <w:rFonts w:hint="eastAsia" w:ascii="宋体" w:hAnsi="宋体"/>
        </w:rPr>
        <w:t>（2）法定代表人或单位负责人为同一人或者存在控股、管理关系的不同单位，不得参加同一标包应答或者未划分标包的同一采购项目应答；</w:t>
      </w:r>
    </w:p>
    <w:p>
      <w:pPr>
        <w:adjustRightInd w:val="0"/>
        <w:snapToGrid w:val="0"/>
        <w:spacing w:line="400" w:lineRule="exact"/>
        <w:ind w:firstLine="420" w:firstLineChars="200"/>
        <w:rPr>
          <w:rFonts w:ascii="宋体" w:hAnsi="宋体"/>
        </w:rPr>
      </w:pPr>
      <w:r>
        <w:rPr>
          <w:rFonts w:hint="eastAsia" w:ascii="宋体" w:hAnsi="宋体"/>
          <w:highlight w:val="yellow"/>
        </w:rPr>
        <w:t>（3）</w:t>
      </w:r>
      <w:r>
        <w:rPr>
          <w:rFonts w:hint="eastAsia" w:ascii="宋体" w:hAnsi="宋体" w:cs="宋体"/>
          <w:szCs w:val="21"/>
          <w:highlight w:val="yellow"/>
        </w:rPr>
        <w:t>取得国家法律、法规、部门规章及规范标准规定的有效许可证。取得采购文件要求的国家强制认证证书</w:t>
      </w:r>
      <w:r>
        <w:rPr>
          <w:rFonts w:hint="eastAsia" w:ascii="宋体" w:hAnsi="宋体"/>
          <w:highlight w:val="yellow"/>
        </w:rPr>
        <w:t>。</w:t>
      </w:r>
    </w:p>
    <w:p>
      <w:pPr>
        <w:adjustRightInd w:val="0"/>
        <w:snapToGrid w:val="0"/>
        <w:spacing w:line="400" w:lineRule="exact"/>
        <w:ind w:firstLine="420" w:firstLineChars="200"/>
      </w:pPr>
      <w:r>
        <w:rPr>
          <w:rFonts w:hint="eastAsia" w:ascii="宋体" w:hAnsi="宋体"/>
        </w:rPr>
        <w:t>（4）根据《国家电网有限公司供应商不良行为处理管理细则》的规定，应答人存在导致其被暂停成交资格或取消成交资格的不良行为且在处理有效期内的，</w:t>
      </w:r>
      <w:r>
        <w:rPr>
          <w:rFonts w:hint="eastAsia"/>
        </w:rPr>
        <w:t>应答人在首次应答截止之日至成交结果发布之前，任一日在不良行为处理期内的，均适用不良行为处理结果。或应答人存在触发《国家电网有限公司供应商不良行为处理管理细则》第三十三条重大问题“熔断机制”情形的，其应答将被否决。</w:t>
      </w:r>
    </w:p>
    <w:p>
      <w:pPr>
        <w:adjustRightInd w:val="0"/>
        <w:snapToGrid w:val="0"/>
        <w:spacing w:line="400" w:lineRule="exact"/>
        <w:ind w:firstLine="420" w:firstLineChars="200"/>
        <w:rPr>
          <w:rFonts w:ascii="宋体" w:hAnsi="宋体"/>
        </w:rPr>
      </w:pPr>
      <w:r>
        <w:rPr>
          <w:rFonts w:hint="eastAsia" w:ascii="宋体" w:hAnsi="宋体"/>
        </w:rPr>
        <w:t>（5）根据最高人民法院、国家发展改革委、国家铁路局等九部门联合印发的《关于在招标投标活动中对失信被执行人实施联合惩戒的通知》（法〔2016〕285号），应答人不得被人民法院列为失信被执行人。应答人不得存在违法失信行为，不得被“信用中国”网站（www.creditchina.gov.cn）列入严重失信主体名单，不得被“中国执行信息公开网”网站（http://zxgk.court.gov.cn/）列入失信被执行人。即使应答人在应答截止日当日未被人民法院列为失信被执行人，亦未被“信用中国”网站（www.creditchina.gov.cn）列入失信被执行人名单或“中国执行信息公开网”网站（http://zxgk.court.gov.cn/）中列入失信被执行人，但在发送成交通知书之日，被列为失信被执行人或被列入失信被执行人名单，采购人亦有权取消其成交资格。</w:t>
      </w:r>
    </w:p>
    <w:p>
      <w:pPr>
        <w:adjustRightInd w:val="0"/>
        <w:snapToGrid w:val="0"/>
        <w:spacing w:line="400" w:lineRule="exact"/>
        <w:ind w:firstLine="420" w:firstLineChars="200"/>
        <w:rPr>
          <w:rFonts w:ascii="宋体" w:hAnsi="宋体"/>
        </w:rPr>
      </w:pPr>
      <w:r>
        <w:rPr>
          <w:rFonts w:hint="eastAsia" w:ascii="宋体" w:hAnsi="宋体"/>
        </w:rPr>
        <w:t>（6）应答人不得被市场监督管理机关在国家企业信用信息公示系统中列入严重违法失信企业名单或列入经营异常名录信息。即使应答人在应答截止日当日未被市场监督管理机关在国家企业信用信息公示系统中列入“经营异常名录”或者“严重违法失信企业名单”，但在发送成交通知书之日，被列入“经营异常名录”或者“严重违法失信企业名单”，采购人亦有权取消其成交资格。</w:t>
      </w:r>
    </w:p>
    <w:p>
      <w:pPr>
        <w:adjustRightInd w:val="0"/>
        <w:snapToGrid w:val="0"/>
        <w:spacing w:line="400" w:lineRule="exact"/>
        <w:ind w:firstLine="420" w:firstLineChars="200"/>
        <w:rPr>
          <w:rFonts w:ascii="宋体" w:hAnsi="宋体" w:cs="宋体"/>
          <w:szCs w:val="21"/>
        </w:rPr>
      </w:pPr>
      <w:r>
        <w:rPr>
          <w:rFonts w:hint="eastAsia" w:ascii="宋体" w:hAnsi="宋体" w:cs="宋体"/>
          <w:szCs w:val="21"/>
        </w:rPr>
        <w:t>（</w:t>
      </w:r>
      <w:r>
        <w:rPr>
          <w:rFonts w:ascii="宋体" w:hAnsi="宋体" w:cs="宋体"/>
          <w:szCs w:val="21"/>
        </w:rPr>
        <w:t>7</w:t>
      </w:r>
      <w:r>
        <w:rPr>
          <w:rFonts w:hint="eastAsia" w:ascii="宋体" w:hAnsi="宋体" w:cs="宋体"/>
          <w:szCs w:val="21"/>
        </w:rPr>
        <w:t>）在与规范相同或较规范更严格的条件下，应答产品的投运数量或供货数量及其成功运行时间满足采购文件的要求。如同一包内存在不同类别的产品，除外购外协的产品外，则应答人须分别满足包内各类别产品的资格要求；对于外购外协的产品，产品制造商应满足本公告资质相关业绩要求。</w:t>
      </w:r>
    </w:p>
    <w:p>
      <w:pPr>
        <w:adjustRightInd w:val="0"/>
        <w:snapToGrid w:val="0"/>
        <w:spacing w:line="400" w:lineRule="exact"/>
        <w:ind w:firstLine="420" w:firstLineChars="200"/>
        <w:rPr>
          <w:rFonts w:ascii="宋体" w:hAnsi="宋体"/>
        </w:rPr>
      </w:pPr>
      <w:r>
        <w:rPr>
          <w:rFonts w:hint="eastAsia" w:ascii="宋体" w:hAnsi="宋体"/>
        </w:rPr>
        <w:t>（</w:t>
      </w:r>
      <w:r>
        <w:rPr>
          <w:rFonts w:ascii="宋体" w:hAnsi="宋体"/>
        </w:rPr>
        <w:t>8</w:t>
      </w:r>
      <w:r>
        <w:rPr>
          <w:rFonts w:hint="eastAsia" w:ascii="宋体" w:hAnsi="宋体"/>
        </w:rPr>
        <w:t>）本次采购是否接受代理商应答见采购公告附件一：需求一览表。如接受代理商应答的，代理产品不得属于《机电产品国际招标投标实施办法（试行）》（商务部令2014年第1号）规定必须进行国际招标的产品。</w:t>
      </w:r>
    </w:p>
    <w:p>
      <w:pPr>
        <w:adjustRightInd w:val="0"/>
        <w:snapToGrid w:val="0"/>
        <w:spacing w:line="400" w:lineRule="exact"/>
        <w:ind w:firstLine="420" w:firstLineChars="200"/>
        <w:rPr>
          <w:rFonts w:ascii="宋体" w:hAnsi="宋体"/>
        </w:rPr>
      </w:pPr>
      <w:r>
        <w:rPr>
          <w:rFonts w:hint="eastAsia" w:ascii="宋体" w:hAnsi="宋体"/>
        </w:rPr>
        <w:t>（</w:t>
      </w:r>
      <w:r>
        <w:rPr>
          <w:rFonts w:ascii="宋体" w:hAnsi="宋体"/>
        </w:rPr>
        <w:t>9</w:t>
      </w:r>
      <w:r>
        <w:rPr>
          <w:rFonts w:hint="eastAsia" w:ascii="宋体" w:hAnsi="宋体"/>
        </w:rPr>
        <w:t>）接受代理商或者外协外购产品应答时，其应答产品制造商须在境内具备相应货物的制造能力，并在人员、设备、资金等方面具有保障相应协作承制货物如期交货的能力。除特别注明外，这些资格、资质、业绩均系应答人本人或者其代理或外协产品制造商本人所拥有的权利权益。</w:t>
      </w:r>
    </w:p>
    <w:p>
      <w:pPr>
        <w:adjustRightInd w:val="0"/>
        <w:snapToGrid w:val="0"/>
        <w:spacing w:line="400" w:lineRule="exact"/>
        <w:ind w:firstLine="420" w:firstLineChars="200"/>
        <w:rPr>
          <w:rFonts w:ascii="宋体" w:hAnsi="宋体"/>
        </w:rPr>
      </w:pPr>
      <w:r>
        <w:rPr>
          <w:rFonts w:hint="eastAsia" w:ascii="宋体" w:hAnsi="宋体"/>
        </w:rPr>
        <w:t>（</w:t>
      </w:r>
      <w:r>
        <w:rPr>
          <w:rFonts w:ascii="宋体" w:hAnsi="宋体"/>
        </w:rPr>
        <w:t>10</w:t>
      </w:r>
      <w:r>
        <w:rPr>
          <w:rFonts w:hint="eastAsia" w:ascii="宋体" w:hAnsi="宋体"/>
        </w:rPr>
        <w:t>）对于接受代理商应答的货物，若应答人为代理商应出具产品制造厂家提供的针对本项目唯一的有效代理授权书原件扫描件。若是国外设备制造商需通过代理应答的，应答人必须提供国外设备制造商或国内经销商出具的针对本项目的唯一的有效授权书。代理商应答应提供原厂产品质量检验证明（如：型式报告、检测报告、ISO9000系列质量认证证书）等，具体要求详见采购公告附件一。</w:t>
      </w:r>
    </w:p>
    <w:p>
      <w:pPr>
        <w:pStyle w:val="2"/>
        <w:spacing w:line="400" w:lineRule="exact"/>
        <w:ind w:firstLine="420" w:firstLineChars="200"/>
        <w:rPr>
          <w:rFonts w:ascii="宋体" w:hAnsi="宋体"/>
          <w:sz w:val="21"/>
          <w:szCs w:val="22"/>
        </w:rPr>
      </w:pPr>
      <w:r>
        <w:rPr>
          <w:rFonts w:hint="eastAsia" w:ascii="宋体" w:hAnsi="宋体"/>
          <w:sz w:val="21"/>
          <w:szCs w:val="22"/>
        </w:rPr>
        <w:t>（</w:t>
      </w:r>
      <w:r>
        <w:rPr>
          <w:rFonts w:ascii="宋体" w:hAnsi="宋体"/>
          <w:sz w:val="21"/>
          <w:szCs w:val="22"/>
        </w:rPr>
        <w:t>11</w:t>
      </w:r>
      <w:r>
        <w:rPr>
          <w:rFonts w:hint="eastAsia" w:ascii="宋体" w:hAnsi="宋体"/>
          <w:sz w:val="21"/>
          <w:szCs w:val="22"/>
        </w:rPr>
        <w:t>）外购外协原材料、配套元件和外部委托加工及进口散装的部件应符合本采购技术规范要求。国家、行业已经发布相应产品标准的，应答人须取得国家级权威检验检测机构出具的型式试验报告；国家、行业尚未发布相应产品标准的，应答人须取得国家级权威检验检测机构依据国家电网有限公司企业标准出具的检验检测报告。应答人应具备对外购外协原材料、配套元件和外部委托加工及进口散装的部件进行进厂验收所需的检验制度、检测手段和能力，和由材料、元件和部件供应商提供的检测合格证明。原材料组部件管理应当具有可追溯性。</w:t>
      </w:r>
    </w:p>
    <w:p>
      <w:pPr>
        <w:adjustRightInd w:val="0"/>
        <w:snapToGrid w:val="0"/>
        <w:spacing w:line="400" w:lineRule="exact"/>
        <w:ind w:firstLine="422" w:firstLineChars="200"/>
        <w:rPr>
          <w:rFonts w:ascii="宋体" w:hAnsi="宋体"/>
          <w:b/>
        </w:rPr>
      </w:pPr>
      <w:r>
        <w:rPr>
          <w:rFonts w:ascii="宋体" w:hAnsi="宋体"/>
          <w:b/>
        </w:rPr>
        <w:t xml:space="preserve">3.2 </w:t>
      </w:r>
      <w:r>
        <w:rPr>
          <w:rFonts w:hint="eastAsia" w:ascii="宋体" w:hAnsi="宋体"/>
          <w:b/>
        </w:rPr>
        <w:t>应答人须满足如下专用资格要求：</w:t>
      </w:r>
    </w:p>
    <w:p>
      <w:pPr>
        <w:adjustRightInd w:val="0"/>
        <w:snapToGrid w:val="0"/>
        <w:spacing w:line="400" w:lineRule="exact"/>
        <w:ind w:firstLine="420" w:firstLineChars="200"/>
        <w:rPr>
          <w:rFonts w:ascii="宋体" w:hAnsi="宋体"/>
        </w:rPr>
      </w:pPr>
      <w:r>
        <w:rPr>
          <w:rFonts w:hint="eastAsia" w:ascii="宋体" w:hAnsi="宋体"/>
        </w:rPr>
        <w:t>详见采购公告附件一：需求一览表。</w:t>
      </w:r>
    </w:p>
    <w:p>
      <w:pPr>
        <w:widowControl/>
        <w:adjustRightInd w:val="0"/>
        <w:snapToGrid w:val="0"/>
        <w:spacing w:line="400" w:lineRule="exact"/>
        <w:ind w:firstLine="422" w:firstLineChars="200"/>
        <w:outlineLvl w:val="2"/>
        <w:rPr>
          <w:b/>
        </w:rPr>
      </w:pPr>
      <w:r>
        <w:rPr>
          <w:rFonts w:ascii="宋体" w:hAnsi="宋体"/>
          <w:b/>
        </w:rPr>
        <w:t>3.</w:t>
      </w:r>
      <w:r>
        <w:rPr>
          <w:rFonts w:hint="eastAsia" w:ascii="宋体" w:hAnsi="宋体"/>
          <w:b/>
        </w:rPr>
        <w:t xml:space="preserve">3 </w:t>
      </w:r>
      <w:r>
        <w:rPr>
          <w:rFonts w:hint="eastAsia"/>
          <w:b/>
        </w:rPr>
        <w:t>除专用资格要求中明确接受联合体应答的项目外，不接受联合体应答。</w:t>
      </w:r>
    </w:p>
    <w:p>
      <w:pPr>
        <w:adjustRightInd w:val="0"/>
        <w:snapToGrid w:val="0"/>
        <w:spacing w:line="400" w:lineRule="exact"/>
        <w:ind w:firstLine="422" w:firstLineChars="200"/>
        <w:outlineLvl w:val="2"/>
        <w:rPr>
          <w:rFonts w:ascii="宋体" w:hAnsi="宋体"/>
          <w:b/>
        </w:rPr>
      </w:pPr>
      <w:r>
        <w:rPr>
          <w:rFonts w:ascii="宋体" w:hAnsi="宋体"/>
          <w:b/>
        </w:rPr>
        <w:t>3.</w:t>
      </w:r>
      <w:r>
        <w:rPr>
          <w:rFonts w:hint="eastAsia" w:ascii="宋体" w:hAnsi="宋体"/>
          <w:b/>
        </w:rPr>
        <w:t>4 如接受联合体应答的，应答人还应遵守以下规定：</w:t>
      </w:r>
    </w:p>
    <w:p>
      <w:pPr>
        <w:adjustRightInd w:val="0"/>
        <w:snapToGrid w:val="0"/>
        <w:spacing w:line="400" w:lineRule="exact"/>
        <w:ind w:firstLine="420" w:firstLineChars="200"/>
        <w:rPr>
          <w:rFonts w:ascii="宋体" w:hAnsi="宋体"/>
        </w:rPr>
      </w:pPr>
      <w:r>
        <w:rPr>
          <w:rFonts w:hint="eastAsia" w:ascii="宋体" w:hAnsi="宋体"/>
        </w:rPr>
        <w:t>（1）联合体各方均应满足3.1款和3.2款的规定。</w:t>
      </w:r>
    </w:p>
    <w:p>
      <w:pPr>
        <w:adjustRightInd w:val="0"/>
        <w:snapToGrid w:val="0"/>
        <w:spacing w:line="400" w:lineRule="exact"/>
        <w:ind w:firstLine="420" w:firstLineChars="200"/>
        <w:rPr>
          <w:rFonts w:ascii="宋体" w:hAnsi="宋体"/>
        </w:rPr>
      </w:pPr>
      <w:r>
        <w:rPr>
          <w:rFonts w:hint="eastAsia" w:ascii="宋体" w:hAnsi="宋体"/>
        </w:rPr>
        <w:t>（2</w:t>
      </w:r>
      <w:r>
        <w:rPr>
          <w:rFonts w:ascii="宋体" w:hAnsi="宋体"/>
        </w:rPr>
        <w:t>）联合体各方应按照采购文件提供的格式签订联合体协议书，明确联合体牵头人和各方的权利义务；</w:t>
      </w:r>
    </w:p>
    <w:p>
      <w:pPr>
        <w:adjustRightInd w:val="0"/>
        <w:snapToGrid w:val="0"/>
        <w:spacing w:line="400" w:lineRule="exact"/>
        <w:ind w:firstLine="420" w:firstLineChars="200"/>
        <w:rPr>
          <w:rFonts w:ascii="宋体" w:hAnsi="宋体"/>
        </w:rPr>
      </w:pPr>
      <w:r>
        <w:rPr>
          <w:rFonts w:hint="eastAsia" w:ascii="宋体" w:hAnsi="宋体"/>
        </w:rPr>
        <w:t>（3）联合体牵头人代表联合体各方负责获取本项目的采购文件及应答工作；</w:t>
      </w:r>
    </w:p>
    <w:p>
      <w:pPr>
        <w:adjustRightInd w:val="0"/>
        <w:snapToGrid w:val="0"/>
        <w:spacing w:line="400" w:lineRule="exact"/>
        <w:ind w:firstLine="420" w:firstLineChars="200"/>
        <w:rPr>
          <w:rFonts w:ascii="宋体" w:hAnsi="宋体"/>
        </w:rPr>
      </w:pPr>
      <w:r>
        <w:rPr>
          <w:rFonts w:hint="eastAsia" w:ascii="宋体" w:hAnsi="宋体"/>
        </w:rPr>
        <w:t>（4）由同一专业的单位组成的联合体，按照资质等级较低的单位确定资质等级；不同专业分工由不同单位分别承担的，按照各自的专业资质确定联合体的资质。</w:t>
      </w:r>
    </w:p>
    <w:p>
      <w:pPr>
        <w:adjustRightInd w:val="0"/>
        <w:snapToGrid w:val="0"/>
        <w:spacing w:line="400" w:lineRule="exact"/>
        <w:ind w:firstLine="420" w:firstLineChars="200"/>
        <w:rPr>
          <w:rFonts w:ascii="宋体" w:hAnsi="宋体"/>
        </w:rPr>
      </w:pPr>
      <w:r>
        <w:rPr>
          <w:rFonts w:hint="eastAsia" w:ascii="宋体" w:hAnsi="宋体"/>
        </w:rPr>
        <w:t>（5）联合体各方不得再以自己名义单独或参加其他联合体在同一标包中应答。</w:t>
      </w:r>
    </w:p>
    <w:p>
      <w:pPr>
        <w:adjustRightInd w:val="0"/>
        <w:snapToGrid w:val="0"/>
        <w:spacing w:line="400" w:lineRule="exact"/>
        <w:ind w:firstLine="422" w:firstLineChars="200"/>
      </w:pPr>
      <w:r>
        <w:rPr>
          <w:rFonts w:ascii="宋体" w:hAnsi="宋体"/>
          <w:b/>
        </w:rPr>
        <w:t>3.5</w:t>
      </w:r>
      <w:r>
        <w:rPr>
          <w:rFonts w:hint="eastAsia"/>
        </w:rPr>
        <w:t>本次采购</w:t>
      </w:r>
      <w:r>
        <w:rPr>
          <w:rFonts w:hint="eastAsia" w:ascii="宋体" w:hAnsi="宋体"/>
          <w:szCs w:val="21"/>
        </w:rPr>
        <w:t>不接受</w:t>
      </w:r>
      <w:r>
        <w:rPr>
          <w:rFonts w:hint="eastAsia"/>
        </w:rPr>
        <w:t>代理应答。</w:t>
      </w:r>
    </w:p>
    <w:p>
      <w:pPr>
        <w:adjustRightInd w:val="0"/>
        <w:snapToGrid w:val="0"/>
        <w:spacing w:line="400" w:lineRule="exact"/>
        <w:ind w:firstLine="420" w:firstLineChars="199"/>
      </w:pPr>
      <w:r>
        <w:rPr>
          <w:rFonts w:ascii="宋体" w:hAnsi="宋体"/>
          <w:b/>
        </w:rPr>
        <w:t>3.</w:t>
      </w:r>
      <w:r>
        <w:rPr>
          <w:rFonts w:hint="eastAsia" w:ascii="宋体" w:hAnsi="宋体"/>
          <w:b/>
        </w:rPr>
        <w:t>6</w:t>
      </w:r>
      <w:r>
        <w:rPr>
          <w:rFonts w:hint="eastAsia"/>
        </w:rPr>
        <w:t>各应答人均可就本次采购的部分或全部标包应答。</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12" w:name="_Toc62566120"/>
      <w:bookmarkStart w:id="13" w:name="_Toc26765"/>
      <w:bookmarkStart w:id="14" w:name="_Toc3136"/>
      <w:r>
        <w:rPr>
          <w:rFonts w:hint="eastAsia" w:ascii="黑体" w:eastAsia="黑体" w:hAnsiTheme="majorHAnsi" w:cstheme="majorBidi"/>
          <w:b/>
          <w:kern w:val="0"/>
          <w:sz w:val="24"/>
          <w:lang w:bidi="en-US"/>
        </w:rPr>
        <w:t>4.采购文件的获取</w:t>
      </w:r>
      <w:bookmarkEnd w:id="12"/>
      <w:bookmarkEnd w:id="13"/>
      <w:bookmarkEnd w:id="14"/>
    </w:p>
    <w:p>
      <w:pPr>
        <w:adjustRightInd w:val="0"/>
        <w:snapToGrid w:val="0"/>
        <w:spacing w:line="400" w:lineRule="exact"/>
        <w:ind w:firstLine="420" w:firstLineChars="200"/>
        <w:rPr>
          <w:rFonts w:ascii="宋体" w:hAnsi="宋体"/>
        </w:rPr>
      </w:pPr>
      <w:r>
        <w:rPr>
          <w:rFonts w:hint="eastAsia" w:ascii="宋体" w:hAnsi="宋体"/>
        </w:rPr>
        <w:t>4.1 采购文件（电子文件）免费获取。</w:t>
      </w:r>
    </w:p>
    <w:p>
      <w:pPr>
        <w:adjustRightInd w:val="0"/>
        <w:snapToGrid w:val="0"/>
        <w:spacing w:line="400" w:lineRule="exact"/>
        <w:ind w:firstLine="420" w:firstLineChars="200"/>
        <w:rPr>
          <w:rFonts w:ascii="宋体" w:hAnsi="宋体"/>
        </w:rPr>
      </w:pPr>
      <w:r>
        <w:rPr>
          <w:rFonts w:hint="eastAsia" w:ascii="宋体" w:hAnsi="宋体"/>
        </w:rPr>
        <w:t>4.2</w:t>
      </w:r>
      <w:r>
        <w:rPr>
          <w:rFonts w:hint="eastAsia" w:ascii="宋体" w:hAnsi="宋体" w:cs="宋体"/>
          <w:szCs w:val="21"/>
        </w:rPr>
        <w:t>凡有意参加应答者，请于</w:t>
      </w:r>
      <w:r>
        <w:rPr>
          <w:rFonts w:hint="eastAsia" w:ascii="宋体" w:hAnsi="宋体"/>
          <w:b/>
          <w:bCs/>
          <w:color w:val="FF0000"/>
          <w:highlight w:val="yellow"/>
          <w:lang w:val="en-US" w:eastAsia="zh-CN"/>
        </w:rPr>
        <w:t>2023</w:t>
      </w:r>
      <w:r>
        <w:rPr>
          <w:rFonts w:hint="eastAsia" w:ascii="宋体" w:hAnsi="宋体"/>
          <w:b/>
          <w:bCs/>
          <w:color w:val="FF0000"/>
          <w:highlight w:val="yellow"/>
        </w:rPr>
        <w:t>年</w:t>
      </w:r>
      <w:r>
        <w:rPr>
          <w:rFonts w:hint="eastAsia" w:ascii="宋体" w:hAnsi="宋体"/>
          <w:b/>
          <w:bCs/>
          <w:color w:val="FF0000"/>
          <w:highlight w:val="yellow"/>
          <w:lang w:val="en-US" w:eastAsia="zh-CN"/>
        </w:rPr>
        <w:t>12</w:t>
      </w:r>
      <w:r>
        <w:rPr>
          <w:rFonts w:hint="eastAsia" w:ascii="宋体" w:hAnsi="宋体"/>
          <w:b/>
          <w:bCs/>
          <w:color w:val="FF0000"/>
          <w:highlight w:val="yellow"/>
        </w:rPr>
        <w:t>月</w:t>
      </w:r>
      <w:r>
        <w:rPr>
          <w:rFonts w:hint="eastAsia" w:ascii="宋体" w:hAnsi="宋体"/>
          <w:b/>
          <w:bCs/>
          <w:color w:val="FF0000"/>
          <w:highlight w:val="yellow"/>
          <w:lang w:val="en-US" w:eastAsia="zh-CN"/>
        </w:rPr>
        <w:t>11</w:t>
      </w:r>
      <w:r>
        <w:rPr>
          <w:rFonts w:hint="eastAsia" w:ascii="宋体" w:hAnsi="宋体"/>
          <w:b/>
          <w:bCs/>
          <w:color w:val="FF0000"/>
          <w:highlight w:val="yellow"/>
        </w:rPr>
        <w:t>日</w:t>
      </w:r>
      <w:r>
        <w:rPr>
          <w:rFonts w:hint="default" w:ascii="宋体" w:hAnsi="宋体"/>
          <w:b/>
          <w:bCs/>
          <w:color w:val="FF0000"/>
          <w:highlight w:val="yellow"/>
          <w:lang w:val="en-US" w:eastAsia="zh-CN"/>
        </w:rPr>
        <w:t>17</w:t>
      </w:r>
      <w:r>
        <w:rPr>
          <w:rFonts w:hint="eastAsia" w:ascii="宋体" w:hAnsi="宋体"/>
          <w:b/>
          <w:bCs/>
          <w:color w:val="FF0000"/>
          <w:highlight w:val="yellow"/>
        </w:rPr>
        <w:t>时至</w:t>
      </w:r>
      <w:r>
        <w:rPr>
          <w:rFonts w:hint="eastAsia" w:ascii="宋体" w:hAnsi="宋体"/>
          <w:b/>
          <w:bCs/>
          <w:color w:val="FF0000"/>
          <w:highlight w:val="yellow"/>
          <w:lang w:val="en-US" w:eastAsia="zh-CN"/>
        </w:rPr>
        <w:t>2023</w:t>
      </w:r>
      <w:r>
        <w:rPr>
          <w:rFonts w:hint="eastAsia" w:ascii="宋体" w:hAnsi="宋体"/>
          <w:b/>
          <w:bCs/>
          <w:color w:val="FF0000"/>
          <w:highlight w:val="yellow"/>
        </w:rPr>
        <w:t>年</w:t>
      </w:r>
      <w:r>
        <w:rPr>
          <w:rFonts w:hint="eastAsia" w:ascii="宋体" w:hAnsi="宋体"/>
          <w:b/>
          <w:bCs/>
          <w:color w:val="FF0000"/>
          <w:highlight w:val="yellow"/>
          <w:lang w:val="en-US" w:eastAsia="zh-CN"/>
        </w:rPr>
        <w:t>12</w:t>
      </w:r>
      <w:r>
        <w:rPr>
          <w:rFonts w:hint="eastAsia" w:ascii="宋体" w:hAnsi="宋体"/>
          <w:b/>
          <w:bCs/>
          <w:color w:val="FF0000"/>
          <w:highlight w:val="yellow"/>
        </w:rPr>
        <w:t>月</w:t>
      </w:r>
      <w:r>
        <w:rPr>
          <w:rFonts w:hint="eastAsia" w:ascii="宋体" w:hAnsi="宋体"/>
          <w:b/>
          <w:bCs/>
          <w:color w:val="FF0000"/>
          <w:highlight w:val="yellow"/>
          <w:lang w:val="en-US" w:eastAsia="zh-CN"/>
        </w:rPr>
        <w:t>14</w:t>
      </w:r>
      <w:r>
        <w:rPr>
          <w:rFonts w:hint="eastAsia" w:ascii="宋体" w:hAnsi="宋体"/>
          <w:b/>
          <w:bCs/>
          <w:color w:val="FF0000"/>
          <w:highlight w:val="yellow"/>
        </w:rPr>
        <w:t>日</w:t>
      </w:r>
      <w:r>
        <w:rPr>
          <w:rFonts w:hint="eastAsia" w:ascii="宋体" w:hAnsi="宋体"/>
          <w:b/>
          <w:bCs/>
          <w:color w:val="FF0000"/>
          <w:highlight w:val="yellow"/>
          <w:lang w:val="en-US" w:eastAsia="zh-CN"/>
        </w:rPr>
        <w:t>1</w:t>
      </w:r>
      <w:r>
        <w:rPr>
          <w:rFonts w:hint="default" w:ascii="宋体" w:hAnsi="宋体"/>
          <w:b/>
          <w:bCs/>
          <w:color w:val="FF0000"/>
          <w:highlight w:val="yellow"/>
          <w:lang w:val="en-US" w:eastAsia="zh-CN"/>
        </w:rPr>
        <w:t>8</w:t>
      </w:r>
      <w:r>
        <w:rPr>
          <w:rFonts w:hint="eastAsia" w:ascii="宋体" w:hAnsi="宋体"/>
          <w:b/>
          <w:bCs/>
          <w:color w:val="FF0000"/>
          <w:highlight w:val="yellow"/>
        </w:rPr>
        <w:t>时</w:t>
      </w:r>
      <w:r>
        <w:rPr>
          <w:rFonts w:ascii="宋体" w:hAnsi="宋体"/>
        </w:rPr>
        <w:t>（北京时间，下同），</w:t>
      </w:r>
      <w:r>
        <w:rPr>
          <w:rFonts w:hint="eastAsia" w:ascii="宋体" w:hAnsi="宋体"/>
        </w:rPr>
        <w:t>登录采购人招投标交易平台信息系统（</w:t>
      </w:r>
      <w:r>
        <w:rPr>
          <w:rFonts w:hint="eastAsia" w:ascii="宋体" w:hAnsi="宋体"/>
          <w:b/>
        </w:rPr>
        <w:t>国家电网有限公司电子商务平台（E</w:t>
      </w:r>
      <w:r>
        <w:rPr>
          <w:rFonts w:ascii="宋体" w:hAnsi="宋体"/>
          <w:b/>
        </w:rPr>
        <w:t>CP</w:t>
      </w:r>
      <w:r>
        <w:rPr>
          <w:rFonts w:hint="eastAsia" w:ascii="宋体" w:hAnsi="宋体"/>
          <w:b/>
        </w:rPr>
        <w:t>）-电工交易专区</w:t>
      </w:r>
      <w:r>
        <w:rPr>
          <w:rFonts w:ascii="宋体" w:hAnsi="宋体"/>
          <w:b/>
          <w:u w:val="single"/>
        </w:rPr>
        <w:t>https://sgccetp.com.cn/portal/#/</w:t>
      </w:r>
      <w:r>
        <w:rPr>
          <w:rFonts w:hint="eastAsia" w:ascii="宋体" w:hAnsi="宋体"/>
          <w:b/>
        </w:rPr>
        <w:t>，下同</w:t>
      </w:r>
      <w:r>
        <w:rPr>
          <w:rFonts w:hint="eastAsia" w:ascii="宋体" w:hAnsi="宋体"/>
        </w:rPr>
        <w:t>）</w:t>
      </w:r>
      <w:r>
        <w:rPr>
          <w:rFonts w:hint="eastAsia" w:ascii="宋体" w:hAnsi="宋体"/>
          <w:color w:val="FF0000"/>
        </w:rPr>
        <w:t>获取采购文件</w:t>
      </w:r>
      <w:r>
        <w:rPr>
          <w:rFonts w:hint="eastAsia" w:ascii="宋体" w:hAnsi="宋体"/>
        </w:rPr>
        <w:t>，并按《电子招标</w:t>
      </w:r>
      <w:bookmarkStart w:id="28" w:name="_GoBack"/>
      <w:bookmarkEnd w:id="28"/>
      <w:r>
        <w:rPr>
          <w:rFonts w:hint="eastAsia" w:ascii="宋体" w:hAnsi="宋体"/>
        </w:rPr>
        <w:t>投标办法》等国家法律法规要求，到第三方认证机构办理CA证书电子钥匙。应答人应妥善保管采购人招投标交易平台信息系统账号和密码，以及CA数字证书和密码，因上述账号、数字证书或密码保管不当造成的损失，由应答人自行承担。</w:t>
      </w:r>
    </w:p>
    <w:p>
      <w:pPr>
        <w:adjustRightInd w:val="0"/>
        <w:snapToGrid w:val="0"/>
        <w:spacing w:line="400" w:lineRule="exact"/>
        <w:ind w:firstLine="420" w:firstLineChars="200"/>
        <w:rPr>
          <w:rFonts w:ascii="宋体" w:hAnsi="宋体"/>
        </w:rPr>
      </w:pPr>
      <w:r>
        <w:rPr>
          <w:rFonts w:hint="eastAsia" w:ascii="宋体" w:hAnsi="宋体"/>
        </w:rPr>
        <w:t>应答人应在采购人招投标交易平台信息系统注册并办理</w:t>
      </w:r>
      <w:r>
        <w:rPr>
          <w:rFonts w:ascii="宋体" w:hAnsi="宋体"/>
        </w:rPr>
        <w:t>CA</w:t>
      </w:r>
      <w:r>
        <w:rPr>
          <w:rFonts w:hint="eastAsia" w:ascii="宋体" w:hAnsi="宋体"/>
        </w:rPr>
        <w:t>证书电子钥匙方可获取采购文件，电子钥匙的办理流程请登录采购人招投标交易平台信息系统首页</w:t>
      </w:r>
      <w:r>
        <w:rPr>
          <w:rFonts w:hint="eastAsia" w:ascii="宋体" w:hAnsi="宋体"/>
          <w:b/>
          <w:bCs/>
        </w:rPr>
        <w:t>“全文检索”→“电子钥匙办理须知”</w:t>
      </w:r>
      <w:r>
        <w:rPr>
          <w:rFonts w:hint="eastAsia" w:ascii="宋体" w:hAnsi="宋体"/>
        </w:rPr>
        <w:t>下载所有文件仔细阅读。电子钥匙的办理需要一定的时间，请潜在应答人高度重视。由于没有及时办理电子钥匙导致获取采购文件失败，由应答人自行承担相关责任。支持电话为：</w:t>
      </w:r>
      <w:r>
        <w:rPr>
          <w:rFonts w:hint="eastAsia" w:ascii="宋体" w:hAnsi="宋体"/>
          <w:b/>
          <w:bCs/>
        </w:rPr>
        <w:t>400-991-5500</w:t>
      </w:r>
      <w:r>
        <w:rPr>
          <w:rFonts w:hint="eastAsia" w:ascii="宋体" w:hAnsi="宋体"/>
        </w:rPr>
        <w:t>。</w:t>
      </w:r>
    </w:p>
    <w:p>
      <w:pPr>
        <w:adjustRightInd w:val="0"/>
        <w:snapToGrid w:val="0"/>
        <w:spacing w:line="400" w:lineRule="exact"/>
        <w:ind w:firstLine="420" w:firstLineChars="200"/>
        <w:rPr>
          <w:rFonts w:ascii="宋体" w:hAnsi="宋体"/>
        </w:rPr>
      </w:pPr>
      <w:r>
        <w:rPr>
          <w:rFonts w:ascii="宋体" w:hAnsi="宋体"/>
        </w:rPr>
        <w:t>4.</w:t>
      </w:r>
      <w:r>
        <w:rPr>
          <w:rFonts w:hint="eastAsia" w:ascii="宋体" w:hAnsi="宋体"/>
        </w:rPr>
        <w:t>3投标工具下载方式：请各应答人在采购人招投标交易平台信息系统首页</w:t>
      </w:r>
      <w:r>
        <w:rPr>
          <w:rFonts w:hint="eastAsia" w:ascii="宋体" w:hAnsi="宋体"/>
          <w:b/>
          <w:bCs/>
        </w:rPr>
        <w:t>“供应商应用指南→参与投标→投标工具安装”</w:t>
      </w:r>
      <w:r>
        <w:rPr>
          <w:rFonts w:hint="eastAsia" w:ascii="宋体" w:hAnsi="宋体"/>
        </w:rPr>
        <w:t>下载并安装。操作手册、演示视频及注意事项见首页</w:t>
      </w:r>
      <w:r>
        <w:rPr>
          <w:rFonts w:hint="eastAsia" w:ascii="宋体" w:hAnsi="宋体"/>
          <w:b/>
          <w:bCs/>
        </w:rPr>
        <w:t>“供应商应用指南”</w:t>
      </w:r>
      <w:r>
        <w:rPr>
          <w:rFonts w:hint="eastAsia" w:ascii="宋体" w:hAnsi="宋体"/>
        </w:rPr>
        <w:t>。投标工具操作问题联系采购人招投标交易平台信息系统</w:t>
      </w:r>
      <w:r>
        <w:rPr>
          <w:rFonts w:hint="eastAsia" w:ascii="宋体" w:hAnsi="宋体"/>
          <w:b/>
          <w:bCs/>
        </w:rPr>
        <w:t>技术支持服务热线：010-63411000转2</w:t>
      </w:r>
      <w:r>
        <w:rPr>
          <w:rFonts w:hint="eastAsia" w:ascii="宋体" w:hAnsi="宋体"/>
        </w:rPr>
        <w:t>。</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15" w:name="_Toc6421"/>
      <w:bookmarkStart w:id="16" w:name="_Toc26882"/>
      <w:bookmarkStart w:id="17" w:name="_Toc62566121"/>
      <w:r>
        <w:rPr>
          <w:rFonts w:hint="eastAsia" w:ascii="黑体" w:eastAsia="黑体" w:hAnsiTheme="majorHAnsi" w:cstheme="majorBidi"/>
          <w:b/>
          <w:kern w:val="0"/>
          <w:sz w:val="24"/>
          <w:lang w:bidi="en-US"/>
        </w:rPr>
        <w:t>5.首次应答文件的提交</w:t>
      </w:r>
      <w:bookmarkEnd w:id="15"/>
      <w:bookmarkEnd w:id="16"/>
      <w:bookmarkEnd w:id="17"/>
    </w:p>
    <w:p>
      <w:pPr>
        <w:adjustRightInd w:val="0"/>
        <w:snapToGrid w:val="0"/>
        <w:spacing w:line="400" w:lineRule="exact"/>
        <w:ind w:firstLine="420" w:firstLineChars="200"/>
        <w:outlineLvl w:val="2"/>
        <w:rPr>
          <w:rFonts w:ascii="宋体" w:hAnsi="宋体"/>
        </w:rPr>
      </w:pPr>
      <w:r>
        <w:rPr>
          <w:rFonts w:hint="eastAsia" w:ascii="宋体" w:hAnsi="宋体"/>
        </w:rPr>
        <w:t>5.1首次应答文件提交的截止时间（</w:t>
      </w:r>
      <w:r>
        <w:rPr>
          <w:rFonts w:hint="eastAsia" w:ascii="宋体" w:hAnsi="宋体"/>
          <w:b/>
          <w:bCs/>
        </w:rPr>
        <w:t>首次应答截止时间</w:t>
      </w:r>
      <w:r>
        <w:rPr>
          <w:rFonts w:hint="eastAsia" w:ascii="宋体" w:hAnsi="宋体"/>
        </w:rPr>
        <w:t>，下同）：</w:t>
      </w:r>
      <w:r>
        <w:rPr>
          <w:rFonts w:hint="eastAsia" w:ascii="宋体" w:hAnsi="宋体"/>
          <w:b/>
          <w:bCs/>
          <w:color w:val="FF0000"/>
          <w:highlight w:val="yellow"/>
          <w:lang w:val="en-US" w:eastAsia="zh-CN"/>
        </w:rPr>
        <w:t>2023</w:t>
      </w:r>
      <w:r>
        <w:rPr>
          <w:rFonts w:hint="eastAsia" w:ascii="宋体" w:hAnsi="宋体"/>
          <w:b/>
          <w:bCs/>
          <w:color w:val="FF0000"/>
          <w:highlight w:val="yellow"/>
        </w:rPr>
        <w:t>年</w:t>
      </w:r>
      <w:r>
        <w:rPr>
          <w:rFonts w:hint="eastAsia" w:ascii="宋体" w:hAnsi="宋体"/>
          <w:b/>
          <w:bCs/>
          <w:color w:val="FF0000"/>
          <w:highlight w:val="yellow"/>
          <w:lang w:val="en-US" w:eastAsia="zh-CN"/>
        </w:rPr>
        <w:t>12</w:t>
      </w:r>
      <w:r>
        <w:rPr>
          <w:rFonts w:hint="eastAsia" w:ascii="宋体" w:hAnsi="宋体"/>
          <w:b/>
          <w:bCs/>
          <w:color w:val="FF0000"/>
          <w:highlight w:val="yellow"/>
        </w:rPr>
        <w:t>月</w:t>
      </w:r>
      <w:r>
        <w:rPr>
          <w:rFonts w:hint="eastAsia" w:ascii="宋体" w:hAnsi="宋体"/>
          <w:b/>
          <w:bCs/>
          <w:color w:val="FF0000"/>
          <w:highlight w:val="yellow"/>
          <w:lang w:val="en-US" w:eastAsia="zh-CN"/>
        </w:rPr>
        <w:t>21</w:t>
      </w:r>
      <w:r>
        <w:rPr>
          <w:rFonts w:hint="eastAsia" w:ascii="宋体" w:hAnsi="宋体"/>
          <w:b/>
          <w:bCs/>
          <w:color w:val="FF0000"/>
          <w:highlight w:val="yellow"/>
        </w:rPr>
        <w:t>日上午09:</w:t>
      </w:r>
      <w:r>
        <w:rPr>
          <w:rFonts w:hint="eastAsia" w:ascii="宋体" w:hAnsi="宋体"/>
          <w:b/>
          <w:bCs/>
          <w:color w:val="FF0000"/>
          <w:highlight w:val="yellow"/>
          <w:lang w:val="en-US" w:eastAsia="zh-CN"/>
        </w:rPr>
        <w:t>30</w:t>
      </w:r>
      <w:r>
        <w:rPr>
          <w:rFonts w:hint="eastAsia" w:ascii="宋体" w:hAnsi="宋体"/>
        </w:rPr>
        <w:t>。</w:t>
      </w:r>
    </w:p>
    <w:p>
      <w:pPr>
        <w:pStyle w:val="3"/>
        <w:spacing w:line="400" w:lineRule="exact"/>
        <w:rPr>
          <w:rFonts w:ascii="Calibri" w:hAnsi="Calibri"/>
          <w:bCs/>
          <w:szCs w:val="22"/>
        </w:rPr>
      </w:pPr>
      <w:r>
        <w:rPr>
          <w:rFonts w:hint="eastAsia" w:ascii="Calibri" w:hAnsi="Calibri"/>
          <w:b/>
          <w:szCs w:val="22"/>
        </w:rPr>
        <w:t>应答文件提交时间：</w:t>
      </w:r>
      <w:r>
        <w:rPr>
          <w:rFonts w:hint="eastAsia" w:ascii="Calibri" w:hAnsi="Calibri"/>
          <w:bCs/>
          <w:szCs w:val="22"/>
        </w:rPr>
        <w:t>所有应答文件应当在首次应答截止时间递交（提交）采购人。</w:t>
      </w:r>
    </w:p>
    <w:p>
      <w:pPr>
        <w:adjustRightInd w:val="0"/>
        <w:snapToGrid w:val="0"/>
        <w:spacing w:line="400" w:lineRule="exact"/>
        <w:ind w:firstLine="422" w:firstLineChars="200"/>
        <w:rPr>
          <w:bCs/>
        </w:rPr>
      </w:pPr>
      <w:r>
        <w:rPr>
          <w:rFonts w:hint="eastAsia"/>
          <w:b/>
        </w:rPr>
        <w:t>电子应答文件提交地点：</w:t>
      </w:r>
      <w:r>
        <w:rPr>
          <w:rFonts w:hint="eastAsia"/>
          <w:bCs/>
        </w:rPr>
        <w:t>电子应答文件提交采购人招投标交易平台信息系统。</w:t>
      </w:r>
    </w:p>
    <w:p>
      <w:pPr>
        <w:pStyle w:val="4"/>
        <w:tabs>
          <w:tab w:val="left" w:pos="5458"/>
          <w:tab w:val="left" w:pos="8533"/>
        </w:tabs>
        <w:adjustRightInd w:val="0"/>
        <w:spacing w:after="0" w:line="400" w:lineRule="exact"/>
        <w:ind w:firstLine="422" w:firstLineChars="200"/>
        <w:rPr>
          <w:rFonts w:cs="宋体" w:asciiTheme="minorEastAsia" w:hAnsiTheme="minorEastAsia" w:eastAsiaTheme="minorEastAsia"/>
          <w:b/>
          <w:color w:val="FF0000"/>
          <w:szCs w:val="21"/>
        </w:rPr>
      </w:pPr>
      <w:r>
        <w:rPr>
          <w:rFonts w:hint="eastAsia" w:ascii="Calibri" w:hAnsi="Calibri"/>
          <w:b/>
          <w:szCs w:val="22"/>
        </w:rPr>
        <w:t>纸质应答文件提交地点：</w:t>
      </w:r>
      <w:r>
        <w:rPr>
          <w:rFonts w:hint="eastAsia" w:cs="宋体" w:asciiTheme="majorEastAsia" w:hAnsiTheme="majorEastAsia" w:eastAsiaTheme="majorEastAsia"/>
          <w:b/>
          <w:color w:val="FF0000"/>
          <w:szCs w:val="21"/>
          <w:highlight w:val="yellow"/>
        </w:rPr>
        <w:t>银川赛威大酒店一楼大厅（宁夏银川市兴庆区丽景雅居32号），</w:t>
      </w:r>
      <w:r>
        <w:rPr>
          <w:rFonts w:hint="eastAsia" w:cs="宋体" w:asciiTheme="minorEastAsia" w:hAnsiTheme="minorEastAsia" w:eastAsiaTheme="minorEastAsia"/>
          <w:b/>
          <w:color w:val="FF0000"/>
          <w:szCs w:val="21"/>
          <w:highlight w:val="yellow"/>
        </w:rPr>
        <w:t>收件人：</w:t>
      </w:r>
      <w:r>
        <w:rPr>
          <w:rFonts w:hint="eastAsia" w:cs="宋体" w:asciiTheme="minorEastAsia" w:hAnsiTheme="minorEastAsia" w:eastAsiaTheme="minorEastAsia"/>
          <w:b/>
          <w:color w:val="FF0000"/>
          <w:szCs w:val="21"/>
          <w:highlight w:val="yellow"/>
          <w:lang w:val="en-US" w:eastAsia="zh-CN"/>
        </w:rPr>
        <w:t>雷宇</w:t>
      </w:r>
      <w:r>
        <w:rPr>
          <w:rFonts w:hint="eastAsia" w:cs="宋体" w:asciiTheme="minorEastAsia" w:hAnsiTheme="minorEastAsia" w:eastAsiaTheme="minorEastAsia"/>
          <w:b/>
          <w:color w:val="FF0000"/>
          <w:szCs w:val="21"/>
          <w:highlight w:val="yellow"/>
        </w:rPr>
        <w:t>，收件电话：</w:t>
      </w:r>
      <w:r>
        <w:rPr>
          <w:rFonts w:hint="eastAsia" w:cs="宋体" w:asciiTheme="minorEastAsia" w:hAnsiTheme="minorEastAsia" w:eastAsiaTheme="minorEastAsia"/>
          <w:b/>
          <w:color w:val="FF0000"/>
          <w:szCs w:val="21"/>
          <w:highlight w:val="yellow"/>
          <w:lang w:val="en-US" w:eastAsia="zh-CN"/>
        </w:rPr>
        <w:t>19995428961、0951-4935185</w:t>
      </w:r>
      <w:r>
        <w:rPr>
          <w:rFonts w:hint="eastAsia" w:cs="宋体" w:asciiTheme="minorEastAsia" w:hAnsiTheme="minorEastAsia" w:eastAsiaTheme="minorEastAsia"/>
          <w:b/>
          <w:color w:val="FF0000"/>
          <w:szCs w:val="21"/>
          <w:highlight w:val="yellow"/>
        </w:rPr>
        <w:t>。</w:t>
      </w:r>
    </w:p>
    <w:p>
      <w:pPr>
        <w:pStyle w:val="4"/>
        <w:tabs>
          <w:tab w:val="left" w:pos="5458"/>
          <w:tab w:val="left" w:pos="8533"/>
        </w:tabs>
        <w:adjustRightInd w:val="0"/>
        <w:spacing w:after="0" w:line="400" w:lineRule="exact"/>
        <w:ind w:firstLine="420" w:firstLineChars="200"/>
        <w:rPr>
          <w:rFonts w:cs="宋体" w:asciiTheme="minorEastAsia" w:hAnsiTheme="minorEastAsia" w:eastAsiaTheme="minorEastAsia"/>
          <w:bCs/>
          <w:color w:val="000000"/>
          <w:szCs w:val="21"/>
        </w:rPr>
      </w:pPr>
      <w:r>
        <w:rPr>
          <w:rFonts w:hint="eastAsia" w:cs="宋体" w:asciiTheme="minorEastAsia" w:hAnsiTheme="minorEastAsia" w:eastAsiaTheme="minorEastAsia"/>
          <w:bCs/>
          <w:color w:val="000000"/>
          <w:szCs w:val="21"/>
        </w:rPr>
        <w:t>本批次只接受</w:t>
      </w:r>
      <w:r>
        <w:rPr>
          <w:rFonts w:hint="eastAsia" w:cs="宋体" w:asciiTheme="minorEastAsia" w:hAnsiTheme="minorEastAsia" w:eastAsiaTheme="minorEastAsia"/>
          <w:b/>
          <w:color w:val="000000"/>
          <w:szCs w:val="21"/>
        </w:rPr>
        <w:t>邮寄</w:t>
      </w:r>
      <w:r>
        <w:rPr>
          <w:rFonts w:hint="eastAsia" w:cs="宋体" w:asciiTheme="minorEastAsia" w:hAnsiTheme="minorEastAsia" w:eastAsiaTheme="minorEastAsia"/>
          <w:bCs/>
          <w:color w:val="000000"/>
          <w:szCs w:val="21"/>
        </w:rPr>
        <w:t>方式递交纸质应答文件。所有应答文件</w:t>
      </w:r>
      <w:r>
        <w:rPr>
          <w:rFonts w:hint="eastAsia" w:cs="宋体" w:asciiTheme="minorEastAsia" w:hAnsiTheme="minorEastAsia" w:eastAsiaTheme="minorEastAsia"/>
          <w:bCs/>
          <w:szCs w:val="21"/>
        </w:rPr>
        <w:t>应于</w:t>
      </w:r>
      <w:r>
        <w:rPr>
          <w:rFonts w:hint="eastAsia" w:asciiTheme="minorEastAsia" w:hAnsiTheme="minorEastAsia" w:eastAsiaTheme="minorEastAsia"/>
          <w:bCs/>
          <w:szCs w:val="21"/>
        </w:rPr>
        <w:t>应答截止时间</w:t>
      </w:r>
      <w:r>
        <w:rPr>
          <w:rFonts w:hint="eastAsia" w:cs="宋体" w:asciiTheme="minorEastAsia" w:hAnsiTheme="minorEastAsia" w:eastAsiaTheme="minorEastAsia"/>
          <w:bCs/>
          <w:szCs w:val="21"/>
        </w:rPr>
        <w:t>前邮寄送达至采</w:t>
      </w:r>
      <w:r>
        <w:rPr>
          <w:rFonts w:hint="eastAsia" w:cs="宋体" w:asciiTheme="minorEastAsia" w:hAnsiTheme="minorEastAsia" w:eastAsiaTheme="minorEastAsia"/>
          <w:bCs/>
          <w:color w:val="000000"/>
          <w:szCs w:val="21"/>
        </w:rPr>
        <w:t>购人指定地点。请各应答人自行监控邮寄进度，未及时送达或未送达指定地点的纸质应答文件均不予受理，造成的后果与采购人无关。建议应答人</w:t>
      </w:r>
      <w:r>
        <w:rPr>
          <w:rFonts w:hint="eastAsia" w:asciiTheme="minorEastAsia" w:hAnsiTheme="minorEastAsia" w:eastAsiaTheme="minorEastAsia"/>
          <w:b/>
          <w:color w:val="FF0000"/>
          <w:szCs w:val="21"/>
          <w:highlight w:val="yellow"/>
          <w:lang w:val="en-US" w:eastAsia="zh-CN"/>
        </w:rPr>
        <w:t>2023</w:t>
      </w:r>
      <w:r>
        <w:rPr>
          <w:rFonts w:hint="eastAsia" w:asciiTheme="minorEastAsia" w:hAnsiTheme="minorEastAsia" w:eastAsiaTheme="minorEastAsia"/>
          <w:b/>
          <w:color w:val="FF0000"/>
          <w:szCs w:val="21"/>
          <w:highlight w:val="yellow"/>
        </w:rPr>
        <w:t>年</w:t>
      </w:r>
      <w:r>
        <w:rPr>
          <w:rFonts w:hint="eastAsia" w:asciiTheme="minorEastAsia" w:hAnsiTheme="minorEastAsia" w:eastAsiaTheme="minorEastAsia"/>
          <w:b/>
          <w:color w:val="FF0000"/>
          <w:szCs w:val="21"/>
          <w:highlight w:val="yellow"/>
          <w:lang w:val="en-US" w:eastAsia="zh-CN"/>
        </w:rPr>
        <w:t>12</w:t>
      </w:r>
      <w:r>
        <w:rPr>
          <w:rFonts w:hint="eastAsia" w:asciiTheme="minorEastAsia" w:hAnsiTheme="minorEastAsia" w:eastAsiaTheme="minorEastAsia"/>
          <w:b/>
          <w:color w:val="FF0000"/>
          <w:szCs w:val="21"/>
          <w:highlight w:val="yellow"/>
        </w:rPr>
        <w:t>月</w:t>
      </w:r>
      <w:r>
        <w:rPr>
          <w:rFonts w:hint="eastAsia" w:asciiTheme="minorEastAsia" w:hAnsiTheme="minorEastAsia" w:eastAsiaTheme="minorEastAsia"/>
          <w:b/>
          <w:color w:val="FF0000"/>
          <w:szCs w:val="21"/>
          <w:highlight w:val="yellow"/>
          <w:lang w:val="en-US" w:eastAsia="zh-CN"/>
        </w:rPr>
        <w:t>20</w:t>
      </w:r>
      <w:r>
        <w:rPr>
          <w:rFonts w:hint="eastAsia" w:asciiTheme="minorEastAsia" w:hAnsiTheme="minorEastAsia" w:eastAsiaTheme="minorEastAsia"/>
          <w:b/>
          <w:color w:val="FF0000"/>
          <w:szCs w:val="21"/>
          <w:highlight w:val="yellow"/>
        </w:rPr>
        <w:t>日</w:t>
      </w:r>
      <w:r>
        <w:rPr>
          <w:rFonts w:hint="eastAsia" w:ascii="宋体" w:hAnsi="宋体" w:eastAsiaTheme="minorEastAsia"/>
          <w:b/>
          <w:bCs/>
          <w:color w:val="FF0000"/>
          <w:highlight w:val="yellow"/>
          <w:lang w:val="en-US" w:eastAsia="zh-CN"/>
        </w:rPr>
        <w:t>18:00</w:t>
      </w:r>
      <w:r>
        <w:rPr>
          <w:rFonts w:hint="eastAsia" w:asciiTheme="minorEastAsia" w:hAnsiTheme="minorEastAsia" w:eastAsiaTheme="minorEastAsia"/>
          <w:b/>
          <w:color w:val="FF0000"/>
          <w:szCs w:val="21"/>
          <w:highlight w:val="yellow"/>
        </w:rPr>
        <w:t>时</w:t>
      </w:r>
      <w:r>
        <w:rPr>
          <w:rFonts w:hint="eastAsia" w:cs="宋体" w:asciiTheme="minorEastAsia" w:hAnsiTheme="minorEastAsia" w:eastAsiaTheme="minorEastAsia"/>
          <w:bCs/>
          <w:color w:val="000000"/>
          <w:szCs w:val="21"/>
        </w:rPr>
        <w:t>（北京时间）前将应答文件邮寄至指定地点。</w:t>
      </w:r>
    </w:p>
    <w:p>
      <w:pPr>
        <w:pStyle w:val="4"/>
        <w:tabs>
          <w:tab w:val="left" w:pos="5458"/>
          <w:tab w:val="left" w:pos="8533"/>
        </w:tabs>
        <w:adjustRightInd w:val="0"/>
        <w:spacing w:after="0" w:line="400" w:lineRule="exact"/>
        <w:ind w:firstLine="420" w:firstLineChars="200"/>
        <w:rPr>
          <w:rFonts w:cs="宋体" w:asciiTheme="minorEastAsia" w:hAnsiTheme="minorEastAsia" w:eastAsiaTheme="minorEastAsia"/>
          <w:b/>
          <w:color w:val="FF0000"/>
          <w:szCs w:val="21"/>
        </w:rPr>
      </w:pPr>
      <w:r>
        <w:rPr>
          <w:rFonts w:hint="eastAsia" w:cs="宋体" w:asciiTheme="minorEastAsia" w:hAnsiTheme="minorEastAsia" w:eastAsiaTheme="minorEastAsia"/>
          <w:bCs/>
          <w:color w:val="000000"/>
          <w:szCs w:val="21"/>
        </w:rPr>
        <w:t>请各位应答人务必将快递外包装或快递单备注醒目位置写明“</w:t>
      </w:r>
      <w:r>
        <w:rPr>
          <w:rFonts w:hint="eastAsia" w:cs="宋体" w:asciiTheme="minorEastAsia" w:hAnsiTheme="minorEastAsia" w:eastAsiaTheme="minorEastAsia"/>
          <w:b/>
          <w:szCs w:val="21"/>
        </w:rPr>
        <w:t>采购编号+会议名称+包号+包名称+应答人单位全称</w:t>
      </w:r>
      <w:r>
        <w:rPr>
          <w:rFonts w:hint="eastAsia" w:cs="宋体" w:asciiTheme="minorEastAsia" w:hAnsiTheme="minorEastAsia" w:eastAsiaTheme="minorEastAsia"/>
          <w:bCs/>
          <w:color w:val="000000"/>
          <w:szCs w:val="21"/>
        </w:rPr>
        <w:t>”。</w:t>
      </w:r>
    </w:p>
    <w:p/>
    <w:p>
      <w:pPr>
        <w:adjustRightInd w:val="0"/>
        <w:snapToGrid w:val="0"/>
        <w:spacing w:line="400" w:lineRule="exact"/>
        <w:ind w:firstLine="420" w:firstLineChars="200"/>
        <w:outlineLvl w:val="2"/>
        <w:rPr>
          <w:rFonts w:ascii="宋体" w:hAnsi="宋体"/>
        </w:rPr>
      </w:pPr>
      <w:r>
        <w:rPr>
          <w:rFonts w:hint="eastAsia" w:ascii="宋体" w:hAnsi="宋体" w:cs="宋体"/>
        </w:rPr>
        <w:t>5.2首次应答截止时间之前未成功提交至采购人招投标</w:t>
      </w:r>
      <w:r>
        <w:rPr>
          <w:rFonts w:hint="eastAsia" w:ascii="宋体" w:hAnsi="宋体"/>
        </w:rPr>
        <w:t>交易平台信息系统的电子应答文件，以及</w:t>
      </w:r>
      <w:r>
        <w:rPr>
          <w:rFonts w:hint="eastAsia" w:cs="宋体" w:asciiTheme="minorEastAsia" w:hAnsiTheme="minorEastAsia" w:eastAsiaTheme="minorEastAsia"/>
          <w:bCs/>
          <w:color w:val="000000"/>
          <w:szCs w:val="21"/>
        </w:rPr>
        <w:t>逾期送达的或者未送达指定地点的纸质应答文</w:t>
      </w:r>
      <w:r>
        <w:rPr>
          <w:rFonts w:hint="eastAsia" w:cs="宋体" w:asciiTheme="minorEastAsia" w:hAnsiTheme="minorEastAsia" w:eastAsiaTheme="minorEastAsia"/>
          <w:bCs/>
          <w:szCs w:val="21"/>
        </w:rPr>
        <w:t>件，</w:t>
      </w:r>
      <w:r>
        <w:rPr>
          <w:rFonts w:hint="eastAsia" w:ascii="宋体" w:hAnsi="宋体"/>
        </w:rPr>
        <w:t>采购人不予受理。</w:t>
      </w:r>
    </w:p>
    <w:p>
      <w:pPr>
        <w:adjustRightInd w:val="0"/>
        <w:snapToGrid w:val="0"/>
        <w:spacing w:line="400" w:lineRule="exact"/>
        <w:ind w:firstLine="420" w:firstLineChars="200"/>
        <w:outlineLvl w:val="2"/>
        <w:rPr>
          <w:rFonts w:ascii="宋体" w:hAnsi="宋体"/>
        </w:rPr>
      </w:pPr>
      <w:r>
        <w:rPr>
          <w:rFonts w:hint="eastAsia" w:ascii="宋体" w:hAnsi="宋体"/>
        </w:rPr>
        <w:t>不接受未按采购文件要求密封的纸质应答文件及纸质应答文件的修改文件，不接受未按规定加密的电子应答文件及电子应答文件的修改文件。</w:t>
      </w:r>
    </w:p>
    <w:p>
      <w:pPr>
        <w:adjustRightInd w:val="0"/>
        <w:snapToGrid w:val="0"/>
        <w:spacing w:line="400" w:lineRule="exact"/>
        <w:ind w:firstLine="420" w:firstLineChars="200"/>
        <w:outlineLvl w:val="2"/>
        <w:rPr>
          <w:rFonts w:ascii="宋体" w:hAnsi="宋体" w:cs="宋体"/>
        </w:rPr>
      </w:pPr>
      <w:r>
        <w:rPr>
          <w:rFonts w:ascii="宋体" w:hAnsi="宋体" w:cs="宋体"/>
        </w:rPr>
        <w:t>5.3 未按采购公告规定的时间和方式获取并下载采购文件的应答，采购人将不予受理。</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18" w:name="_Toc20595"/>
      <w:bookmarkStart w:id="19" w:name="_Toc62566122"/>
      <w:bookmarkStart w:id="20" w:name="_Toc10970"/>
      <w:r>
        <w:rPr>
          <w:rFonts w:hint="eastAsia" w:ascii="黑体" w:eastAsia="黑体" w:hAnsiTheme="majorHAnsi" w:cstheme="majorBidi"/>
          <w:b/>
          <w:kern w:val="0"/>
          <w:sz w:val="24"/>
          <w:lang w:bidi="en-US"/>
        </w:rPr>
        <w:t>6.发布公告的媒介</w:t>
      </w:r>
      <w:bookmarkEnd w:id="18"/>
      <w:bookmarkEnd w:id="19"/>
      <w:bookmarkEnd w:id="20"/>
    </w:p>
    <w:p>
      <w:pPr>
        <w:adjustRightInd w:val="0"/>
        <w:snapToGrid w:val="0"/>
        <w:spacing w:line="400" w:lineRule="exact"/>
        <w:ind w:firstLine="420" w:firstLineChars="200"/>
        <w:rPr>
          <w:rFonts w:ascii="宋体" w:hAnsi="宋体"/>
        </w:rPr>
      </w:pPr>
      <w:r>
        <w:rPr>
          <w:rFonts w:hint="eastAsia" w:ascii="宋体" w:hAnsi="宋体"/>
        </w:rPr>
        <w:t>本次采购公告在</w:t>
      </w:r>
      <w:r>
        <w:rPr>
          <w:rFonts w:hint="eastAsia" w:ascii="宋体" w:hAnsi="宋体"/>
          <w:b/>
          <w:bCs/>
        </w:rPr>
        <w:t>国家电网有限公司电子商务平台（ECP）-电工交易专区</w:t>
      </w:r>
      <w:r>
        <w:rPr>
          <w:rFonts w:hint="eastAsia" w:ascii="宋体" w:hAnsi="宋体"/>
        </w:rPr>
        <w:t>上发布。</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21" w:name="_Toc62566123"/>
      <w:bookmarkStart w:id="22" w:name="_Toc26152"/>
      <w:bookmarkStart w:id="23" w:name="_Toc1702"/>
      <w:r>
        <w:rPr>
          <w:rFonts w:hint="eastAsia" w:ascii="黑体" w:eastAsia="黑体" w:hAnsiTheme="majorHAnsi" w:cstheme="majorBidi"/>
          <w:b/>
          <w:kern w:val="0"/>
          <w:sz w:val="24"/>
          <w:lang w:bidi="en-US"/>
        </w:rPr>
        <w:t>7.采购文件获取联系方式</w:t>
      </w:r>
      <w:bookmarkEnd w:id="21"/>
      <w:bookmarkEnd w:id="22"/>
      <w:bookmarkEnd w:id="23"/>
    </w:p>
    <w:p>
      <w:pPr>
        <w:adjustRightInd w:val="0"/>
        <w:snapToGrid w:val="0"/>
        <w:spacing w:line="400" w:lineRule="exact"/>
        <w:ind w:firstLine="420" w:firstLineChars="200"/>
        <w:rPr>
          <w:rFonts w:ascii="宋体" w:hAnsi="宋体"/>
        </w:rPr>
      </w:pPr>
      <w:r>
        <w:rPr>
          <w:rFonts w:hint="eastAsia" w:ascii="宋体" w:hAnsi="宋体"/>
        </w:rPr>
        <w:t>采购人：</w:t>
      </w:r>
      <w:r>
        <w:rPr>
          <w:rFonts w:hint="eastAsia" w:ascii="宋体" w:hAnsi="宋体"/>
          <w:color w:val="FF0000"/>
          <w:highlight w:val="yellow"/>
          <w:lang w:val="en-US" w:eastAsia="zh-CN"/>
        </w:rPr>
        <w:t>宁夏东宏电力有限公司</w:t>
      </w:r>
    </w:p>
    <w:p>
      <w:pPr>
        <w:adjustRightInd w:val="0"/>
        <w:snapToGrid w:val="0"/>
        <w:spacing w:line="400" w:lineRule="exact"/>
        <w:ind w:firstLine="420" w:firstLineChars="200"/>
        <w:rPr>
          <w:rFonts w:ascii="宋体" w:hAnsi="宋体"/>
          <w:color w:val="auto"/>
          <w:highlight w:val="none"/>
        </w:rPr>
      </w:pPr>
      <w:r>
        <w:rPr>
          <w:rFonts w:hint="eastAsia" w:ascii="宋体" w:hAnsi="宋体"/>
        </w:rPr>
        <w:t>地址：</w:t>
      </w:r>
      <w:r>
        <w:rPr>
          <w:rFonts w:hint="eastAsia" w:ascii="宋体" w:hAnsi="宋体"/>
          <w:color w:val="auto"/>
          <w:highlight w:val="none"/>
          <w:lang w:eastAsia="zh-CN"/>
        </w:rPr>
        <w:t>宁夏银川市灵武市宁东镇宁东供电公司院内</w:t>
      </w:r>
    </w:p>
    <w:p>
      <w:pPr>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邮编：</w:t>
      </w:r>
      <w:r>
        <w:rPr>
          <w:rFonts w:hint="eastAsia" w:ascii="宋体" w:hAnsi="宋体"/>
          <w:color w:val="auto"/>
          <w:highlight w:val="none"/>
          <w:lang w:val="en-US" w:eastAsia="zh-CN"/>
        </w:rPr>
        <w:t>750411</w:t>
      </w:r>
    </w:p>
    <w:p>
      <w:pPr>
        <w:adjustRightInd w:val="0"/>
        <w:snapToGrid w:val="0"/>
        <w:spacing w:line="400" w:lineRule="exact"/>
        <w:ind w:firstLine="420" w:firstLineChars="200"/>
        <w:rPr>
          <w:rFonts w:asciiTheme="majorEastAsia" w:hAnsiTheme="majorEastAsia" w:eastAsiaTheme="majorEastAsia" w:cstheme="majorEastAsia"/>
        </w:rPr>
      </w:pPr>
      <w:r>
        <w:rPr>
          <w:rFonts w:hint="eastAsia" w:asciiTheme="majorEastAsia" w:hAnsiTheme="majorEastAsia" w:eastAsiaTheme="majorEastAsia" w:cstheme="majorEastAsia"/>
        </w:rPr>
        <w:t>采购代理机构：宁夏天鹰电力物资有限公司</w:t>
      </w:r>
    </w:p>
    <w:p>
      <w:pPr>
        <w:adjustRightInd w:val="0"/>
        <w:snapToGrid w:val="0"/>
        <w:spacing w:line="400" w:lineRule="exact"/>
        <w:ind w:firstLine="420" w:firstLineChars="200"/>
        <w:rPr>
          <w:rFonts w:asciiTheme="majorEastAsia" w:hAnsiTheme="majorEastAsia" w:eastAsiaTheme="majorEastAsia" w:cstheme="majorEastAsia"/>
        </w:rPr>
      </w:pPr>
      <w:r>
        <w:rPr>
          <w:rFonts w:hint="eastAsia" w:asciiTheme="majorEastAsia" w:hAnsiTheme="majorEastAsia" w:eastAsiaTheme="majorEastAsia" w:cstheme="majorEastAsia"/>
        </w:rPr>
        <w:t>地址：宁夏银川市金凤区宝湖中路湖映康晨1号办公楼</w:t>
      </w:r>
    </w:p>
    <w:p>
      <w:pPr>
        <w:adjustRightInd w:val="0"/>
        <w:snapToGrid w:val="0"/>
        <w:spacing w:line="400" w:lineRule="exact"/>
        <w:ind w:firstLine="420" w:firstLineChars="200"/>
        <w:rPr>
          <w:rFonts w:asciiTheme="majorEastAsia" w:hAnsiTheme="majorEastAsia" w:eastAsiaTheme="majorEastAsia" w:cstheme="majorEastAsia"/>
        </w:rPr>
      </w:pPr>
      <w:r>
        <w:rPr>
          <w:rFonts w:hint="eastAsia" w:asciiTheme="majorEastAsia" w:hAnsiTheme="majorEastAsia" w:eastAsiaTheme="majorEastAsia" w:cstheme="majorEastAsia"/>
        </w:rPr>
        <w:t>邮编：750001</w:t>
      </w:r>
    </w:p>
    <w:p>
      <w:pPr>
        <w:tabs>
          <w:tab w:val="left" w:pos="1134"/>
        </w:tabs>
        <w:adjustRightInd w:val="0"/>
        <w:snapToGrid w:val="0"/>
        <w:spacing w:line="400" w:lineRule="exact"/>
        <w:ind w:firstLine="420" w:firstLineChars="200"/>
        <w:rPr>
          <w:rFonts w:hint="default" w:asciiTheme="majorEastAsia" w:hAnsiTheme="majorEastAsia" w:eastAsiaTheme="majorEastAsia" w:cstheme="majorEastAsia"/>
          <w:color w:val="FF0000"/>
          <w:lang w:val="en-US" w:eastAsia="zh-CN"/>
        </w:rPr>
      </w:pPr>
      <w:r>
        <w:rPr>
          <w:rFonts w:hint="eastAsia" w:asciiTheme="majorEastAsia" w:hAnsiTheme="majorEastAsia" w:eastAsiaTheme="majorEastAsia" w:cstheme="majorEastAsia"/>
          <w:szCs w:val="21"/>
        </w:rPr>
        <w:t>联系人</w:t>
      </w:r>
      <w:r>
        <w:rPr>
          <w:rFonts w:hint="eastAsia" w:asciiTheme="majorEastAsia" w:hAnsiTheme="majorEastAsia" w:eastAsiaTheme="majorEastAsia" w:cstheme="majorEastAsia"/>
        </w:rPr>
        <w:t>电话：</w:t>
      </w:r>
      <w:r>
        <w:rPr>
          <w:rFonts w:hint="eastAsia" w:asciiTheme="majorEastAsia" w:hAnsiTheme="majorEastAsia" w:eastAsiaTheme="majorEastAsia" w:cstheme="majorEastAsia"/>
          <w:color w:val="FF0000"/>
          <w:highlight w:val="yellow"/>
        </w:rPr>
        <w:t>0951-4935</w:t>
      </w:r>
      <w:r>
        <w:rPr>
          <w:rFonts w:hint="eastAsia" w:asciiTheme="majorEastAsia" w:hAnsiTheme="majorEastAsia" w:eastAsiaTheme="majorEastAsia" w:cstheme="majorEastAsia"/>
          <w:color w:val="FF0000"/>
          <w:highlight w:val="yellow"/>
          <w:lang w:val="en-US" w:eastAsia="zh-CN"/>
        </w:rPr>
        <w:t>185</w:t>
      </w:r>
    </w:p>
    <w:p>
      <w:pPr>
        <w:tabs>
          <w:tab w:val="left" w:pos="1134"/>
        </w:tabs>
        <w:adjustRightInd w:val="0"/>
        <w:snapToGrid w:val="0"/>
        <w:spacing w:line="400" w:lineRule="exact"/>
        <w:ind w:firstLine="420" w:firstLineChars="200"/>
        <w:rPr>
          <w:rFonts w:hint="default" w:asciiTheme="majorEastAsia" w:hAnsiTheme="majorEastAsia" w:eastAsiaTheme="majorEastAsia" w:cstheme="majorEastAsia"/>
          <w:lang w:val="en-US" w:eastAsia="zh-CN"/>
        </w:rPr>
      </w:pPr>
      <w:r>
        <w:rPr>
          <w:rFonts w:hint="eastAsia" w:asciiTheme="majorEastAsia" w:hAnsiTheme="majorEastAsia" w:eastAsiaTheme="majorEastAsia" w:cstheme="majorEastAsia"/>
        </w:rPr>
        <w:t>电子邮件：</w:t>
      </w:r>
      <w:r>
        <w:rPr>
          <w:rFonts w:hint="eastAsia" w:asciiTheme="majorEastAsia" w:hAnsiTheme="majorEastAsia" w:eastAsiaTheme="majorEastAsia" w:cstheme="majorEastAsia"/>
          <w:color w:val="FF0000"/>
          <w:highlight w:val="yellow"/>
          <w:lang w:val="en-US" w:eastAsia="zh-CN"/>
        </w:rPr>
        <w:t>adg2853@126.com</w:t>
      </w:r>
    </w:p>
    <w:p>
      <w:pPr>
        <w:adjustRightInd w:val="0"/>
        <w:snapToGrid w:val="0"/>
        <w:spacing w:line="400" w:lineRule="exact"/>
        <w:ind w:firstLine="422" w:firstLineChars="200"/>
        <w:rPr>
          <w:rFonts w:ascii="宋体" w:hAnsi="宋体"/>
        </w:rPr>
      </w:pPr>
      <w:r>
        <w:rPr>
          <w:rFonts w:hint="eastAsia" w:asciiTheme="majorEastAsia" w:hAnsiTheme="majorEastAsia" w:eastAsiaTheme="majorEastAsia" w:cstheme="majorEastAsia"/>
          <w:b/>
        </w:rPr>
        <w:t>采购人招投标交易平台信息系统（国家电网有限公司电子商务平台（ECP）-电工交易专区）网址：</w:t>
      </w:r>
      <w:r>
        <w:rPr>
          <w:rFonts w:ascii="宋体" w:hAnsi="宋体"/>
          <w:b/>
          <w:u w:val="single"/>
        </w:rPr>
        <w:t>https://sgccetp.com.cn/portal/#/</w:t>
      </w:r>
      <w:r>
        <w:rPr>
          <w:rFonts w:hint="eastAsia" w:ascii="宋体" w:hAnsi="宋体"/>
        </w:rPr>
        <w:t>。</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bookmarkStart w:id="24" w:name="_Toc28046"/>
      <w:bookmarkStart w:id="25" w:name="_Toc62566124"/>
      <w:bookmarkStart w:id="26" w:name="_Toc21046"/>
      <w:r>
        <w:rPr>
          <w:rFonts w:hint="eastAsia" w:ascii="黑体" w:eastAsia="黑体" w:hAnsiTheme="majorHAnsi" w:cstheme="majorBidi"/>
          <w:b/>
          <w:kern w:val="0"/>
          <w:sz w:val="24"/>
          <w:lang w:bidi="en-US"/>
        </w:rPr>
        <w:t>8.合规声明</w:t>
      </w:r>
      <w:bookmarkEnd w:id="24"/>
      <w:bookmarkEnd w:id="25"/>
      <w:bookmarkEnd w:id="26"/>
    </w:p>
    <w:p>
      <w:pPr>
        <w:adjustRightInd w:val="0"/>
        <w:snapToGrid w:val="0"/>
        <w:spacing w:line="400" w:lineRule="exact"/>
        <w:ind w:firstLine="420" w:firstLineChars="200"/>
        <w:rPr>
          <w:rFonts w:ascii="宋体" w:hAnsi="宋体"/>
        </w:rPr>
      </w:pPr>
      <w:r>
        <w:rPr>
          <w:rFonts w:hint="eastAsia" w:ascii="宋体" w:hAnsi="宋体"/>
        </w:rPr>
        <w:t>本采购文件（包括商务部分和技术部分）符合国家现行法律法规规定，若国家颁布新的法律法规或对现有法律法规进行修订，以新颁布或修订后实施的法律法规规定为准。</w:t>
      </w:r>
    </w:p>
    <w:p>
      <w:pPr>
        <w:widowControl/>
        <w:adjustRightInd w:val="0"/>
        <w:snapToGrid w:val="0"/>
        <w:spacing w:before="312" w:beforeLines="100" w:after="156" w:afterLines="50" w:line="400" w:lineRule="exact"/>
        <w:jc w:val="left"/>
        <w:outlineLvl w:val="1"/>
        <w:rPr>
          <w:rFonts w:ascii="黑体" w:eastAsia="黑体" w:hAnsiTheme="majorHAnsi" w:cstheme="majorBidi"/>
          <w:b/>
          <w:kern w:val="0"/>
          <w:sz w:val="24"/>
          <w:lang w:bidi="en-US"/>
        </w:rPr>
      </w:pPr>
      <w:r>
        <w:rPr>
          <w:rFonts w:hint="eastAsia" w:ascii="黑体" w:eastAsia="黑体" w:hAnsiTheme="majorHAnsi" w:cstheme="majorBidi"/>
          <w:b/>
          <w:kern w:val="0"/>
          <w:sz w:val="24"/>
          <w:lang w:bidi="en-US"/>
        </w:rPr>
        <w:t>9.权利声明</w:t>
      </w:r>
    </w:p>
    <w:p>
      <w:pPr>
        <w:adjustRightInd w:val="0"/>
        <w:snapToGrid w:val="0"/>
        <w:spacing w:line="400" w:lineRule="exact"/>
        <w:ind w:firstLine="420" w:firstLineChars="200"/>
        <w:rPr>
          <w:rFonts w:ascii="宋体" w:hAnsi="宋体"/>
        </w:rPr>
      </w:pPr>
      <w:r>
        <w:rPr>
          <w:rFonts w:hint="eastAsia" w:ascii="宋体" w:hAnsi="宋体"/>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或公示信息的，采购人将依法追究法律责任。</w:t>
      </w:r>
    </w:p>
    <w:p>
      <w:pPr>
        <w:widowControl/>
        <w:adjustRightInd w:val="0"/>
        <w:snapToGrid w:val="0"/>
        <w:spacing w:before="312" w:beforeLines="100" w:after="156" w:afterLines="50" w:line="400" w:lineRule="exact"/>
        <w:jc w:val="left"/>
        <w:outlineLvl w:val="1"/>
        <w:rPr>
          <w:rFonts w:ascii="黑体" w:eastAsia="黑体" w:hAnsiTheme="majorHAnsi" w:cstheme="majorBidi"/>
          <w:b/>
          <w:color w:val="FF0000"/>
          <w:kern w:val="0"/>
          <w:sz w:val="24"/>
          <w:lang w:bidi="en-US"/>
        </w:rPr>
      </w:pPr>
      <w:r>
        <w:rPr>
          <w:rFonts w:ascii="黑体" w:eastAsia="黑体" w:hAnsiTheme="majorHAnsi" w:cstheme="majorBidi"/>
          <w:b/>
          <w:color w:val="FF0000"/>
          <w:kern w:val="0"/>
          <w:sz w:val="24"/>
          <w:lang w:bidi="en-US"/>
        </w:rPr>
        <w:t>10</w:t>
      </w:r>
      <w:r>
        <w:rPr>
          <w:rFonts w:hint="eastAsia" w:ascii="黑体" w:eastAsia="黑体" w:hAnsiTheme="majorHAnsi" w:cstheme="majorBidi"/>
          <w:b/>
          <w:color w:val="FF0000"/>
          <w:kern w:val="0"/>
          <w:sz w:val="24"/>
          <w:lang w:bidi="en-US"/>
        </w:rPr>
        <w:t>.重要事项</w:t>
      </w:r>
    </w:p>
    <w:p>
      <w:pPr>
        <w:spacing w:line="400" w:lineRule="exact"/>
        <w:ind w:firstLine="437"/>
        <w:rPr>
          <w:rFonts w:cs="宋体" w:asciiTheme="minorEastAsia" w:hAnsiTheme="minorEastAsia" w:eastAsiaTheme="minorEastAsia"/>
          <w:b/>
          <w:szCs w:val="21"/>
        </w:rPr>
      </w:pPr>
      <w:r>
        <w:rPr>
          <w:rFonts w:hint="eastAsia" w:ascii="宋体" w:hAnsi="宋体"/>
        </w:rPr>
        <w:t>（1）</w:t>
      </w:r>
      <w:r>
        <w:rPr>
          <w:rFonts w:asciiTheme="minorEastAsia" w:hAnsiTheme="minorEastAsia" w:eastAsiaTheme="minorEastAsia"/>
          <w:bCs/>
          <w:szCs w:val="21"/>
        </w:rPr>
        <w:t>应答人代表无需出席开标仪式</w:t>
      </w:r>
      <w:r>
        <w:rPr>
          <w:rFonts w:hint="eastAsia" w:asciiTheme="minorEastAsia" w:hAnsiTheme="minorEastAsia" w:eastAsiaTheme="minorEastAsia"/>
          <w:bCs/>
          <w:szCs w:val="21"/>
        </w:rPr>
        <w:t>，</w:t>
      </w:r>
      <w:r>
        <w:rPr>
          <w:rFonts w:hint="eastAsia" w:asciiTheme="minorEastAsia" w:hAnsiTheme="minorEastAsia" w:eastAsiaTheme="minorEastAsia"/>
          <w:bCs/>
          <w:color w:val="000000"/>
          <w:szCs w:val="21"/>
        </w:rPr>
        <w:t>可通过</w:t>
      </w:r>
      <w:r>
        <w:rPr>
          <w:rFonts w:hint="eastAsia" w:asciiTheme="minorEastAsia" w:hAnsiTheme="minorEastAsia" w:eastAsiaTheme="minorEastAsia"/>
          <w:b/>
          <w:color w:val="000000"/>
          <w:szCs w:val="21"/>
        </w:rPr>
        <w:t>“好视通云视频”</w:t>
      </w:r>
      <w:r>
        <w:rPr>
          <w:rFonts w:hint="eastAsia" w:asciiTheme="minorEastAsia" w:hAnsiTheme="minorEastAsia" w:eastAsiaTheme="minorEastAsia"/>
          <w:bCs/>
          <w:color w:val="000000"/>
          <w:szCs w:val="21"/>
        </w:rPr>
        <w:t>系统同步参与开标工作，</w:t>
      </w:r>
      <w:r>
        <w:rPr>
          <w:rFonts w:hint="eastAsia" w:asciiTheme="minorEastAsia" w:hAnsiTheme="minorEastAsia" w:eastAsiaTheme="minorEastAsia"/>
          <w:b/>
          <w:color w:val="FF0000"/>
          <w:szCs w:val="21"/>
          <w:highlight w:val="yellow"/>
        </w:rPr>
        <w:t>开标时间：</w:t>
      </w:r>
      <w:r>
        <w:rPr>
          <w:rFonts w:hint="eastAsia" w:ascii="宋体" w:hAnsi="宋体"/>
          <w:b/>
          <w:bCs/>
          <w:color w:val="FF0000"/>
          <w:highlight w:val="yellow"/>
          <w:lang w:val="en-US" w:eastAsia="zh-CN"/>
        </w:rPr>
        <w:t>2023</w:t>
      </w:r>
      <w:r>
        <w:rPr>
          <w:rFonts w:hint="eastAsia" w:ascii="宋体" w:hAnsi="宋体"/>
          <w:b/>
          <w:bCs/>
          <w:color w:val="FF0000"/>
          <w:highlight w:val="yellow"/>
        </w:rPr>
        <w:t>年</w:t>
      </w:r>
      <w:r>
        <w:rPr>
          <w:rFonts w:hint="eastAsia" w:ascii="宋体" w:hAnsi="宋体"/>
          <w:b/>
          <w:bCs/>
          <w:color w:val="FF0000"/>
          <w:highlight w:val="yellow"/>
          <w:lang w:val="en-US" w:eastAsia="zh-CN"/>
        </w:rPr>
        <w:t>12</w:t>
      </w:r>
      <w:r>
        <w:rPr>
          <w:rFonts w:hint="eastAsia" w:ascii="宋体" w:hAnsi="宋体"/>
          <w:b/>
          <w:bCs/>
          <w:color w:val="FF0000"/>
          <w:highlight w:val="yellow"/>
        </w:rPr>
        <w:t>月</w:t>
      </w:r>
      <w:r>
        <w:rPr>
          <w:rFonts w:hint="eastAsia" w:ascii="宋体" w:hAnsi="宋体"/>
          <w:b/>
          <w:bCs/>
          <w:color w:val="FF0000"/>
          <w:highlight w:val="yellow"/>
          <w:lang w:val="en-US" w:eastAsia="zh-CN"/>
        </w:rPr>
        <w:t>21</w:t>
      </w:r>
      <w:r>
        <w:rPr>
          <w:rFonts w:hint="eastAsia" w:ascii="宋体" w:hAnsi="宋体"/>
          <w:b/>
          <w:bCs/>
          <w:color w:val="FF0000"/>
          <w:highlight w:val="yellow"/>
        </w:rPr>
        <w:t>日上午09:</w:t>
      </w:r>
      <w:r>
        <w:rPr>
          <w:rFonts w:hint="eastAsia" w:ascii="宋体" w:hAnsi="宋体"/>
          <w:b/>
          <w:bCs/>
          <w:color w:val="FF0000"/>
          <w:highlight w:val="yellow"/>
          <w:lang w:val="en-US" w:eastAsia="zh-CN"/>
        </w:rPr>
        <w:t>30</w:t>
      </w:r>
      <w:r>
        <w:rPr>
          <w:rFonts w:hint="eastAsia" w:ascii="宋体" w:hAnsi="宋体"/>
          <w:b/>
          <w:color w:val="FF0000"/>
          <w:highlight w:val="yellow"/>
        </w:rPr>
        <w:t>（北京时间）</w:t>
      </w:r>
      <w:r>
        <w:rPr>
          <w:rFonts w:hint="eastAsia" w:asciiTheme="minorEastAsia" w:hAnsiTheme="minorEastAsia" w:eastAsiaTheme="minorEastAsia"/>
          <w:b/>
          <w:color w:val="FF0000"/>
          <w:szCs w:val="21"/>
        </w:rPr>
        <w:t>，</w:t>
      </w:r>
      <w:r>
        <w:rPr>
          <w:rFonts w:hint="eastAsia" w:asciiTheme="minorEastAsia" w:hAnsiTheme="minorEastAsia" w:eastAsiaTheme="minorEastAsia"/>
          <w:bCs/>
          <w:color w:val="000000"/>
          <w:szCs w:val="21"/>
        </w:rPr>
        <w:t>收看地址</w:t>
      </w:r>
      <w:r>
        <w:rPr>
          <w:rFonts w:hint="eastAsia" w:asciiTheme="minorEastAsia" w:hAnsiTheme="minorEastAsia" w:eastAsiaTheme="minorEastAsia"/>
          <w:bCs/>
          <w:szCs w:val="21"/>
        </w:rPr>
        <w:t>为：</w:t>
      </w:r>
      <w:r>
        <w:fldChar w:fldCharType="begin"/>
      </w:r>
      <w:r>
        <w:instrText xml:space="preserve"> HYPERLINK "https://live.hst.com/rfFf5lgsp" </w:instrText>
      </w:r>
      <w:r>
        <w:fldChar w:fldCharType="separate"/>
      </w:r>
      <w:r>
        <w:rPr>
          <w:rStyle w:val="10"/>
          <w:rFonts w:asciiTheme="minorEastAsia" w:hAnsiTheme="minorEastAsia" w:eastAsiaTheme="minorEastAsia"/>
          <w:b/>
          <w:bCs/>
          <w:color w:val="FF0000"/>
          <w:szCs w:val="21"/>
        </w:rPr>
        <w:t>https://live.hst.com/rfFf5lgsp</w:t>
      </w:r>
      <w:r>
        <w:rPr>
          <w:rStyle w:val="10"/>
          <w:rFonts w:asciiTheme="minorEastAsia" w:hAnsiTheme="minorEastAsia" w:eastAsiaTheme="minorEastAsia"/>
          <w:b/>
          <w:bCs/>
          <w:color w:val="FF0000"/>
          <w:szCs w:val="21"/>
        </w:rPr>
        <w:fldChar w:fldCharType="end"/>
      </w:r>
      <w:r>
        <w:rPr>
          <w:rStyle w:val="10"/>
          <w:rFonts w:hint="eastAsia" w:asciiTheme="minorEastAsia" w:hAnsiTheme="minorEastAsia" w:eastAsiaTheme="minorEastAsia"/>
          <w:b/>
          <w:bCs/>
          <w:color w:val="auto"/>
          <w:szCs w:val="21"/>
          <w:u w:val="none"/>
        </w:rPr>
        <w:t>。</w:t>
      </w:r>
      <w:r>
        <w:rPr>
          <w:rFonts w:hint="eastAsia" w:cs="宋体" w:asciiTheme="minorEastAsia" w:hAnsiTheme="minorEastAsia" w:eastAsiaTheme="minorEastAsia"/>
          <w:b/>
          <w:szCs w:val="21"/>
        </w:rPr>
        <w:t>开标过程的异议联系电话为：</w:t>
      </w:r>
      <w:r>
        <w:rPr>
          <w:rFonts w:hint="eastAsia" w:cs="宋体" w:asciiTheme="minorEastAsia" w:hAnsiTheme="minorEastAsia" w:eastAsiaTheme="minorEastAsia"/>
          <w:b/>
          <w:color w:val="FF0000"/>
          <w:szCs w:val="21"/>
        </w:rPr>
        <w:t>18465001619</w:t>
      </w:r>
      <w:r>
        <w:rPr>
          <w:rFonts w:hint="eastAsia" w:cs="宋体" w:asciiTheme="minorEastAsia" w:hAnsiTheme="minorEastAsia" w:eastAsiaTheme="minorEastAsia"/>
          <w:b/>
          <w:szCs w:val="21"/>
        </w:rPr>
        <w:t>。</w:t>
      </w:r>
    </w:p>
    <w:p>
      <w:pPr>
        <w:adjustRightInd w:val="0"/>
        <w:snapToGrid w:val="0"/>
        <w:spacing w:line="400" w:lineRule="exact"/>
        <w:ind w:firstLine="420" w:firstLineChars="200"/>
        <w:rPr>
          <w:rFonts w:cs="宋体" w:asciiTheme="minorEastAsia" w:hAnsiTheme="minorEastAsia" w:eastAsiaTheme="minorEastAsia"/>
          <w:szCs w:val="21"/>
        </w:rPr>
      </w:pPr>
      <w:r>
        <w:rPr>
          <w:rFonts w:hint="eastAsia" w:ascii="宋体" w:hAnsi="宋体"/>
        </w:rPr>
        <w:t>（</w:t>
      </w:r>
      <w:r>
        <w:rPr>
          <w:rFonts w:ascii="宋体" w:hAnsi="宋体"/>
        </w:rPr>
        <w:t>2</w:t>
      </w:r>
      <w:r>
        <w:rPr>
          <w:rFonts w:hint="eastAsia" w:ascii="宋体" w:hAnsi="宋体"/>
        </w:rPr>
        <w:t>）</w:t>
      </w:r>
      <w:r>
        <w:rPr>
          <w:rFonts w:hint="eastAsia" w:cs="宋体" w:asciiTheme="minorEastAsia" w:hAnsiTheme="minorEastAsia" w:eastAsiaTheme="minorEastAsia"/>
          <w:szCs w:val="21"/>
        </w:rPr>
        <w:t>本次采购进行录音电话远程谈判，不接受应答人现场参加谈判仪式，谈判过程中产生的澄清文件应答人需传至</w:t>
      </w:r>
      <w:r>
        <w:rPr>
          <w:rFonts w:hint="eastAsia" w:cs="宋体" w:asciiTheme="minorEastAsia" w:hAnsiTheme="minorEastAsia" w:eastAsiaTheme="minorEastAsia"/>
          <w:b/>
          <w:bCs/>
          <w:szCs w:val="21"/>
        </w:rPr>
        <w:t>国家电网公司电子商务平台-电工交易专区</w:t>
      </w:r>
      <w:r>
        <w:rPr>
          <w:rFonts w:hint="eastAsia" w:cs="宋体" w:asciiTheme="minorEastAsia" w:hAnsiTheme="minorEastAsia" w:eastAsiaTheme="minorEastAsia"/>
          <w:szCs w:val="21"/>
        </w:rPr>
        <w:t>。评审委员会将与应答人就其技术方案、商务条件进行谈判。请应答人</w:t>
      </w:r>
      <w:bookmarkStart w:id="27" w:name="_Hlk35002667"/>
      <w:r>
        <w:rPr>
          <w:rFonts w:hint="eastAsia" w:cs="方正中等线简体" w:asciiTheme="minorEastAsia" w:hAnsiTheme="minorEastAsia" w:eastAsiaTheme="minorEastAsia"/>
          <w:kern w:val="0"/>
          <w:szCs w:val="21"/>
        </w:rPr>
        <w:t>在谈判期间确保电话畅通并准备好必要的办公用品及设备，以满足远程谈判的需要。</w:t>
      </w:r>
      <w:bookmarkEnd w:id="27"/>
      <w:r>
        <w:rPr>
          <w:rFonts w:hint="eastAsia" w:cs="宋体" w:asciiTheme="minorEastAsia" w:hAnsiTheme="minorEastAsia" w:eastAsiaTheme="minorEastAsia"/>
          <w:szCs w:val="21"/>
        </w:rPr>
        <w:t>如因应答人原因导致谈判、澄清或报价等事宜超过规定时限，后果由应答人自行承担。</w:t>
      </w:r>
    </w:p>
    <w:p>
      <w:pPr>
        <w:pStyle w:val="2"/>
        <w:ind w:firstLine="420" w:firstLineChars="200"/>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）各潜在应答人在国家电网公司电子商务平台-电工交易专区维护应答人基本信息时，必须填写真实有效的信息，如因信息有误造成应答失败的风险由应答人自行承担。</w:t>
      </w:r>
    </w:p>
    <w:p>
      <w:pPr>
        <w:adjustRightInd w:val="0"/>
        <w:snapToGrid w:val="0"/>
        <w:spacing w:line="400" w:lineRule="exact"/>
        <w:rPr>
          <w:rFonts w:ascii="宋体" w:hAnsi="宋体"/>
          <w:b/>
          <w:bCs/>
          <w:color w:val="FF0000"/>
          <w:highlight w:val="yellow"/>
        </w:rPr>
      </w:pPr>
    </w:p>
    <w:p>
      <w:pPr>
        <w:adjustRightInd w:val="0"/>
        <w:snapToGrid w:val="0"/>
        <w:spacing w:line="400" w:lineRule="exact"/>
        <w:jc w:val="right"/>
        <w:rPr>
          <w:rFonts w:ascii="宋体" w:hAnsi="宋体"/>
        </w:rPr>
      </w:pPr>
      <w:r>
        <w:rPr>
          <w:rFonts w:hint="eastAsia" w:ascii="宋体" w:hAnsi="宋体"/>
          <w:b/>
          <w:bCs/>
          <w:color w:val="FF0000"/>
          <w:highlight w:val="yellow"/>
          <w:lang w:val="en-US" w:eastAsia="zh-CN"/>
        </w:rPr>
        <w:t>2023</w:t>
      </w:r>
      <w:r>
        <w:rPr>
          <w:rFonts w:hint="eastAsia" w:ascii="宋体" w:hAnsi="宋体"/>
          <w:b/>
          <w:bCs/>
          <w:color w:val="FF0000"/>
          <w:highlight w:val="yellow"/>
        </w:rPr>
        <w:t>年</w:t>
      </w:r>
      <w:r>
        <w:rPr>
          <w:rFonts w:hint="eastAsia" w:ascii="宋体" w:hAnsi="宋体"/>
          <w:b/>
          <w:bCs/>
          <w:color w:val="FF0000"/>
          <w:highlight w:val="yellow"/>
          <w:lang w:val="en-US" w:eastAsia="zh-CN"/>
        </w:rPr>
        <w:t>12</w:t>
      </w:r>
      <w:r>
        <w:rPr>
          <w:rFonts w:hint="eastAsia" w:ascii="宋体" w:hAnsi="宋体"/>
          <w:b/>
          <w:bCs/>
          <w:color w:val="FF0000"/>
          <w:highlight w:val="yellow"/>
        </w:rPr>
        <w:t>月</w:t>
      </w:r>
      <w:r>
        <w:rPr>
          <w:rFonts w:hint="eastAsia" w:ascii="宋体" w:hAnsi="宋体"/>
          <w:b/>
          <w:bCs/>
          <w:color w:val="FF0000"/>
          <w:highlight w:val="yellow"/>
          <w:lang w:val="en-US" w:eastAsia="zh-CN"/>
        </w:rPr>
        <w:t>11</w:t>
      </w:r>
      <w:r>
        <w:rPr>
          <w:rFonts w:hint="eastAsia" w:ascii="宋体" w:hAnsi="宋体"/>
          <w:b/>
          <w:bCs/>
          <w:color w:val="FF0000"/>
          <w:highlight w:val="yellow"/>
        </w:rPr>
        <w:t>日</w:t>
      </w:r>
      <w:r>
        <w:br w:type="page"/>
      </w:r>
    </w:p>
    <w:p>
      <w:pPr>
        <w:pStyle w:val="4"/>
        <w:spacing w:after="0" w:line="400" w:lineRule="exact"/>
        <w:jc w:val="left"/>
        <w:outlineLvl w:val="1"/>
        <w:rPr>
          <w:rFonts w:ascii="黑体" w:hAnsi="黑体" w:eastAsia="黑体" w:cs="黑体"/>
          <w:b/>
          <w:bCs/>
          <w:sz w:val="24"/>
        </w:rPr>
        <w:sectPr>
          <w:pgSz w:w="11906" w:h="16838"/>
          <w:pgMar w:top="1417" w:right="1417" w:bottom="1417" w:left="1417" w:header="851" w:footer="992" w:gutter="0"/>
          <w:cols w:space="0" w:num="1"/>
          <w:docGrid w:type="lines" w:linePitch="312" w:charSpace="0"/>
        </w:sectPr>
      </w:pPr>
    </w:p>
    <w:p>
      <w:pPr>
        <w:pStyle w:val="4"/>
        <w:spacing w:after="0" w:line="400" w:lineRule="exact"/>
        <w:jc w:val="left"/>
        <w:textAlignment w:val="center"/>
        <w:outlineLvl w:val="1"/>
        <w:rPr>
          <w:rFonts w:ascii="黑体" w:hAnsi="黑体" w:eastAsia="黑体" w:cs="黑体"/>
          <w:b/>
          <w:bCs/>
          <w:sz w:val="24"/>
        </w:rPr>
      </w:pPr>
      <w:r>
        <w:rPr>
          <w:rFonts w:hint="eastAsia" w:ascii="黑体" w:hAnsi="黑体" w:eastAsia="黑体" w:cs="黑体"/>
          <w:b/>
          <w:bCs/>
          <w:sz w:val="24"/>
        </w:rPr>
        <w:t>采购公告附件一：需求一览表</w:t>
      </w:r>
    </w:p>
    <w:tbl>
      <w:tblPr>
        <w:tblStyle w:val="7"/>
        <w:tblW w:w="15105" w:type="dxa"/>
        <w:tblInd w:w="-45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0"/>
        <w:gridCol w:w="645"/>
        <w:gridCol w:w="660"/>
        <w:gridCol w:w="645"/>
        <w:gridCol w:w="990"/>
        <w:gridCol w:w="1110"/>
        <w:gridCol w:w="1605"/>
        <w:gridCol w:w="585"/>
        <w:gridCol w:w="1245"/>
        <w:gridCol w:w="675"/>
        <w:gridCol w:w="1170"/>
        <w:gridCol w:w="690"/>
        <w:gridCol w:w="660"/>
        <w:gridCol w:w="1785"/>
        <w:gridCol w:w="690"/>
        <w:gridCol w:w="630"/>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5" w:hRule="atLeast"/>
          <w:tblHeader/>
        </w:trPr>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序号</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分标编号</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分标名称</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分包编号</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分包名称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项目名称</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专用资格要求</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应答人类型</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业绩要求</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人员要求</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计划服务工期/交货期</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报价方式</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最高限价</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定价规则</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合同选取</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是否应用电商化采购专区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框架协议计划入围供应（服务）商数量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9"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FW</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包1盐池配网工程中心工程机械租赁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宁夏东宏电力有限公司2024年盐池配网工程中心工程机械租赁</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机械车（吊车、挖机、装载车、拖拉机）：结算价=∑实际使用车型数量×实际台班量×单价基准价×成交折扣比例（%），据实结算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服务框架采购协议/机械租赁合同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2"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FW</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包2施工机具检验服务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2024年宁夏东宏电力有限公司施工机具检验服务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具有检验检测CMA证书</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结算价=∑实际使用数量×单价基准价×成交折扣比例（%），据实结算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技术服务合同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2"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FW</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包3</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包3仪器仪表及机具维修服务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2024年东宏公司变电工程中心仪器仪表及机具维修服务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设备制造商</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制造商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结算价=∑实际使用数量×单价基准价×成交折扣比例（%），据实结算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技术服务合同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2"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FW</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包4仪器仪表检测服务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2024年东宏公司变电工程中心仪器仪表检测服务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具备仪器仪表校验CNAS或CMA证书</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结算价=∑实际使用数量×单价基准价×成交折扣比例（%），据实结算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技术服务合同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2"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FW</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包5大件设施设备运输项目服务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宁夏东宏电力有限公司工程管理部2024年大件（设施/设备）运输项目服务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道路运输经营许可证</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吊装费：结算价=∑实际服务车辆数×实际台班量×单价基准价×成交折扣比例（%），据实结算</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运输费：结算价=实际公里数×实际重量×单价基准价×成交折扣比例（%）据实结算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（设施/设备）运输合同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5"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FW</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包6活动板房维修服务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活动板房维修服务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具有建筑装修装饰工程专业承包贰级及以上资质</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结算价=∑实际使用数量×单价基准价×成交折扣比例（%），据实结算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设施设备维修保养合同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WZ</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物资</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包7</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包7工器具检测中心改造材料采购</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国网宁东供电公司工器具检测中心改造材料采购</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具有建筑装修装饰工程专业承包贰级及以上资质</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要求完成时间：自签订合同之日起至30天内</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结算价=∑实际使用数量×单价基准价×成交折扣比例（%），据实结算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物资采购合同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是</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1"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GC</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工程</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包8盐池10千伏及以下工程框架劳务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宁夏东宏电力有限公司2024年盐池地区10千伏及以下工程框架劳务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(1)具有电力工程施工总承包叁级及以上，具有《承装（修、试）电力设施许可证》，许可范围包含承装、承修、承试五级及以上资质；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（2）具有有效期内的安全生产许可证</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（3）具有施工劳务不分等级资质</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结算价=∑完成该项目核定的人数×完成该项目核定的天数×单价基准价×成交折扣比例（%），据实结算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服务框架采购协议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/工程施工劳务分包合同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98"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GC</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工程</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包9</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包9宁东配网营销工程施工劳务框架</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宁夏东宏电力有限公司2024年宁东地区配网、营销、用户工程施工劳务框架</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1.具有电力工程施工总承包叁级及以上资质。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2.具有有效期内的安全生产许可证。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3.具有《承装（修、试）电力设施许可证》，许可范围包含承装、承修、承试伍级及以上资质。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4.具有施工劳务不分等级资质</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结算价=∑完成该项目核定的人数×完成该项目核定的天数×单价基准价×成交折扣比例（%），据实结算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服务框架采购协议/工程施工劳务分包合同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7"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WZ</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物资</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包10宁东配网工程机械及设备租赁</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宁夏东宏电力有限公司2024年宁东地区配网工程机械及设备租赁</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机械车（吊车、自卸吊、挖机、装载车、货车、板车、多功能收放线车、四轮绞磨牵引机、电缆输送机）：结算价=∑实际使用车型数量×实际台班量×单价基准价×成交折扣比例（%），据实结算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机械租赁合同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GC</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工程</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包11</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包11红石湾电缆井电缆沟道施工劳务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红石湾宝丰甲醇110kV线路工程及红胜线35kV送电线路工程电缆井、电缆沟道施工劳务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（1）具有电力工程施工总承包叁级及以上资质；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（2）具有有效期内的安全生产许可证；</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（3）具有劳务不分等级资质。</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结算价=∑完成该项目核定的人数×完成该项目核定的天数×单价基准价×成交折扣比例（%），据实结算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劳务分包合同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7"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FW</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包12会计咨询服务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宁夏东宏电力有限公司会计咨询服务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要求完成时间：自签订合同之日起至2025.12.31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结算价=∑完成该项目核定的人数×完成该项目核定的天数×单价基准价×成交折扣比例（%），据实结算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会计咨询技术服务合同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5"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FW</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包13</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包13税务代理服务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宁夏东宏电力有限公司税务代理服务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具备税务师事务所执业证（AA及以上资质）</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要求完成时间：2024年01月01日-2025年12月31日</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涉税服务业务约定书</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5"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FW</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服务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包14机械维保服务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宁夏东宏电力有限公司机械维保服务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结算价=∑实际完成车辆维修项目次数×单价基准价×成交折扣比例（%），据实结算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机械维保合同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5"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WZ</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物资</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包15电子标志牌</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宁夏宁东泰和芳纶110千伏供电工程（电子标志牌）</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要求完成时间：自签订合同之日5天内</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结算价=∑实际使用数量×单价基准价×成交折扣比例（%），据实结算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物资采购合同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是</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WZ</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物资</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包16交联聚乙烯铝芯电力电缆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太阳山供水二期工程35kV输变电工程（交联聚乙烯铝芯电力电缆）</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要求完成时间：自签订合同之日5天内</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结算价=∑实际使用数量×单价基准价×成交折扣比例（%），据实结算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物资采购合同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是</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30" w:hRule="atLeast"/>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GC</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工程</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包17</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包17太阳山35kV输电工程劳务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太阳山供水二期工程-35kV输电工程施工劳务</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（1）具有电力工程施工总承包叁级及以上资质；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（2）具有有效期内的安全生产许可证；</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（3）具有《承装（修、试）电力设施许可证》，许可范围包含承装、承修、承试肆级及以上资质；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（4）具有劳务不分等级资质或劳务备案证明。</w:t>
            </w: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近三年（以应答截止日计算）具有相同或类似项目业绩</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详见技术规范</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要求完成时间：自签订合同之日起至2024.12.31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折扣比例</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结算价=∑完成该项目核定的人数×完成该项目核定的天数×单价基准价×成交折扣比例（%），据实结算</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劳务分包合同</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否</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auto"/>
                <w:sz w:val="18"/>
                <w:szCs w:val="18"/>
                <w:u w:val="none"/>
              </w:rPr>
            </w:pPr>
          </w:p>
        </w:tc>
      </w:tr>
    </w:tbl>
    <w:p>
      <w:pPr>
        <w:pStyle w:val="2"/>
        <w:spacing w:line="400" w:lineRule="exact"/>
        <w:ind w:firstLine="320" w:firstLineChars="200"/>
        <w:rPr>
          <w:b/>
          <w:bCs/>
        </w:rPr>
      </w:pPr>
      <w:r>
        <w:rPr>
          <w:rFonts w:hint="eastAsia"/>
          <w:b/>
          <w:bCs/>
        </w:rPr>
        <w:t>注：</w:t>
      </w:r>
    </w:p>
    <w:p>
      <w:pPr>
        <w:pStyle w:val="2"/>
        <w:spacing w:line="400" w:lineRule="exact"/>
        <w:ind w:firstLine="320" w:firstLineChars="200"/>
        <w:rPr>
          <w:b/>
          <w:bCs/>
        </w:rPr>
      </w:pPr>
      <w:r>
        <w:rPr>
          <w:rFonts w:hint="eastAsia"/>
          <w:b/>
          <w:bCs/>
        </w:rPr>
        <w:t>1</w:t>
      </w:r>
      <w:r>
        <w:rPr>
          <w:b/>
          <w:bCs/>
        </w:rPr>
        <w:t>.</w:t>
      </w:r>
      <w:r>
        <w:rPr>
          <w:rFonts w:hint="eastAsia"/>
          <w:b/>
          <w:bCs/>
        </w:rPr>
        <w:t>最终报价未按照采购文件规定的报价方式进行报价属于无效报价；</w:t>
      </w:r>
    </w:p>
    <w:p>
      <w:pPr>
        <w:pStyle w:val="2"/>
        <w:spacing w:line="400" w:lineRule="exact"/>
        <w:ind w:firstLine="320" w:firstLineChars="200"/>
        <w:rPr>
          <w:b/>
          <w:bCs/>
        </w:rPr>
      </w:pPr>
      <w:r>
        <w:rPr>
          <w:b/>
          <w:bCs/>
        </w:rPr>
        <w:t>2.</w:t>
      </w:r>
      <w:r>
        <w:rPr>
          <w:rFonts w:hint="eastAsia"/>
          <w:b/>
          <w:bCs/>
        </w:rPr>
        <w:t>业绩不满足要求将被否决；</w:t>
      </w:r>
    </w:p>
    <w:p>
      <w:pPr>
        <w:pStyle w:val="2"/>
        <w:spacing w:line="400" w:lineRule="exact"/>
        <w:ind w:firstLine="320" w:firstLineChars="200"/>
      </w:pPr>
      <w:r>
        <w:rPr>
          <w:b/>
          <w:bCs/>
        </w:rPr>
        <w:t>3.</w:t>
      </w:r>
      <w:r>
        <w:rPr>
          <w:rFonts w:hint="eastAsia"/>
          <w:b/>
          <w:bCs/>
        </w:rPr>
        <w:t xml:space="preserve"> “/”代表不做要求。</w:t>
      </w:r>
    </w:p>
    <w:sectPr>
      <w:pgSz w:w="16838" w:h="11906" w:orient="landscape"/>
      <w:pgMar w:top="1418" w:right="1418" w:bottom="1418" w:left="1418"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方正中等线简体">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5ODI4NDQwZTRjMDA5NGNiZjViYmJhMmI5YzViMjgifQ=="/>
  </w:docVars>
  <w:rsids>
    <w:rsidRoot w:val="00762645"/>
    <w:rsid w:val="00005D4D"/>
    <w:rsid w:val="000160AD"/>
    <w:rsid w:val="0002429E"/>
    <w:rsid w:val="0003657E"/>
    <w:rsid w:val="00037663"/>
    <w:rsid w:val="0004073C"/>
    <w:rsid w:val="00045F54"/>
    <w:rsid w:val="00070F56"/>
    <w:rsid w:val="0007505A"/>
    <w:rsid w:val="00084F57"/>
    <w:rsid w:val="0009387B"/>
    <w:rsid w:val="00094A0C"/>
    <w:rsid w:val="000A1D12"/>
    <w:rsid w:val="000A3908"/>
    <w:rsid w:val="000A69C8"/>
    <w:rsid w:val="000B221D"/>
    <w:rsid w:val="000B2E15"/>
    <w:rsid w:val="000B7A3D"/>
    <w:rsid w:val="000C39AD"/>
    <w:rsid w:val="000E1084"/>
    <w:rsid w:val="000E5BA1"/>
    <w:rsid w:val="000F0F35"/>
    <w:rsid w:val="000F3C7B"/>
    <w:rsid w:val="000F3CC4"/>
    <w:rsid w:val="000F6096"/>
    <w:rsid w:val="00102E34"/>
    <w:rsid w:val="00105443"/>
    <w:rsid w:val="001065A3"/>
    <w:rsid w:val="00123E43"/>
    <w:rsid w:val="001270DE"/>
    <w:rsid w:val="00130CB6"/>
    <w:rsid w:val="00132701"/>
    <w:rsid w:val="00155242"/>
    <w:rsid w:val="00156AF8"/>
    <w:rsid w:val="0017212B"/>
    <w:rsid w:val="0017546C"/>
    <w:rsid w:val="00184E27"/>
    <w:rsid w:val="00190565"/>
    <w:rsid w:val="0019230F"/>
    <w:rsid w:val="001957DA"/>
    <w:rsid w:val="001A1F85"/>
    <w:rsid w:val="001A2968"/>
    <w:rsid w:val="001C6232"/>
    <w:rsid w:val="001D0516"/>
    <w:rsid w:val="001D2BCF"/>
    <w:rsid w:val="001D5DB7"/>
    <w:rsid w:val="001D650F"/>
    <w:rsid w:val="001E04B8"/>
    <w:rsid w:val="001E4F57"/>
    <w:rsid w:val="001F1053"/>
    <w:rsid w:val="001F178E"/>
    <w:rsid w:val="001F4847"/>
    <w:rsid w:val="001F4FB8"/>
    <w:rsid w:val="001F7BF4"/>
    <w:rsid w:val="002003B8"/>
    <w:rsid w:val="00203F3F"/>
    <w:rsid w:val="002147CF"/>
    <w:rsid w:val="0022551A"/>
    <w:rsid w:val="00236AE0"/>
    <w:rsid w:val="002378BD"/>
    <w:rsid w:val="002510AE"/>
    <w:rsid w:val="00253D06"/>
    <w:rsid w:val="0026048C"/>
    <w:rsid w:val="00263410"/>
    <w:rsid w:val="0026723B"/>
    <w:rsid w:val="002707AE"/>
    <w:rsid w:val="00274932"/>
    <w:rsid w:val="00284DF6"/>
    <w:rsid w:val="00285478"/>
    <w:rsid w:val="00285C28"/>
    <w:rsid w:val="00286AB7"/>
    <w:rsid w:val="002911F0"/>
    <w:rsid w:val="00292313"/>
    <w:rsid w:val="002A0CB7"/>
    <w:rsid w:val="002A2972"/>
    <w:rsid w:val="002B7C32"/>
    <w:rsid w:val="002C5FC7"/>
    <w:rsid w:val="002D154C"/>
    <w:rsid w:val="002D241E"/>
    <w:rsid w:val="002F2212"/>
    <w:rsid w:val="002F3EF8"/>
    <w:rsid w:val="00307DB2"/>
    <w:rsid w:val="00310883"/>
    <w:rsid w:val="00313FF6"/>
    <w:rsid w:val="00327A13"/>
    <w:rsid w:val="00332BE8"/>
    <w:rsid w:val="003375C6"/>
    <w:rsid w:val="00345819"/>
    <w:rsid w:val="003462E0"/>
    <w:rsid w:val="00347E4C"/>
    <w:rsid w:val="00350165"/>
    <w:rsid w:val="00367989"/>
    <w:rsid w:val="0038127A"/>
    <w:rsid w:val="00381574"/>
    <w:rsid w:val="0038363F"/>
    <w:rsid w:val="00390C63"/>
    <w:rsid w:val="00397179"/>
    <w:rsid w:val="003C0B74"/>
    <w:rsid w:val="003C5E18"/>
    <w:rsid w:val="003D2790"/>
    <w:rsid w:val="003D578C"/>
    <w:rsid w:val="003D6BCE"/>
    <w:rsid w:val="003E00B7"/>
    <w:rsid w:val="003E5131"/>
    <w:rsid w:val="003E5B19"/>
    <w:rsid w:val="003F46E6"/>
    <w:rsid w:val="0040212E"/>
    <w:rsid w:val="00411761"/>
    <w:rsid w:val="004128BD"/>
    <w:rsid w:val="00421BD3"/>
    <w:rsid w:val="00433E91"/>
    <w:rsid w:val="004372DA"/>
    <w:rsid w:val="004425FF"/>
    <w:rsid w:val="00447FF2"/>
    <w:rsid w:val="004606F6"/>
    <w:rsid w:val="004618EA"/>
    <w:rsid w:val="004657B4"/>
    <w:rsid w:val="004679A6"/>
    <w:rsid w:val="004710DB"/>
    <w:rsid w:val="00472B44"/>
    <w:rsid w:val="00480995"/>
    <w:rsid w:val="0048779E"/>
    <w:rsid w:val="00492FFC"/>
    <w:rsid w:val="004A0A1E"/>
    <w:rsid w:val="004A3E17"/>
    <w:rsid w:val="004A590E"/>
    <w:rsid w:val="004A7163"/>
    <w:rsid w:val="004B2AA6"/>
    <w:rsid w:val="004C10D6"/>
    <w:rsid w:val="004C38FC"/>
    <w:rsid w:val="004C5205"/>
    <w:rsid w:val="004D06B3"/>
    <w:rsid w:val="004E012B"/>
    <w:rsid w:val="004E61C4"/>
    <w:rsid w:val="00502489"/>
    <w:rsid w:val="0050359D"/>
    <w:rsid w:val="00504180"/>
    <w:rsid w:val="0050714A"/>
    <w:rsid w:val="00511B53"/>
    <w:rsid w:val="005129A0"/>
    <w:rsid w:val="00515716"/>
    <w:rsid w:val="005200C7"/>
    <w:rsid w:val="00522908"/>
    <w:rsid w:val="00525B23"/>
    <w:rsid w:val="00527CA1"/>
    <w:rsid w:val="005318E0"/>
    <w:rsid w:val="00531FAA"/>
    <w:rsid w:val="00532678"/>
    <w:rsid w:val="00545795"/>
    <w:rsid w:val="00555BBB"/>
    <w:rsid w:val="00567E80"/>
    <w:rsid w:val="005712A8"/>
    <w:rsid w:val="00577D23"/>
    <w:rsid w:val="00584B20"/>
    <w:rsid w:val="0058666C"/>
    <w:rsid w:val="00595D50"/>
    <w:rsid w:val="005B1D57"/>
    <w:rsid w:val="005B5DC9"/>
    <w:rsid w:val="005C0D5C"/>
    <w:rsid w:val="005C2FD4"/>
    <w:rsid w:val="005D7D58"/>
    <w:rsid w:val="005E00B2"/>
    <w:rsid w:val="005E4081"/>
    <w:rsid w:val="005F468C"/>
    <w:rsid w:val="00601517"/>
    <w:rsid w:val="006023EB"/>
    <w:rsid w:val="00611A99"/>
    <w:rsid w:val="00615225"/>
    <w:rsid w:val="00622628"/>
    <w:rsid w:val="00630212"/>
    <w:rsid w:val="006309DB"/>
    <w:rsid w:val="00631802"/>
    <w:rsid w:val="00635AD0"/>
    <w:rsid w:val="00637A51"/>
    <w:rsid w:val="006424A8"/>
    <w:rsid w:val="006429FF"/>
    <w:rsid w:val="00642FA7"/>
    <w:rsid w:val="00675610"/>
    <w:rsid w:val="006A6270"/>
    <w:rsid w:val="006B0C55"/>
    <w:rsid w:val="006B5815"/>
    <w:rsid w:val="006C0EC2"/>
    <w:rsid w:val="006D07F1"/>
    <w:rsid w:val="006D4938"/>
    <w:rsid w:val="006E433E"/>
    <w:rsid w:val="006E629A"/>
    <w:rsid w:val="006F1613"/>
    <w:rsid w:val="006F21FF"/>
    <w:rsid w:val="006F3F71"/>
    <w:rsid w:val="006F6631"/>
    <w:rsid w:val="00700B72"/>
    <w:rsid w:val="00701548"/>
    <w:rsid w:val="007040D3"/>
    <w:rsid w:val="00705650"/>
    <w:rsid w:val="00710C9A"/>
    <w:rsid w:val="00716E3C"/>
    <w:rsid w:val="00717C99"/>
    <w:rsid w:val="007263F0"/>
    <w:rsid w:val="007315A4"/>
    <w:rsid w:val="00731D09"/>
    <w:rsid w:val="00732FFC"/>
    <w:rsid w:val="007341A6"/>
    <w:rsid w:val="00743922"/>
    <w:rsid w:val="0074477E"/>
    <w:rsid w:val="00756C13"/>
    <w:rsid w:val="00761130"/>
    <w:rsid w:val="00762645"/>
    <w:rsid w:val="00781A16"/>
    <w:rsid w:val="0078429A"/>
    <w:rsid w:val="00786769"/>
    <w:rsid w:val="00792AB9"/>
    <w:rsid w:val="007A4021"/>
    <w:rsid w:val="007A7734"/>
    <w:rsid w:val="007C33D5"/>
    <w:rsid w:val="007C5013"/>
    <w:rsid w:val="007C5ED7"/>
    <w:rsid w:val="007C7A60"/>
    <w:rsid w:val="007D0ACD"/>
    <w:rsid w:val="007D1900"/>
    <w:rsid w:val="007D50E5"/>
    <w:rsid w:val="007E5A76"/>
    <w:rsid w:val="007E6753"/>
    <w:rsid w:val="007F0385"/>
    <w:rsid w:val="007F4781"/>
    <w:rsid w:val="007F601A"/>
    <w:rsid w:val="007F6C6F"/>
    <w:rsid w:val="00803771"/>
    <w:rsid w:val="00813A09"/>
    <w:rsid w:val="00813FD0"/>
    <w:rsid w:val="008146CD"/>
    <w:rsid w:val="0082111E"/>
    <w:rsid w:val="008228B9"/>
    <w:rsid w:val="00842F96"/>
    <w:rsid w:val="00845398"/>
    <w:rsid w:val="00846C0C"/>
    <w:rsid w:val="008523D4"/>
    <w:rsid w:val="0085473D"/>
    <w:rsid w:val="00857859"/>
    <w:rsid w:val="008614D4"/>
    <w:rsid w:val="00862B3F"/>
    <w:rsid w:val="008632F6"/>
    <w:rsid w:val="008670AE"/>
    <w:rsid w:val="00871C04"/>
    <w:rsid w:val="00871D9D"/>
    <w:rsid w:val="00887CE5"/>
    <w:rsid w:val="008A5AF3"/>
    <w:rsid w:val="008B28BD"/>
    <w:rsid w:val="008C1F7D"/>
    <w:rsid w:val="008C2AB6"/>
    <w:rsid w:val="008C792A"/>
    <w:rsid w:val="008D0B19"/>
    <w:rsid w:val="008D30BA"/>
    <w:rsid w:val="008D38A5"/>
    <w:rsid w:val="008D7A00"/>
    <w:rsid w:val="008E0651"/>
    <w:rsid w:val="008E2F36"/>
    <w:rsid w:val="008E32B6"/>
    <w:rsid w:val="008E6A26"/>
    <w:rsid w:val="008F453B"/>
    <w:rsid w:val="00903243"/>
    <w:rsid w:val="00916865"/>
    <w:rsid w:val="00920759"/>
    <w:rsid w:val="009226E5"/>
    <w:rsid w:val="009253D5"/>
    <w:rsid w:val="00931C3B"/>
    <w:rsid w:val="00932FAC"/>
    <w:rsid w:val="00936893"/>
    <w:rsid w:val="009451A4"/>
    <w:rsid w:val="0094691D"/>
    <w:rsid w:val="009563AD"/>
    <w:rsid w:val="0095774C"/>
    <w:rsid w:val="00960647"/>
    <w:rsid w:val="00962F3E"/>
    <w:rsid w:val="009643DB"/>
    <w:rsid w:val="009703FA"/>
    <w:rsid w:val="00971E59"/>
    <w:rsid w:val="00980FDA"/>
    <w:rsid w:val="009830D7"/>
    <w:rsid w:val="009A0F56"/>
    <w:rsid w:val="009A3128"/>
    <w:rsid w:val="009A6B62"/>
    <w:rsid w:val="009B02B8"/>
    <w:rsid w:val="009C6683"/>
    <w:rsid w:val="009D536C"/>
    <w:rsid w:val="009F553D"/>
    <w:rsid w:val="00A1128B"/>
    <w:rsid w:val="00A158EC"/>
    <w:rsid w:val="00A3296C"/>
    <w:rsid w:val="00A46366"/>
    <w:rsid w:val="00A52F79"/>
    <w:rsid w:val="00A55DCD"/>
    <w:rsid w:val="00A70726"/>
    <w:rsid w:val="00A80779"/>
    <w:rsid w:val="00A81698"/>
    <w:rsid w:val="00A81C5B"/>
    <w:rsid w:val="00A97B35"/>
    <w:rsid w:val="00AB37E2"/>
    <w:rsid w:val="00AC5BA8"/>
    <w:rsid w:val="00AD06D8"/>
    <w:rsid w:val="00AD29E8"/>
    <w:rsid w:val="00AD4BF5"/>
    <w:rsid w:val="00AD6FB9"/>
    <w:rsid w:val="00AD7436"/>
    <w:rsid w:val="00AE2D99"/>
    <w:rsid w:val="00AF05A2"/>
    <w:rsid w:val="00AF11FE"/>
    <w:rsid w:val="00AF138A"/>
    <w:rsid w:val="00AF1B95"/>
    <w:rsid w:val="00B031D4"/>
    <w:rsid w:val="00B138AB"/>
    <w:rsid w:val="00B2201B"/>
    <w:rsid w:val="00B2297B"/>
    <w:rsid w:val="00B244AD"/>
    <w:rsid w:val="00B2602A"/>
    <w:rsid w:val="00B27CA3"/>
    <w:rsid w:val="00B43D15"/>
    <w:rsid w:val="00B455C4"/>
    <w:rsid w:val="00B457B3"/>
    <w:rsid w:val="00B5023E"/>
    <w:rsid w:val="00B6528A"/>
    <w:rsid w:val="00B705A0"/>
    <w:rsid w:val="00B73612"/>
    <w:rsid w:val="00B75FE6"/>
    <w:rsid w:val="00B77F74"/>
    <w:rsid w:val="00B8076B"/>
    <w:rsid w:val="00B83732"/>
    <w:rsid w:val="00B87C57"/>
    <w:rsid w:val="00B9124B"/>
    <w:rsid w:val="00B91435"/>
    <w:rsid w:val="00BB27A2"/>
    <w:rsid w:val="00BB459B"/>
    <w:rsid w:val="00BB5556"/>
    <w:rsid w:val="00BB5856"/>
    <w:rsid w:val="00BB64B0"/>
    <w:rsid w:val="00BC1F97"/>
    <w:rsid w:val="00BC24F3"/>
    <w:rsid w:val="00BC4C05"/>
    <w:rsid w:val="00BC6B36"/>
    <w:rsid w:val="00BC7CED"/>
    <w:rsid w:val="00BE1F57"/>
    <w:rsid w:val="00BE1FDD"/>
    <w:rsid w:val="00BF00F7"/>
    <w:rsid w:val="00BF5399"/>
    <w:rsid w:val="00C01D1A"/>
    <w:rsid w:val="00C15247"/>
    <w:rsid w:val="00C155EA"/>
    <w:rsid w:val="00C15A3C"/>
    <w:rsid w:val="00C16F9D"/>
    <w:rsid w:val="00C2006B"/>
    <w:rsid w:val="00C22F57"/>
    <w:rsid w:val="00C37F2D"/>
    <w:rsid w:val="00C44426"/>
    <w:rsid w:val="00C517F5"/>
    <w:rsid w:val="00C541E4"/>
    <w:rsid w:val="00C54C0F"/>
    <w:rsid w:val="00C54D3C"/>
    <w:rsid w:val="00C56167"/>
    <w:rsid w:val="00C73E99"/>
    <w:rsid w:val="00C74C25"/>
    <w:rsid w:val="00C75D28"/>
    <w:rsid w:val="00C819AF"/>
    <w:rsid w:val="00C83AB9"/>
    <w:rsid w:val="00C84209"/>
    <w:rsid w:val="00CA0A2F"/>
    <w:rsid w:val="00CA18B8"/>
    <w:rsid w:val="00CB078C"/>
    <w:rsid w:val="00CB0C2C"/>
    <w:rsid w:val="00CB0C76"/>
    <w:rsid w:val="00CD0D69"/>
    <w:rsid w:val="00CD681C"/>
    <w:rsid w:val="00D03D70"/>
    <w:rsid w:val="00D128E2"/>
    <w:rsid w:val="00D1597C"/>
    <w:rsid w:val="00D3446E"/>
    <w:rsid w:val="00D45119"/>
    <w:rsid w:val="00D50974"/>
    <w:rsid w:val="00D548E4"/>
    <w:rsid w:val="00D55140"/>
    <w:rsid w:val="00D651BD"/>
    <w:rsid w:val="00D65CDC"/>
    <w:rsid w:val="00D7772E"/>
    <w:rsid w:val="00D8076C"/>
    <w:rsid w:val="00D83D6E"/>
    <w:rsid w:val="00D84385"/>
    <w:rsid w:val="00D85BB8"/>
    <w:rsid w:val="00D904BA"/>
    <w:rsid w:val="00D923F8"/>
    <w:rsid w:val="00D93400"/>
    <w:rsid w:val="00D9359B"/>
    <w:rsid w:val="00D97A15"/>
    <w:rsid w:val="00DA1673"/>
    <w:rsid w:val="00DB1D28"/>
    <w:rsid w:val="00DB25A7"/>
    <w:rsid w:val="00DB68ED"/>
    <w:rsid w:val="00DD0467"/>
    <w:rsid w:val="00DD4D02"/>
    <w:rsid w:val="00DD688E"/>
    <w:rsid w:val="00DE0EB4"/>
    <w:rsid w:val="00E017E6"/>
    <w:rsid w:val="00E03061"/>
    <w:rsid w:val="00E054EF"/>
    <w:rsid w:val="00E0566E"/>
    <w:rsid w:val="00E124AA"/>
    <w:rsid w:val="00E15E9E"/>
    <w:rsid w:val="00E174FE"/>
    <w:rsid w:val="00E23E30"/>
    <w:rsid w:val="00E2677F"/>
    <w:rsid w:val="00E27459"/>
    <w:rsid w:val="00E30785"/>
    <w:rsid w:val="00E31891"/>
    <w:rsid w:val="00E531AD"/>
    <w:rsid w:val="00E54D35"/>
    <w:rsid w:val="00E55119"/>
    <w:rsid w:val="00E559BE"/>
    <w:rsid w:val="00E65704"/>
    <w:rsid w:val="00E65C20"/>
    <w:rsid w:val="00E72B84"/>
    <w:rsid w:val="00E82167"/>
    <w:rsid w:val="00E85D3B"/>
    <w:rsid w:val="00E86AE6"/>
    <w:rsid w:val="00E86B58"/>
    <w:rsid w:val="00E87203"/>
    <w:rsid w:val="00E91722"/>
    <w:rsid w:val="00E9274E"/>
    <w:rsid w:val="00E94A7A"/>
    <w:rsid w:val="00EB11B7"/>
    <w:rsid w:val="00EB7181"/>
    <w:rsid w:val="00EC4EC9"/>
    <w:rsid w:val="00ED1861"/>
    <w:rsid w:val="00ED20B3"/>
    <w:rsid w:val="00EE19A3"/>
    <w:rsid w:val="00EE3C80"/>
    <w:rsid w:val="00EE41AD"/>
    <w:rsid w:val="00EE4932"/>
    <w:rsid w:val="00EF1AE8"/>
    <w:rsid w:val="00EF238E"/>
    <w:rsid w:val="00EF42EF"/>
    <w:rsid w:val="00F01B51"/>
    <w:rsid w:val="00F02CE1"/>
    <w:rsid w:val="00F04FCE"/>
    <w:rsid w:val="00F11CAE"/>
    <w:rsid w:val="00F13DC7"/>
    <w:rsid w:val="00F1599B"/>
    <w:rsid w:val="00F16F68"/>
    <w:rsid w:val="00F20AE3"/>
    <w:rsid w:val="00F24D46"/>
    <w:rsid w:val="00F277E8"/>
    <w:rsid w:val="00F32A73"/>
    <w:rsid w:val="00F32ABB"/>
    <w:rsid w:val="00F4031E"/>
    <w:rsid w:val="00F403F4"/>
    <w:rsid w:val="00F41486"/>
    <w:rsid w:val="00F51A5A"/>
    <w:rsid w:val="00F67EF4"/>
    <w:rsid w:val="00F75648"/>
    <w:rsid w:val="00F76AD0"/>
    <w:rsid w:val="00F85B17"/>
    <w:rsid w:val="00F93B2B"/>
    <w:rsid w:val="00F9549E"/>
    <w:rsid w:val="00F97524"/>
    <w:rsid w:val="00FB0BC3"/>
    <w:rsid w:val="00FB286C"/>
    <w:rsid w:val="00FC51FF"/>
    <w:rsid w:val="00FC6B8C"/>
    <w:rsid w:val="00FD3D4F"/>
    <w:rsid w:val="00FD4F0E"/>
    <w:rsid w:val="00FE1D5F"/>
    <w:rsid w:val="00FE5F82"/>
    <w:rsid w:val="00FE7238"/>
    <w:rsid w:val="015754F6"/>
    <w:rsid w:val="01783BF8"/>
    <w:rsid w:val="02663C42"/>
    <w:rsid w:val="030841E5"/>
    <w:rsid w:val="03AD072F"/>
    <w:rsid w:val="03B31109"/>
    <w:rsid w:val="04074BD6"/>
    <w:rsid w:val="04AB1614"/>
    <w:rsid w:val="05177476"/>
    <w:rsid w:val="05687A1E"/>
    <w:rsid w:val="0599432F"/>
    <w:rsid w:val="05B64EE1"/>
    <w:rsid w:val="05CC64B2"/>
    <w:rsid w:val="06DF2215"/>
    <w:rsid w:val="076D7821"/>
    <w:rsid w:val="07BE007D"/>
    <w:rsid w:val="089018A1"/>
    <w:rsid w:val="08DC4C5E"/>
    <w:rsid w:val="0BAD4690"/>
    <w:rsid w:val="0BAE7DEF"/>
    <w:rsid w:val="0C5B0590"/>
    <w:rsid w:val="0D670462"/>
    <w:rsid w:val="0DB8731C"/>
    <w:rsid w:val="0E0367E9"/>
    <w:rsid w:val="0E715E49"/>
    <w:rsid w:val="0EFF7EDE"/>
    <w:rsid w:val="0FDD12BC"/>
    <w:rsid w:val="100D7DF3"/>
    <w:rsid w:val="10F84DBC"/>
    <w:rsid w:val="11C52008"/>
    <w:rsid w:val="11E22BBA"/>
    <w:rsid w:val="122136E2"/>
    <w:rsid w:val="125C0BBE"/>
    <w:rsid w:val="127F55BA"/>
    <w:rsid w:val="12BB3B36"/>
    <w:rsid w:val="12E806A4"/>
    <w:rsid w:val="12F36D0A"/>
    <w:rsid w:val="13AD48CA"/>
    <w:rsid w:val="13D44784"/>
    <w:rsid w:val="159643E7"/>
    <w:rsid w:val="15966195"/>
    <w:rsid w:val="16A13043"/>
    <w:rsid w:val="16D90A2F"/>
    <w:rsid w:val="19111AC2"/>
    <w:rsid w:val="19F30E24"/>
    <w:rsid w:val="1A0933D9"/>
    <w:rsid w:val="1B701236"/>
    <w:rsid w:val="1B787A45"/>
    <w:rsid w:val="1BD9502D"/>
    <w:rsid w:val="1BE8760C"/>
    <w:rsid w:val="1CDD4C18"/>
    <w:rsid w:val="213D7E0C"/>
    <w:rsid w:val="22FD5AA5"/>
    <w:rsid w:val="2307254B"/>
    <w:rsid w:val="235002CB"/>
    <w:rsid w:val="237B69CA"/>
    <w:rsid w:val="24A00DDE"/>
    <w:rsid w:val="24DA2DF4"/>
    <w:rsid w:val="252D7C9D"/>
    <w:rsid w:val="25493224"/>
    <w:rsid w:val="255120D8"/>
    <w:rsid w:val="25C02C46"/>
    <w:rsid w:val="26993D37"/>
    <w:rsid w:val="27090EBD"/>
    <w:rsid w:val="28A80261"/>
    <w:rsid w:val="290F02E0"/>
    <w:rsid w:val="29752839"/>
    <w:rsid w:val="29BD6562"/>
    <w:rsid w:val="2B5B780D"/>
    <w:rsid w:val="2CE34819"/>
    <w:rsid w:val="2CFC6DCE"/>
    <w:rsid w:val="2DF05216"/>
    <w:rsid w:val="2E2350EF"/>
    <w:rsid w:val="2E444588"/>
    <w:rsid w:val="2E6A7D67"/>
    <w:rsid w:val="2EF014AF"/>
    <w:rsid w:val="2FC11C09"/>
    <w:rsid w:val="31311FBE"/>
    <w:rsid w:val="318D4498"/>
    <w:rsid w:val="322841C1"/>
    <w:rsid w:val="3233535A"/>
    <w:rsid w:val="330B1B18"/>
    <w:rsid w:val="33CF0D98"/>
    <w:rsid w:val="34CD0FCD"/>
    <w:rsid w:val="35064C8D"/>
    <w:rsid w:val="3529272A"/>
    <w:rsid w:val="352944D8"/>
    <w:rsid w:val="36525CB0"/>
    <w:rsid w:val="36EE59D9"/>
    <w:rsid w:val="38DD3F57"/>
    <w:rsid w:val="38DF7CCF"/>
    <w:rsid w:val="394713D0"/>
    <w:rsid w:val="395A55A8"/>
    <w:rsid w:val="3A033549"/>
    <w:rsid w:val="3A6F5083"/>
    <w:rsid w:val="3A824BCD"/>
    <w:rsid w:val="3AB74334"/>
    <w:rsid w:val="3AC56A51"/>
    <w:rsid w:val="3AE3337B"/>
    <w:rsid w:val="3B4007CD"/>
    <w:rsid w:val="3C94492D"/>
    <w:rsid w:val="3CBE7BFC"/>
    <w:rsid w:val="3D21086E"/>
    <w:rsid w:val="3D4A76E1"/>
    <w:rsid w:val="3D4F4CF8"/>
    <w:rsid w:val="3DE37306"/>
    <w:rsid w:val="3E0755D2"/>
    <w:rsid w:val="3EA572C5"/>
    <w:rsid w:val="3FC27A03"/>
    <w:rsid w:val="40FE6422"/>
    <w:rsid w:val="422E5823"/>
    <w:rsid w:val="44103433"/>
    <w:rsid w:val="444014B0"/>
    <w:rsid w:val="45E05087"/>
    <w:rsid w:val="46EC35B7"/>
    <w:rsid w:val="46F10BCE"/>
    <w:rsid w:val="47484C91"/>
    <w:rsid w:val="478B4B7E"/>
    <w:rsid w:val="48E64762"/>
    <w:rsid w:val="4A1C2405"/>
    <w:rsid w:val="4B306F34"/>
    <w:rsid w:val="4BBA0AB6"/>
    <w:rsid w:val="4BBC17AA"/>
    <w:rsid w:val="4BD74836"/>
    <w:rsid w:val="4D803B16"/>
    <w:rsid w:val="4E1753BE"/>
    <w:rsid w:val="4EA053B3"/>
    <w:rsid w:val="4EC502DB"/>
    <w:rsid w:val="4F0911AA"/>
    <w:rsid w:val="4F22226C"/>
    <w:rsid w:val="4FBB7FCB"/>
    <w:rsid w:val="4FE63299"/>
    <w:rsid w:val="50615016"/>
    <w:rsid w:val="50885E9B"/>
    <w:rsid w:val="50AF3913"/>
    <w:rsid w:val="50B25872"/>
    <w:rsid w:val="519C4558"/>
    <w:rsid w:val="51A258E6"/>
    <w:rsid w:val="52000723"/>
    <w:rsid w:val="52FE4D9E"/>
    <w:rsid w:val="538F3C48"/>
    <w:rsid w:val="54104D89"/>
    <w:rsid w:val="54D67D81"/>
    <w:rsid w:val="54F9581D"/>
    <w:rsid w:val="554A6079"/>
    <w:rsid w:val="5563538C"/>
    <w:rsid w:val="55943798"/>
    <w:rsid w:val="55D02A22"/>
    <w:rsid w:val="55E93AE3"/>
    <w:rsid w:val="563805C7"/>
    <w:rsid w:val="56384F6E"/>
    <w:rsid w:val="57B91DA5"/>
    <w:rsid w:val="57C06AC6"/>
    <w:rsid w:val="57CA34A1"/>
    <w:rsid w:val="57FD3E2B"/>
    <w:rsid w:val="587F072F"/>
    <w:rsid w:val="58855A0B"/>
    <w:rsid w:val="589312D3"/>
    <w:rsid w:val="58975A79"/>
    <w:rsid w:val="589870FB"/>
    <w:rsid w:val="591744C4"/>
    <w:rsid w:val="5947124D"/>
    <w:rsid w:val="59B614FC"/>
    <w:rsid w:val="5A274BDA"/>
    <w:rsid w:val="5AAB75B9"/>
    <w:rsid w:val="5B5C4D58"/>
    <w:rsid w:val="5BB82598"/>
    <w:rsid w:val="5BC14BBB"/>
    <w:rsid w:val="5E7423B8"/>
    <w:rsid w:val="5F571ABE"/>
    <w:rsid w:val="5F700DD2"/>
    <w:rsid w:val="5FD70E51"/>
    <w:rsid w:val="60076625"/>
    <w:rsid w:val="605D3104"/>
    <w:rsid w:val="614918DA"/>
    <w:rsid w:val="61CF1E11"/>
    <w:rsid w:val="61D4389A"/>
    <w:rsid w:val="639F1128"/>
    <w:rsid w:val="63C416EC"/>
    <w:rsid w:val="641B5F97"/>
    <w:rsid w:val="64664551"/>
    <w:rsid w:val="64714514"/>
    <w:rsid w:val="64A05CB5"/>
    <w:rsid w:val="66D9725C"/>
    <w:rsid w:val="676A73AE"/>
    <w:rsid w:val="677F4A8A"/>
    <w:rsid w:val="6828049B"/>
    <w:rsid w:val="690B56C7"/>
    <w:rsid w:val="694B2B30"/>
    <w:rsid w:val="69E14DA6"/>
    <w:rsid w:val="6AAD785E"/>
    <w:rsid w:val="6ABA73A5"/>
    <w:rsid w:val="6AC16985"/>
    <w:rsid w:val="6B5D66AE"/>
    <w:rsid w:val="6B741C4A"/>
    <w:rsid w:val="6D8F2D6B"/>
    <w:rsid w:val="6F71097A"/>
    <w:rsid w:val="703F45D4"/>
    <w:rsid w:val="70A628A5"/>
    <w:rsid w:val="70C745CA"/>
    <w:rsid w:val="712B4B58"/>
    <w:rsid w:val="71614A1E"/>
    <w:rsid w:val="71AC3EEB"/>
    <w:rsid w:val="71C70D25"/>
    <w:rsid w:val="737F73DD"/>
    <w:rsid w:val="73966C01"/>
    <w:rsid w:val="753B10E2"/>
    <w:rsid w:val="759E1D9D"/>
    <w:rsid w:val="75A1188D"/>
    <w:rsid w:val="766E2ED7"/>
    <w:rsid w:val="767945B8"/>
    <w:rsid w:val="772462D2"/>
    <w:rsid w:val="775841CD"/>
    <w:rsid w:val="77AE3DED"/>
    <w:rsid w:val="780B1240"/>
    <w:rsid w:val="78281DF2"/>
    <w:rsid w:val="78F85C68"/>
    <w:rsid w:val="7A0F3269"/>
    <w:rsid w:val="7A432F13"/>
    <w:rsid w:val="7AD24297"/>
    <w:rsid w:val="7B735A7A"/>
    <w:rsid w:val="7B9424C8"/>
    <w:rsid w:val="7C127041"/>
    <w:rsid w:val="7C8810B1"/>
    <w:rsid w:val="7D7635FF"/>
    <w:rsid w:val="7DB14637"/>
    <w:rsid w:val="7ED6414B"/>
    <w:rsid w:val="7EFF67EF"/>
    <w:rsid w:val="7F851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qFormat/>
    <w:uiPriority w:val="0"/>
    <w:rPr>
      <w:rFonts w:ascii="Tahoma" w:hAnsi="Tahoma"/>
      <w:sz w:val="16"/>
      <w:szCs w:val="16"/>
    </w:rPr>
  </w:style>
  <w:style w:type="paragraph" w:styleId="3">
    <w:name w:val="Normal Indent"/>
    <w:basedOn w:val="1"/>
    <w:next w:val="4"/>
    <w:qFormat/>
    <w:uiPriority w:val="99"/>
    <w:pPr>
      <w:ind w:firstLine="420"/>
    </w:pPr>
    <w:rPr>
      <w:rFonts w:ascii="Times New Roman" w:hAnsi="Times New Roman"/>
      <w:szCs w:val="24"/>
    </w:rPr>
  </w:style>
  <w:style w:type="paragraph" w:styleId="4">
    <w:name w:val="Body Text"/>
    <w:basedOn w:val="1"/>
    <w:next w:val="1"/>
    <w:qFormat/>
    <w:uiPriority w:val="0"/>
    <w:pPr>
      <w:spacing w:after="120"/>
    </w:pPr>
    <w:rPr>
      <w:rFonts w:ascii="Times New Roman" w:hAnsi="Times New Roman"/>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99"/>
    <w:rPr>
      <w:color w:val="0563C1"/>
      <w:u w:val="single"/>
    </w:rPr>
  </w:style>
  <w:style w:type="paragraph" w:customStyle="1" w:styleId="11">
    <w:name w:val="正文1"/>
    <w:basedOn w:val="1"/>
    <w:qFormat/>
    <w:uiPriority w:val="0"/>
    <w:pPr>
      <w:tabs>
        <w:tab w:val="left" w:pos="2160"/>
      </w:tabs>
      <w:adjustRightInd w:val="0"/>
      <w:spacing w:line="490" w:lineRule="exact"/>
      <w:jc w:val="center"/>
      <w:textAlignment w:val="baseline"/>
    </w:pPr>
    <w:rPr>
      <w:rFonts w:ascii="仿宋_GB2312" w:hAnsi="Times New Roman" w:eastAsia="仿宋_GB2312"/>
      <w:kern w:val="0"/>
      <w:sz w:val="3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7079</Words>
  <Characters>7708</Characters>
  <Lines>35</Lines>
  <Paragraphs>10</Paragraphs>
  <TotalTime>4</TotalTime>
  <ScaleCrop>false</ScaleCrop>
  <LinksUpToDate>false</LinksUpToDate>
  <CharactersWithSpaces>7716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2023-07-18T08:20:00Z</dcterms:created>
  <dc:creator>Administrator</dc:creator>
  <cp:lastModifiedBy>Lenovo</cp:lastModifiedBy>
  <dcterms:modified xsi:type="dcterms:W3CDTF">2023-12-11T08:34:22Z</dcterms:modified>
  <cp:revision>789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2322849E0DF247A1AAF5830580FE5D3A_12</vt:lpwstr>
  </property>
</Properties>
</file>