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37F1334">
      <w:pPr>
        <w:keepNext w:val="0"/>
        <w:keepLines w:val="0"/>
        <w:pageBreakBefore w:val="0"/>
        <w:widowControl w:val="0"/>
        <w:kinsoku/>
        <w:wordWrap/>
        <w:overflowPunct/>
        <w:topLinePunct w:val="0"/>
        <w:autoSpaceDE w:val="0"/>
        <w:autoSpaceDN w:val="0"/>
        <w:bidi w:val="0"/>
        <w:adjustRightInd w:val="0"/>
        <w:snapToGrid/>
        <w:ind w:left="6"/>
        <w:textAlignment w:val="auto"/>
        <w:outlineLvl w:val="9"/>
        <w:rPr>
          <w:rFonts w:hint="eastAsia"/>
          <w:highlight w:val="none"/>
          <w:lang w:val="en-US" w:eastAsia="zh-CN"/>
        </w:rPr>
      </w:pPr>
    </w:p>
    <w:p w14:paraId="16B0D47A">
      <w:pPr>
        <w:ind w:firstLine="1446" w:firstLineChars="300"/>
        <w:rPr>
          <w:rFonts w:hint="eastAsia" w:ascii="宋体" w:hAnsi="宋体" w:cs="宋体"/>
          <w:b/>
          <w:color w:val="000000"/>
          <w:kern w:val="0"/>
          <w:sz w:val="48"/>
          <w:szCs w:val="48"/>
          <w:highlight w:val="none"/>
        </w:rPr>
      </w:pPr>
    </w:p>
    <w:p w14:paraId="1053964C">
      <w:pPr>
        <w:adjustRightInd w:val="0"/>
        <w:spacing w:line="360" w:lineRule="auto"/>
        <w:jc w:val="center"/>
        <w:rPr>
          <w:rFonts w:hint="eastAsia" w:ascii="宋体" w:hAnsi="宋体" w:cs="宋体"/>
          <w:b/>
          <w:bCs/>
          <w:color w:val="000000"/>
          <w:sz w:val="48"/>
          <w:szCs w:val="48"/>
          <w:highlight w:val="none"/>
          <w:lang w:eastAsia="zh-CN"/>
        </w:rPr>
      </w:pPr>
    </w:p>
    <w:p w14:paraId="5B8628F1">
      <w:pPr>
        <w:jc w:val="center"/>
        <w:rPr>
          <w:rFonts w:hint="eastAsia" w:ascii="宋体" w:hAnsi="宋体"/>
          <w:color w:val="000000"/>
          <w:sz w:val="28"/>
          <w:szCs w:val="28"/>
          <w:highlight w:val="none"/>
        </w:rPr>
      </w:pPr>
      <w:r>
        <w:rPr>
          <w:rFonts w:hint="eastAsia" w:ascii="宋体" w:hAnsi="宋体" w:cs="宋体"/>
          <w:b/>
          <w:bCs/>
          <w:color w:val="000000"/>
          <w:sz w:val="48"/>
          <w:szCs w:val="48"/>
          <w:highlight w:val="none"/>
          <w:lang w:val="en-US" w:eastAsia="zh-CN"/>
        </w:rPr>
        <w:t>南沙枢纽片区北部基础设施及配套项目（二）（标段一）监理</w:t>
      </w:r>
    </w:p>
    <w:p w14:paraId="5F4254C4">
      <w:pPr>
        <w:rPr>
          <w:rFonts w:hint="eastAsia" w:ascii="宋体" w:hAnsi="宋体"/>
          <w:color w:val="000000"/>
          <w:sz w:val="28"/>
          <w:szCs w:val="28"/>
          <w:highlight w:val="none"/>
        </w:rPr>
      </w:pPr>
    </w:p>
    <w:p w14:paraId="704350A6">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color w:val="000000"/>
          <w:sz w:val="28"/>
          <w:szCs w:val="28"/>
          <w:highlight w:val="none"/>
        </w:rPr>
      </w:pPr>
    </w:p>
    <w:p w14:paraId="7AB52212">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color w:val="000000"/>
          <w:sz w:val="28"/>
          <w:szCs w:val="28"/>
          <w:highlight w:val="none"/>
        </w:rPr>
      </w:pPr>
    </w:p>
    <w:p w14:paraId="6B4C58C4">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color w:val="000000"/>
          <w:sz w:val="28"/>
          <w:szCs w:val="28"/>
          <w:highlight w:val="none"/>
        </w:rPr>
      </w:pPr>
    </w:p>
    <w:p w14:paraId="291AA9B1">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highlight w:val="none"/>
        </w:rPr>
      </w:pPr>
    </w:p>
    <w:p w14:paraId="48B5B764">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color w:val="000000"/>
          <w:sz w:val="28"/>
          <w:szCs w:val="28"/>
          <w:highlight w:val="none"/>
        </w:rPr>
      </w:pPr>
    </w:p>
    <w:p w14:paraId="405B3504">
      <w:pPr>
        <w:keepNext w:val="0"/>
        <w:keepLines w:val="0"/>
        <w:pageBreakBefore w:val="0"/>
        <w:widowControl w:val="0"/>
        <w:kinsoku/>
        <w:wordWrap/>
        <w:overflowPunct/>
        <w:topLinePunct w:val="0"/>
        <w:autoSpaceDE w:val="0"/>
        <w:autoSpaceDN w:val="0"/>
        <w:bidi w:val="0"/>
        <w:adjustRightInd w:val="0"/>
        <w:snapToGrid/>
        <w:textAlignment w:val="auto"/>
        <w:outlineLvl w:val="9"/>
        <w:rPr>
          <w:rFonts w:ascii="宋体" w:hAnsi="宋体"/>
          <w:color w:val="000000"/>
          <w:sz w:val="28"/>
          <w:szCs w:val="28"/>
          <w:highlight w:val="none"/>
        </w:rPr>
      </w:pPr>
    </w:p>
    <w:p w14:paraId="0E3F18A3">
      <w:pPr>
        <w:jc w:val="center"/>
        <w:rPr>
          <w:rFonts w:hint="eastAsia" w:ascii="宋体" w:hAnsi="宋体"/>
          <w:b/>
          <w:color w:val="000000"/>
          <w:sz w:val="84"/>
          <w:szCs w:val="84"/>
          <w:highlight w:val="none"/>
        </w:rPr>
      </w:pPr>
      <w:r>
        <w:rPr>
          <w:rFonts w:hint="eastAsia" w:ascii="宋体" w:hAnsi="宋体"/>
          <w:b/>
          <w:color w:val="000000"/>
          <w:sz w:val="84"/>
          <w:szCs w:val="84"/>
          <w:highlight w:val="none"/>
        </w:rPr>
        <w:t>招标文件</w:t>
      </w:r>
    </w:p>
    <w:p w14:paraId="4BD45143">
      <w:pPr>
        <w:keepNext w:val="0"/>
        <w:keepLines w:val="0"/>
        <w:pageBreakBefore w:val="0"/>
        <w:widowControl w:val="0"/>
        <w:kinsoku/>
        <w:wordWrap/>
        <w:overflowPunct/>
        <w:topLinePunct w:val="0"/>
        <w:autoSpaceDE w:val="0"/>
        <w:autoSpaceDN w:val="0"/>
        <w:bidi w:val="0"/>
        <w:adjustRightInd w:val="0"/>
        <w:snapToGrid/>
        <w:textAlignment w:val="auto"/>
        <w:outlineLvl w:val="9"/>
        <w:rPr>
          <w:rFonts w:ascii="宋体" w:hAnsi="宋体"/>
          <w:color w:val="000000"/>
          <w:sz w:val="28"/>
          <w:szCs w:val="28"/>
          <w:highlight w:val="none"/>
        </w:rPr>
      </w:pPr>
    </w:p>
    <w:p w14:paraId="6178F41B">
      <w:pPr>
        <w:keepNext w:val="0"/>
        <w:keepLines w:val="0"/>
        <w:pageBreakBefore w:val="0"/>
        <w:widowControl w:val="0"/>
        <w:kinsoku/>
        <w:wordWrap/>
        <w:overflowPunct/>
        <w:topLinePunct w:val="0"/>
        <w:autoSpaceDE w:val="0"/>
        <w:autoSpaceDN w:val="0"/>
        <w:bidi w:val="0"/>
        <w:adjustRightInd w:val="0"/>
        <w:snapToGrid/>
        <w:textAlignment w:val="auto"/>
        <w:outlineLvl w:val="9"/>
        <w:rPr>
          <w:rFonts w:hint="eastAsia" w:ascii="宋体" w:hAnsi="宋体"/>
          <w:color w:val="000000"/>
          <w:sz w:val="28"/>
          <w:szCs w:val="28"/>
          <w:highlight w:val="none"/>
        </w:rPr>
      </w:pPr>
    </w:p>
    <w:p w14:paraId="68FF5A8A">
      <w:pPr>
        <w:keepNext w:val="0"/>
        <w:keepLines w:val="0"/>
        <w:pageBreakBefore w:val="0"/>
        <w:widowControl w:val="0"/>
        <w:kinsoku/>
        <w:wordWrap/>
        <w:overflowPunct/>
        <w:topLinePunct w:val="0"/>
        <w:autoSpaceDE w:val="0"/>
        <w:autoSpaceDN w:val="0"/>
        <w:bidi w:val="0"/>
        <w:adjustRightInd w:val="0"/>
        <w:snapToGrid/>
        <w:textAlignment w:val="auto"/>
        <w:outlineLvl w:val="9"/>
        <w:rPr>
          <w:rFonts w:ascii="宋体" w:hAnsi="宋体"/>
          <w:color w:val="000000"/>
          <w:sz w:val="28"/>
          <w:szCs w:val="28"/>
          <w:highlight w:val="none"/>
        </w:rPr>
      </w:pPr>
    </w:p>
    <w:p w14:paraId="4D2B6969">
      <w:pPr>
        <w:pStyle w:val="2"/>
        <w:keepNext w:val="0"/>
        <w:keepLines w:val="0"/>
        <w:pageBreakBefore w:val="0"/>
        <w:widowControl w:val="0"/>
        <w:kinsoku/>
        <w:wordWrap/>
        <w:overflowPunct/>
        <w:topLinePunct w:val="0"/>
        <w:autoSpaceDE w:val="0"/>
        <w:autoSpaceDN w:val="0"/>
        <w:bidi w:val="0"/>
        <w:adjustRightInd w:val="0"/>
        <w:snapToGrid/>
        <w:textAlignment w:val="auto"/>
        <w:outlineLvl w:val="9"/>
        <w:rPr>
          <w:highlight w:val="none"/>
        </w:rPr>
      </w:pPr>
    </w:p>
    <w:p w14:paraId="256AAE64">
      <w:pPr>
        <w:keepNext w:val="0"/>
        <w:keepLines w:val="0"/>
        <w:pageBreakBefore w:val="0"/>
        <w:widowControl w:val="0"/>
        <w:kinsoku/>
        <w:wordWrap/>
        <w:overflowPunct/>
        <w:topLinePunct w:val="0"/>
        <w:autoSpaceDE w:val="0"/>
        <w:autoSpaceDN w:val="0"/>
        <w:bidi w:val="0"/>
        <w:adjustRightInd w:val="0"/>
        <w:snapToGrid/>
        <w:textAlignment w:val="auto"/>
        <w:outlineLvl w:val="9"/>
        <w:rPr>
          <w:rFonts w:ascii="宋体" w:hAnsi="宋体"/>
          <w:color w:val="000000"/>
          <w:sz w:val="28"/>
          <w:szCs w:val="28"/>
          <w:highlight w:val="none"/>
        </w:rPr>
      </w:pPr>
    </w:p>
    <w:p w14:paraId="4A00EF26">
      <w:pPr>
        <w:keepNext w:val="0"/>
        <w:keepLines w:val="0"/>
        <w:pageBreakBefore w:val="0"/>
        <w:widowControl w:val="0"/>
        <w:kinsoku/>
        <w:wordWrap/>
        <w:overflowPunct/>
        <w:topLinePunct w:val="0"/>
        <w:autoSpaceDE w:val="0"/>
        <w:autoSpaceDN w:val="0"/>
        <w:bidi w:val="0"/>
        <w:adjustRightInd w:val="0"/>
        <w:snapToGrid/>
        <w:textAlignment w:val="auto"/>
        <w:outlineLvl w:val="9"/>
        <w:rPr>
          <w:rFonts w:ascii="宋体" w:hAnsi="宋体"/>
          <w:color w:val="000000"/>
          <w:sz w:val="28"/>
          <w:szCs w:val="28"/>
          <w:highlight w:val="none"/>
        </w:rPr>
      </w:pPr>
    </w:p>
    <w:p w14:paraId="3A5619D3">
      <w:pPr>
        <w:keepNext w:val="0"/>
        <w:keepLines w:val="0"/>
        <w:pageBreakBefore w:val="0"/>
        <w:widowControl w:val="0"/>
        <w:kinsoku/>
        <w:wordWrap/>
        <w:overflowPunct/>
        <w:topLinePunct w:val="0"/>
        <w:autoSpaceDE w:val="0"/>
        <w:autoSpaceDN w:val="0"/>
        <w:bidi w:val="0"/>
        <w:adjustRightInd w:val="0"/>
        <w:snapToGrid/>
        <w:textAlignment w:val="auto"/>
        <w:outlineLvl w:val="9"/>
        <w:rPr>
          <w:rFonts w:ascii="宋体" w:hAnsi="宋体"/>
          <w:color w:val="000000"/>
          <w:sz w:val="28"/>
          <w:szCs w:val="28"/>
          <w:highlight w:val="none"/>
        </w:rPr>
      </w:pPr>
    </w:p>
    <w:p w14:paraId="470D73CF">
      <w:pPr>
        <w:keepNext w:val="0"/>
        <w:keepLines w:val="0"/>
        <w:pageBreakBefore w:val="0"/>
        <w:widowControl w:val="0"/>
        <w:kinsoku/>
        <w:wordWrap/>
        <w:overflowPunct/>
        <w:topLinePunct w:val="0"/>
        <w:autoSpaceDE w:val="0"/>
        <w:autoSpaceDN w:val="0"/>
        <w:bidi w:val="0"/>
        <w:adjustRightInd w:val="0"/>
        <w:snapToGrid/>
        <w:ind w:left="6"/>
        <w:textAlignment w:val="auto"/>
        <w:outlineLvl w:val="9"/>
        <w:rPr>
          <w:highlight w:val="none"/>
        </w:rPr>
      </w:pPr>
    </w:p>
    <w:p w14:paraId="77A0900B">
      <w:pPr>
        <w:spacing w:line="360" w:lineRule="auto"/>
        <w:ind w:firstLine="1063" w:firstLineChars="378"/>
        <w:jc w:val="left"/>
        <w:rPr>
          <w:rFonts w:hint="eastAsia" w:ascii="宋体" w:hAnsi="宋体" w:cs="宋体"/>
          <w:b/>
          <w:color w:val="000000"/>
          <w:sz w:val="28"/>
          <w:szCs w:val="28"/>
          <w:highlight w:val="none"/>
        </w:rPr>
      </w:pPr>
      <w:r>
        <w:rPr>
          <w:rFonts w:hint="eastAsia" w:ascii="宋体" w:hAnsi="宋体" w:cs="宋体"/>
          <w:b/>
          <w:color w:val="000000"/>
          <w:sz w:val="28"/>
          <w:szCs w:val="28"/>
          <w:highlight w:val="none"/>
        </w:rPr>
        <w:t>招标人：广州南沙投发铁路有限公司</w:t>
      </w:r>
    </w:p>
    <w:p w14:paraId="123E62D0">
      <w:pPr>
        <w:spacing w:line="360" w:lineRule="auto"/>
        <w:ind w:firstLine="1063" w:firstLineChars="378"/>
        <w:jc w:val="left"/>
        <w:rPr>
          <w:rFonts w:hint="eastAsia" w:ascii="宋体" w:hAnsi="宋体" w:cs="宋体"/>
          <w:b/>
          <w:color w:val="000000"/>
          <w:sz w:val="28"/>
          <w:szCs w:val="28"/>
          <w:highlight w:val="none"/>
        </w:rPr>
      </w:pPr>
      <w:r>
        <w:rPr>
          <w:rFonts w:hint="eastAsia" w:ascii="宋体" w:hAnsi="宋体" w:cs="宋体"/>
          <w:b/>
          <w:color w:val="000000"/>
          <w:sz w:val="28"/>
          <w:szCs w:val="28"/>
          <w:highlight w:val="none"/>
        </w:rPr>
        <w:t>建设管理单位：广州南沙科技产业发展有限公司</w:t>
      </w:r>
    </w:p>
    <w:p w14:paraId="7DDDE949">
      <w:pPr>
        <w:spacing w:line="360" w:lineRule="auto"/>
        <w:ind w:firstLine="1063" w:firstLineChars="378"/>
        <w:jc w:val="left"/>
        <w:rPr>
          <w:rFonts w:hint="eastAsia" w:ascii="宋体" w:hAnsi="宋体" w:cs="宋体"/>
          <w:b/>
          <w:color w:val="000000"/>
          <w:sz w:val="28"/>
          <w:szCs w:val="28"/>
          <w:highlight w:val="none"/>
        </w:rPr>
      </w:pPr>
      <w:r>
        <w:rPr>
          <w:rFonts w:hint="eastAsia" w:ascii="宋体" w:hAnsi="宋体" w:cs="宋体"/>
          <w:b/>
          <w:color w:val="000000"/>
          <w:sz w:val="28"/>
          <w:szCs w:val="28"/>
          <w:highlight w:val="none"/>
        </w:rPr>
        <w:t>招标代理单位：广东省机电设备招标有限公司</w:t>
      </w:r>
    </w:p>
    <w:p w14:paraId="344BFE4D">
      <w:pPr>
        <w:tabs>
          <w:tab w:val="left" w:pos="3611"/>
          <w:tab w:val="left" w:pos="4626"/>
          <w:tab w:val="left" w:pos="5642"/>
        </w:tabs>
        <w:kinsoku w:val="0"/>
        <w:overflowPunct w:val="0"/>
        <w:spacing w:before="14" w:line="360" w:lineRule="auto"/>
        <w:ind w:left="0" w:right="175" w:firstLine="1124" w:firstLineChars="400"/>
        <w:rPr>
          <w:rFonts w:hint="default"/>
          <w:color w:val="auto"/>
          <w:sz w:val="28"/>
          <w:szCs w:val="24"/>
          <w:highlight w:val="none"/>
        </w:rPr>
        <w:sectPr>
          <w:pgSz w:w="11905" w:h="16838"/>
          <w:pgMar w:top="1417" w:right="1417" w:bottom="1417" w:left="1417" w:header="720" w:footer="720" w:gutter="0"/>
          <w:lnNumType w:countBy="0" w:distance="360"/>
          <w:cols w:space="720" w:num="1"/>
        </w:sectPr>
      </w:pPr>
      <w:r>
        <w:rPr>
          <w:rFonts w:hint="eastAsia" w:ascii="宋体" w:hAnsi="宋体" w:cs="宋体"/>
          <w:b/>
          <w:color w:val="000000"/>
          <w:sz w:val="28"/>
          <w:szCs w:val="28"/>
          <w:highlight w:val="none"/>
        </w:rPr>
        <w:t>日        期：202</w:t>
      </w:r>
      <w:r>
        <w:rPr>
          <w:rFonts w:hint="eastAsia" w:ascii="宋体" w:hAnsi="宋体" w:cs="宋体"/>
          <w:b/>
          <w:color w:val="000000"/>
          <w:sz w:val="28"/>
          <w:szCs w:val="28"/>
          <w:highlight w:val="none"/>
          <w:lang w:val="en-US" w:eastAsia="zh-CN"/>
        </w:rPr>
        <w:t>6</w:t>
      </w:r>
      <w:r>
        <w:rPr>
          <w:rFonts w:hint="eastAsia" w:ascii="宋体" w:hAnsi="宋体" w:cs="宋体"/>
          <w:b/>
          <w:color w:val="000000"/>
          <w:sz w:val="28"/>
          <w:szCs w:val="28"/>
          <w:highlight w:val="none"/>
        </w:rPr>
        <w:t>年</w:t>
      </w:r>
      <w:r>
        <w:rPr>
          <w:rFonts w:hint="eastAsia" w:ascii="宋体" w:hAnsi="宋体" w:cs="宋体"/>
          <w:b/>
          <w:color w:val="000000"/>
          <w:sz w:val="28"/>
          <w:szCs w:val="28"/>
          <w:highlight w:val="none"/>
          <w:lang w:val="en-US" w:eastAsia="zh-CN"/>
        </w:rPr>
        <w:t>3</w:t>
      </w:r>
      <w:r>
        <w:rPr>
          <w:rFonts w:hint="eastAsia" w:ascii="宋体" w:hAnsi="宋体" w:cs="宋体"/>
          <w:b/>
          <w:color w:val="000000"/>
          <w:sz w:val="28"/>
          <w:szCs w:val="28"/>
          <w:highlight w:val="none"/>
        </w:rPr>
        <w:t>月</w:t>
      </w:r>
    </w:p>
    <w:sdt>
      <w:sdtPr>
        <w:rPr>
          <w:rFonts w:hint="eastAsia" w:ascii="宋体" w:hAnsi="宋体" w:eastAsia="宋体" w:cs="宋体"/>
          <w:color w:val="auto"/>
          <w:sz w:val="24"/>
          <w:szCs w:val="24"/>
          <w:highlight w:val="none"/>
        </w:rPr>
        <w:id w:val="147452449"/>
        <w15:color w:val="DBDBDB"/>
        <w:docPartObj>
          <w:docPartGallery w:val="Table of Contents"/>
          <w:docPartUnique/>
        </w:docPartObj>
      </w:sdtPr>
      <w:sdtEndPr>
        <w:rPr>
          <w:rFonts w:hint="eastAsia" w:ascii="宋体" w:hAnsi="宋体" w:eastAsia="宋体" w:cs="宋体"/>
          <w:color w:val="auto"/>
          <w:sz w:val="24"/>
          <w:szCs w:val="24"/>
          <w:highlight w:val="none"/>
          <w:lang w:eastAsia="zh-CN"/>
        </w:rPr>
      </w:sdtEndPr>
      <w:sdtContent>
        <w:p w14:paraId="621AA123">
          <w:pPr>
            <w:spacing w:before="0" w:beforeLines="0" w:after="0" w:afterLines="0" w:line="360" w:lineRule="auto"/>
            <w:ind w:left="0" w:leftChars="0" w:right="0" w:rightChars="0" w:firstLine="0" w:firstLineChars="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目</w:t>
          </w:r>
          <w:r>
            <w:rPr>
              <w:rFonts w:hint="eastAsia" w:ascii="宋体" w:hAnsi="宋体" w:eastAsia="宋体" w:cs="宋体"/>
              <w:b/>
              <w:bCs/>
              <w:color w:val="auto"/>
              <w:sz w:val="30"/>
              <w:szCs w:val="30"/>
              <w:highlight w:val="none"/>
              <w:lang w:val="en-US" w:eastAsia="zh-CN"/>
            </w:rPr>
            <w:t xml:space="preserve"> </w:t>
          </w:r>
          <w:r>
            <w:rPr>
              <w:rFonts w:hint="eastAsia" w:ascii="宋体" w:hAnsi="宋体" w:eastAsia="宋体" w:cs="宋体"/>
              <w:b/>
              <w:bCs/>
              <w:color w:val="auto"/>
              <w:sz w:val="30"/>
              <w:szCs w:val="30"/>
              <w:highlight w:val="none"/>
            </w:rPr>
            <w:t>录</w:t>
          </w:r>
        </w:p>
        <w:p w14:paraId="2404C617">
          <w:pPr>
            <w:pStyle w:val="17"/>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color w:val="auto"/>
              <w:sz w:val="24"/>
              <w:szCs w:val="24"/>
              <w:highlight w:val="none"/>
              <w:lang w:eastAsia="zh-CN"/>
            </w:rPr>
            <w:instrText xml:space="preserve">TOC \o "1-3" \h \u </w:instrText>
          </w:r>
          <w:r>
            <w:rPr>
              <w:rFonts w:hint="eastAsia" w:ascii="宋体" w:hAnsi="宋体" w:eastAsia="宋体" w:cs="宋体"/>
              <w:color w:val="auto"/>
              <w:sz w:val="24"/>
              <w:szCs w:val="24"/>
              <w:highlight w:val="none"/>
              <w:lang w:eastAsia="zh-CN"/>
            </w:rPr>
            <w:fldChar w:fldCharType="separate"/>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_Toc19294 </w:instrText>
          </w:r>
          <w:r>
            <w:rPr>
              <w:rFonts w:hint="eastAsia" w:ascii="宋体" w:hAnsi="宋体" w:eastAsia="宋体" w:cs="宋体"/>
              <w:b/>
              <w:bCs/>
              <w:sz w:val="24"/>
              <w:szCs w:val="24"/>
              <w:highlight w:val="none"/>
              <w:lang w:eastAsia="zh-CN"/>
            </w:rPr>
            <w:fldChar w:fldCharType="separate"/>
          </w:r>
          <w:r>
            <w:rPr>
              <w:rFonts w:hint="eastAsia" w:ascii="宋体" w:hAnsi="宋体" w:eastAsia="宋体" w:cs="宋体"/>
              <w:b/>
              <w:bCs/>
              <w:sz w:val="24"/>
              <w:szCs w:val="24"/>
              <w:highlight w:val="none"/>
            </w:rPr>
            <w:t>第一卷</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_Toc19294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2</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79FF58C7">
          <w:pPr>
            <w:pStyle w:val="18"/>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_Toc4842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第一章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招标公告</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_Toc4842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3</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2B0FB347">
          <w:pPr>
            <w:pStyle w:val="18"/>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_Toc10685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第二章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投标人须知</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_Toc10685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4</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729079C8">
          <w:pPr>
            <w:pStyle w:val="18"/>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_Toc29250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第三章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评标办法（综合评估法）</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33</w:t>
          </w:r>
        </w:p>
        <w:p w14:paraId="7A499B35">
          <w:pPr>
            <w:pStyle w:val="18"/>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_Toc15665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第四章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合同条款及格式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_Toc15665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55</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37AE917">
          <w:pPr>
            <w:pStyle w:val="17"/>
            <w:tabs>
              <w:tab w:val="right" w:leader="dot" w:pos="9071"/>
            </w:tabs>
            <w:spacing w:line="360" w:lineRule="auto"/>
            <w:rPr>
              <w:rFonts w:hint="eastAsia" w:ascii="宋体" w:hAnsi="宋体" w:eastAsia="宋体" w:cs="宋体"/>
              <w:b/>
              <w:bCs/>
              <w:i w:val="0"/>
              <w:iCs w:val="0"/>
              <w:sz w:val="24"/>
              <w:szCs w:val="24"/>
              <w:highlight w:val="none"/>
            </w:rPr>
          </w:pPr>
          <w:r>
            <w:rPr>
              <w:rFonts w:hint="eastAsia" w:ascii="宋体" w:hAnsi="宋体" w:eastAsia="宋体" w:cs="宋体"/>
              <w:b/>
              <w:bCs/>
              <w:i w:val="0"/>
              <w:iCs w:val="0"/>
              <w:color w:val="auto"/>
              <w:sz w:val="24"/>
              <w:szCs w:val="24"/>
              <w:highlight w:val="none"/>
              <w:lang w:eastAsia="zh-CN"/>
            </w:rPr>
            <w:fldChar w:fldCharType="begin"/>
          </w:r>
          <w:r>
            <w:rPr>
              <w:rFonts w:hint="eastAsia" w:ascii="宋体" w:hAnsi="宋体" w:eastAsia="宋体" w:cs="宋体"/>
              <w:b/>
              <w:bCs/>
              <w:i w:val="0"/>
              <w:iCs w:val="0"/>
              <w:sz w:val="24"/>
              <w:szCs w:val="24"/>
              <w:highlight w:val="none"/>
              <w:lang w:eastAsia="zh-CN"/>
            </w:rPr>
            <w:instrText xml:space="preserve"> HYPERLINK \l _Toc29682 </w:instrText>
          </w:r>
          <w:r>
            <w:rPr>
              <w:rFonts w:hint="eastAsia" w:ascii="宋体" w:hAnsi="宋体" w:eastAsia="宋体" w:cs="宋体"/>
              <w:b/>
              <w:bCs/>
              <w:i w:val="0"/>
              <w:iCs w:val="0"/>
              <w:sz w:val="24"/>
              <w:szCs w:val="24"/>
              <w:highlight w:val="none"/>
              <w:lang w:eastAsia="zh-CN"/>
            </w:rPr>
            <w:fldChar w:fldCharType="separate"/>
          </w:r>
          <w:r>
            <w:rPr>
              <w:rFonts w:hint="eastAsia" w:ascii="宋体" w:hAnsi="宋体" w:eastAsia="宋体" w:cs="宋体"/>
              <w:b/>
              <w:bCs/>
              <w:i w:val="0"/>
              <w:iCs w:val="0"/>
              <w:sz w:val="24"/>
              <w:szCs w:val="24"/>
              <w:highlight w:val="none"/>
            </w:rPr>
            <w:t>第二卷</w:t>
          </w:r>
          <w:r>
            <w:rPr>
              <w:rFonts w:hint="eastAsia" w:ascii="宋体" w:hAnsi="宋体" w:eastAsia="宋体" w:cs="宋体"/>
              <w:b/>
              <w:bCs/>
              <w:i w:val="0"/>
              <w:iCs w:val="0"/>
              <w:sz w:val="24"/>
              <w:szCs w:val="24"/>
              <w:highlight w:val="none"/>
            </w:rPr>
            <w:tab/>
          </w:r>
          <w:r>
            <w:rPr>
              <w:rFonts w:hint="eastAsia" w:ascii="宋体" w:hAnsi="宋体" w:eastAsia="宋体" w:cs="宋体"/>
              <w:b/>
              <w:bCs/>
              <w:i w:val="0"/>
              <w:iCs w:val="0"/>
              <w:sz w:val="24"/>
              <w:szCs w:val="24"/>
              <w:highlight w:val="none"/>
            </w:rPr>
            <w:fldChar w:fldCharType="begin"/>
          </w:r>
          <w:r>
            <w:rPr>
              <w:rFonts w:hint="eastAsia" w:ascii="宋体" w:hAnsi="宋体" w:eastAsia="宋体" w:cs="宋体"/>
              <w:b/>
              <w:bCs/>
              <w:i w:val="0"/>
              <w:iCs w:val="0"/>
              <w:sz w:val="24"/>
              <w:szCs w:val="24"/>
              <w:highlight w:val="none"/>
            </w:rPr>
            <w:instrText xml:space="preserve"> PAGEREF _Toc29682 \h </w:instrText>
          </w:r>
          <w:r>
            <w:rPr>
              <w:rFonts w:hint="eastAsia" w:ascii="宋体" w:hAnsi="宋体" w:eastAsia="宋体" w:cs="宋体"/>
              <w:b/>
              <w:bCs/>
              <w:i w:val="0"/>
              <w:iCs w:val="0"/>
              <w:sz w:val="24"/>
              <w:szCs w:val="24"/>
              <w:highlight w:val="none"/>
            </w:rPr>
            <w:fldChar w:fldCharType="separate"/>
          </w:r>
          <w:r>
            <w:rPr>
              <w:rFonts w:hint="eastAsia" w:ascii="宋体" w:hAnsi="宋体" w:eastAsia="宋体" w:cs="宋体"/>
              <w:b/>
              <w:bCs/>
              <w:i w:val="0"/>
              <w:iCs w:val="0"/>
              <w:sz w:val="24"/>
              <w:szCs w:val="24"/>
              <w:highlight w:val="none"/>
            </w:rPr>
            <w:t>56</w:t>
          </w:r>
          <w:r>
            <w:rPr>
              <w:rFonts w:hint="eastAsia" w:ascii="宋体" w:hAnsi="宋体" w:eastAsia="宋体" w:cs="宋体"/>
              <w:b/>
              <w:bCs/>
              <w:i w:val="0"/>
              <w:iCs w:val="0"/>
              <w:sz w:val="24"/>
              <w:szCs w:val="24"/>
              <w:highlight w:val="none"/>
            </w:rPr>
            <w:fldChar w:fldCharType="end"/>
          </w:r>
          <w:r>
            <w:rPr>
              <w:rFonts w:hint="eastAsia" w:ascii="宋体" w:hAnsi="宋体" w:eastAsia="宋体" w:cs="宋体"/>
              <w:b/>
              <w:bCs/>
              <w:i w:val="0"/>
              <w:iCs w:val="0"/>
              <w:color w:val="auto"/>
              <w:sz w:val="24"/>
              <w:szCs w:val="24"/>
              <w:highlight w:val="none"/>
              <w:lang w:eastAsia="zh-CN"/>
            </w:rPr>
            <w:fldChar w:fldCharType="end"/>
          </w:r>
        </w:p>
        <w:p w14:paraId="088636B0">
          <w:pPr>
            <w:pStyle w:val="18"/>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_Toc17878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第五章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委托人要求</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_Toc17878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57</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69028D42">
          <w:pPr>
            <w:pStyle w:val="17"/>
            <w:tabs>
              <w:tab w:val="right" w:leader="dot" w:pos="9071"/>
            </w:tabs>
            <w:spacing w:line="360" w:lineRule="auto"/>
            <w:rPr>
              <w:rFonts w:hint="eastAsia" w:ascii="宋体" w:hAnsi="宋体" w:eastAsia="宋体" w:cs="宋体"/>
              <w:b/>
              <w:bCs/>
              <w:sz w:val="24"/>
              <w:szCs w:val="24"/>
              <w:highlight w:val="none"/>
            </w:rPr>
          </w:pP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sz w:val="24"/>
              <w:szCs w:val="24"/>
              <w:highlight w:val="none"/>
              <w:lang w:eastAsia="zh-CN"/>
            </w:rPr>
            <w:instrText xml:space="preserve"> HYPERLINK \l _Toc9855 </w:instrText>
          </w:r>
          <w:r>
            <w:rPr>
              <w:rFonts w:hint="eastAsia" w:ascii="宋体" w:hAnsi="宋体" w:eastAsia="宋体" w:cs="宋体"/>
              <w:b/>
              <w:bCs/>
              <w:sz w:val="24"/>
              <w:szCs w:val="24"/>
              <w:highlight w:val="none"/>
              <w:lang w:eastAsia="zh-CN"/>
            </w:rPr>
            <w:fldChar w:fldCharType="separate"/>
          </w:r>
          <w:r>
            <w:rPr>
              <w:rFonts w:hint="eastAsia" w:ascii="宋体" w:hAnsi="宋体" w:eastAsia="宋体" w:cs="宋体"/>
              <w:b/>
              <w:bCs/>
              <w:sz w:val="24"/>
              <w:szCs w:val="24"/>
              <w:highlight w:val="none"/>
            </w:rPr>
            <w:t>第三卷</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_Toc9855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58</w:t>
          </w:r>
          <w:r>
            <w:rPr>
              <w:rFonts w:hint="eastAsia" w:ascii="宋体" w:hAnsi="宋体" w:eastAsia="宋体" w:cs="宋体"/>
              <w:b/>
              <w:bCs/>
              <w:sz w:val="24"/>
              <w:szCs w:val="24"/>
              <w:highlight w:val="none"/>
            </w:rPr>
            <w:fldChar w:fldCharType="end"/>
          </w:r>
          <w:r>
            <w:rPr>
              <w:rFonts w:hint="eastAsia" w:ascii="宋体" w:hAnsi="宋体" w:eastAsia="宋体" w:cs="宋体"/>
              <w:b/>
              <w:bCs/>
              <w:color w:val="auto"/>
              <w:sz w:val="24"/>
              <w:szCs w:val="24"/>
              <w:highlight w:val="none"/>
              <w:lang w:eastAsia="zh-CN"/>
            </w:rPr>
            <w:fldChar w:fldCharType="end"/>
          </w:r>
        </w:p>
        <w:p w14:paraId="7627228D">
          <w:pPr>
            <w:pStyle w:val="18"/>
            <w:tabs>
              <w:tab w:val="right" w:leader="dot" w:pos="9071"/>
            </w:tabs>
            <w:spacing w:line="360" w:lineRule="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_Toc1895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rPr>
            <w:t>第六章</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投标文件格式</w:t>
          </w:r>
          <w:r>
            <w:rPr>
              <w:rFonts w:hint="eastAsia" w:ascii="宋体" w:hAnsi="宋体" w:eastAsia="宋体" w:cs="宋体"/>
              <w:sz w:val="24"/>
              <w:szCs w:val="24"/>
              <w:highlight w:val="none"/>
            </w:rPr>
            <w:tab/>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PAGEREF _Toc1895 \h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t>59</w:t>
          </w:r>
          <w:r>
            <w:rPr>
              <w:rFonts w:hint="eastAsia" w:ascii="宋体" w:hAnsi="宋体" w:eastAsia="宋体" w:cs="宋体"/>
              <w:sz w:val="24"/>
              <w:szCs w:val="24"/>
              <w:highlight w:val="none"/>
            </w:rPr>
            <w:fldChar w:fldCharType="end"/>
          </w:r>
          <w:r>
            <w:rPr>
              <w:rFonts w:hint="eastAsia" w:ascii="宋体" w:hAnsi="宋体" w:eastAsia="宋体" w:cs="宋体"/>
              <w:color w:val="auto"/>
              <w:sz w:val="24"/>
              <w:szCs w:val="24"/>
              <w:highlight w:val="none"/>
              <w:lang w:eastAsia="zh-CN"/>
            </w:rPr>
            <w:fldChar w:fldCharType="end"/>
          </w:r>
        </w:p>
        <w:p w14:paraId="3822E4C6">
          <w:pPr>
            <w:pStyle w:val="18"/>
            <w:tabs>
              <w:tab w:val="right" w:leader="dot" w:pos="9071"/>
            </w:tabs>
            <w:spacing w:line="360" w:lineRule="auto"/>
            <w:rPr>
              <w:rFonts w:hint="default"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eastAsia="zh-CN"/>
            </w:rPr>
            <w:fldChar w:fldCharType="begin"/>
          </w:r>
          <w:r>
            <w:rPr>
              <w:rFonts w:hint="eastAsia" w:ascii="宋体" w:hAnsi="宋体" w:eastAsia="宋体" w:cs="宋体"/>
              <w:sz w:val="24"/>
              <w:szCs w:val="24"/>
              <w:highlight w:val="none"/>
              <w:lang w:eastAsia="zh-CN"/>
            </w:rPr>
            <w:instrText xml:space="preserve"> HYPERLINK \l _Toc27375 </w:instrText>
          </w:r>
          <w:r>
            <w:rPr>
              <w:rFonts w:hint="eastAsia" w:ascii="宋体" w:hAnsi="宋体" w:eastAsia="宋体" w:cs="宋体"/>
              <w:sz w:val="24"/>
              <w:szCs w:val="24"/>
              <w:highlight w:val="none"/>
              <w:lang w:eastAsia="zh-CN"/>
            </w:rPr>
            <w:fldChar w:fldCharType="separate"/>
          </w:r>
          <w:r>
            <w:rPr>
              <w:rFonts w:hint="eastAsia" w:ascii="宋体" w:hAnsi="宋体" w:eastAsia="宋体" w:cs="宋体"/>
              <w:sz w:val="24"/>
              <w:szCs w:val="24"/>
              <w:highlight w:val="none"/>
              <w:lang w:val="en-US" w:eastAsia="zh-CN"/>
            </w:rPr>
            <w:t xml:space="preserve">第七章 </w:t>
          </w:r>
          <w:r>
            <w:rPr>
              <w:rFonts w:hint="eastAsia" w:ascii="宋体" w:hAnsi="宋体" w:eastAsia="宋体" w:cs="宋体"/>
              <w:sz w:val="24"/>
              <w:szCs w:val="24"/>
              <w:highlight w:val="none"/>
            </w:rPr>
            <w:t>投标人须知前附表规定的其他资料。</w:t>
          </w:r>
          <w:r>
            <w:rPr>
              <w:rFonts w:hint="eastAsia" w:ascii="宋体" w:hAnsi="宋体" w:eastAsia="宋体" w:cs="宋体"/>
              <w:sz w:val="24"/>
              <w:szCs w:val="24"/>
              <w:highlight w:val="none"/>
            </w:rPr>
            <w:tab/>
          </w:r>
          <w:r>
            <w:rPr>
              <w:rFonts w:hint="eastAsia" w:ascii="宋体" w:hAnsi="宋体" w:eastAsia="宋体" w:cs="宋体"/>
              <w:color w:val="auto"/>
              <w:sz w:val="24"/>
              <w:szCs w:val="24"/>
              <w:highlight w:val="none"/>
              <w:lang w:eastAsia="zh-CN"/>
            </w:rPr>
            <w:fldChar w:fldCharType="end"/>
          </w:r>
          <w:r>
            <w:rPr>
              <w:rFonts w:hint="eastAsia" w:ascii="宋体" w:hAnsi="宋体" w:cs="宋体"/>
              <w:sz w:val="24"/>
              <w:szCs w:val="24"/>
              <w:highlight w:val="none"/>
              <w:lang w:val="en-US" w:eastAsia="zh-CN"/>
            </w:rPr>
            <w:t>59</w:t>
          </w:r>
        </w:p>
        <w:p w14:paraId="08CE9007">
          <w:pPr>
            <w:pStyle w:val="3"/>
            <w:tabs>
              <w:tab w:val="right" w:leader="dot" w:pos="8714"/>
            </w:tabs>
            <w:kinsoku w:val="0"/>
            <w:overflowPunct w:val="0"/>
            <w:spacing w:line="360" w:lineRule="auto"/>
            <w:ind w:lef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fldChar w:fldCharType="end"/>
          </w:r>
        </w:p>
      </w:sdtContent>
    </w:sdt>
    <w:p w14:paraId="5411E19A">
      <w:pPr>
        <w:pStyle w:val="42"/>
        <w:keepNext w:val="0"/>
        <w:keepLines w:val="0"/>
        <w:pageBreakBefore w:val="0"/>
        <w:widowControl/>
        <w:tabs>
          <w:tab w:val="right" w:leader="dot" w:pos="9071"/>
        </w:tabs>
        <w:kinsoku/>
        <w:wordWrap/>
        <w:overflowPunct/>
        <w:topLinePunct w:val="0"/>
        <w:autoSpaceDE/>
        <w:autoSpaceDN/>
        <w:bidi w:val="0"/>
        <w:adjustRightInd/>
        <w:snapToGrid/>
        <w:ind w:left="720" w:leftChars="300"/>
        <w:textAlignment w:val="auto"/>
        <w:rPr>
          <w:rFonts w:hint="eastAsia" w:ascii="宋体" w:hAnsi="宋体" w:eastAsia="宋体" w:cs="宋体"/>
          <w:color w:val="auto"/>
          <w:sz w:val="24"/>
          <w:szCs w:val="24"/>
          <w:highlight w:val="none"/>
          <w:lang w:eastAsia="zh-CN"/>
        </w:rPr>
      </w:pPr>
    </w:p>
    <w:p w14:paraId="3667CC2C">
      <w:pPr>
        <w:pStyle w:val="3"/>
        <w:tabs>
          <w:tab w:val="right" w:leader="dot" w:pos="8714"/>
        </w:tabs>
        <w:kinsoku w:val="0"/>
        <w:overflowPunct w:val="0"/>
        <w:spacing w:line="288" w:lineRule="exact"/>
        <w:ind w:left="0"/>
        <w:jc w:val="both"/>
        <w:rPr>
          <w:rFonts w:hint="default" w:hAnsi="Calibri"/>
          <w:color w:val="auto"/>
          <w:sz w:val="21"/>
          <w:szCs w:val="24"/>
          <w:highlight w:val="none"/>
          <w:lang w:eastAsia="zh-CN"/>
        </w:rPr>
        <w:sectPr>
          <w:footerReference r:id="rId3" w:type="default"/>
          <w:pgSz w:w="11905" w:h="16838"/>
          <w:pgMar w:top="1417" w:right="1417" w:bottom="1417" w:left="1417" w:header="720" w:footer="720" w:gutter="0"/>
          <w:lnNumType w:countBy="0" w:distance="360"/>
          <w:pgNumType w:fmt="decimal" w:start="1"/>
          <w:cols w:space="720" w:num="1"/>
        </w:sectPr>
      </w:pPr>
    </w:p>
    <w:p w14:paraId="096C0C8D">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0" w:name="bookmark0"/>
      <w:bookmarkEnd w:id="0"/>
      <w:bookmarkStart w:id="1" w:name="_Toc19294"/>
      <w:r>
        <w:rPr>
          <w:rFonts w:hint="eastAsia"/>
          <w:color w:val="auto"/>
          <w:sz w:val="52"/>
          <w:szCs w:val="52"/>
          <w:highlight w:val="none"/>
        </w:rPr>
        <w:t>第一卷</w:t>
      </w:r>
      <w:bookmarkEnd w:id="1"/>
    </w:p>
    <w:p w14:paraId="34234264">
      <w:pPr>
        <w:pStyle w:val="4"/>
        <w:keepNext w:val="0"/>
        <w:keepLines w:val="0"/>
        <w:pageBreakBefore w:val="0"/>
        <w:widowControl w:val="0"/>
        <w:kinsoku w:val="0"/>
        <w:wordWrap/>
        <w:overflowPunct w:val="0"/>
        <w:topLinePunct w:val="0"/>
        <w:autoSpaceDE w:val="0"/>
        <w:autoSpaceDN w:val="0"/>
        <w:bidi w:val="0"/>
        <w:adjustRightInd w:val="0"/>
        <w:snapToGrid/>
        <w:spacing w:before="0" w:beforeLines="2200"/>
        <w:ind w:left="6" w:right="1"/>
        <w:textAlignment w:val="auto"/>
        <w:outlineLvl w:val="9"/>
        <w:rPr>
          <w:rFonts w:hint="eastAsia"/>
          <w:b w:val="0"/>
          <w:color w:val="auto"/>
          <w:sz w:val="44"/>
          <w:szCs w:val="24"/>
          <w:highlight w:val="none"/>
        </w:rPr>
        <w:sectPr>
          <w:footerReference r:id="rId4" w:type="default"/>
          <w:pgSz w:w="11905" w:h="16838"/>
          <w:pgMar w:top="1417" w:right="1417" w:bottom="1417" w:left="1417" w:header="720" w:footer="720" w:gutter="0"/>
          <w:lnNumType w:countBy="0" w:distance="360"/>
          <w:pgNumType w:fmt="decimal"/>
          <w:cols w:space="720" w:num="1"/>
        </w:sectPr>
      </w:pPr>
    </w:p>
    <w:p w14:paraId="2E154E79">
      <w:pPr>
        <w:pStyle w:val="5"/>
        <w:outlineLvl w:val="0"/>
        <w:rPr>
          <w:rFonts w:hint="default" w:cs="宋体"/>
          <w:color w:val="auto"/>
          <w:sz w:val="44"/>
          <w:szCs w:val="24"/>
          <w:highlight w:val="none"/>
        </w:rPr>
      </w:pPr>
      <w:bookmarkStart w:id="2" w:name="bookmark1"/>
      <w:bookmarkEnd w:id="2"/>
      <w:bookmarkStart w:id="3" w:name="_Toc4842"/>
      <w:r>
        <w:rPr>
          <w:rFonts w:hint="default" w:cs="宋体"/>
          <w:color w:val="auto"/>
          <w:sz w:val="44"/>
          <w:szCs w:val="24"/>
          <w:highlight w:val="none"/>
        </w:rPr>
        <w:t>第一章</w:t>
      </w:r>
      <w:r>
        <w:rPr>
          <w:rFonts w:hint="default" w:cs="宋体"/>
          <w:color w:val="auto"/>
          <w:sz w:val="44"/>
          <w:szCs w:val="24"/>
          <w:highlight w:val="none"/>
          <w:lang w:val="en-US" w:eastAsia="zh-CN"/>
        </w:rPr>
        <w:t xml:space="preserve"> </w:t>
      </w:r>
      <w:r>
        <w:rPr>
          <w:rFonts w:hint="default" w:cs="宋体"/>
          <w:color w:val="auto"/>
          <w:sz w:val="44"/>
          <w:szCs w:val="24"/>
          <w:highlight w:val="none"/>
        </w:rPr>
        <w:t>招标公告</w:t>
      </w:r>
      <w:bookmarkEnd w:id="3"/>
    </w:p>
    <w:p w14:paraId="415FC79D">
      <w:pPr>
        <w:spacing w:line="360" w:lineRule="auto"/>
        <w:ind w:firstLine="0" w:firstLineChars="0"/>
        <w:rPr>
          <w:rFonts w:hint="eastAsia" w:ascii="宋体" w:hAnsi="宋体" w:cs="宋体"/>
          <w:color w:val="000000"/>
          <w:sz w:val="24"/>
          <w:highlight w:val="none"/>
          <w:u w:val="single"/>
        </w:rPr>
      </w:pPr>
    </w:p>
    <w:p w14:paraId="17A2A8D3">
      <w:pPr>
        <w:spacing w:line="360" w:lineRule="auto"/>
        <w:ind w:firstLine="0" w:firstLineChars="0"/>
        <w:rPr>
          <w:rFonts w:hint="eastAsia" w:ascii="宋体" w:hAnsi="宋体" w:cs="宋体"/>
          <w:color w:val="000000"/>
          <w:sz w:val="24"/>
          <w:highlight w:val="none"/>
          <w:u w:val="single"/>
        </w:rPr>
      </w:pPr>
    </w:p>
    <w:p w14:paraId="00EE116B">
      <w:pPr>
        <w:spacing w:line="360" w:lineRule="auto"/>
        <w:ind w:firstLine="0" w:firstLineChars="0"/>
        <w:rPr>
          <w:rFonts w:hint="eastAsia" w:ascii="宋体" w:hAnsi="宋体" w:cs="宋体"/>
          <w:color w:val="000000"/>
          <w:sz w:val="24"/>
          <w:highlight w:val="none"/>
          <w:u w:val="single"/>
        </w:rPr>
      </w:pPr>
    </w:p>
    <w:p w14:paraId="59591FF5">
      <w:pPr>
        <w:spacing w:line="360" w:lineRule="auto"/>
        <w:ind w:firstLine="0" w:firstLineChars="0"/>
        <w:jc w:val="center"/>
        <w:rPr>
          <w:rFonts w:hint="eastAsia" w:ascii="宋体" w:hAnsi="宋体" w:eastAsia="宋体" w:cs="宋体"/>
          <w:b/>
          <w:bCs/>
          <w:color w:val="000000"/>
          <w:sz w:val="32"/>
          <w:szCs w:val="32"/>
          <w:highlight w:val="none"/>
          <w:u w:val="single"/>
          <w:lang w:eastAsia="zh-CN"/>
        </w:rPr>
        <w:sectPr>
          <w:pgSz w:w="11905" w:h="16838"/>
          <w:pgMar w:top="1417" w:right="1417" w:bottom="1417" w:left="1417" w:header="720" w:footer="720" w:gutter="0"/>
          <w:lnNumType w:countBy="0" w:distance="360"/>
          <w:pgNumType w:fmt="decimal"/>
          <w:cols w:space="720" w:num="1"/>
        </w:sectPr>
      </w:pPr>
      <w:r>
        <w:rPr>
          <w:rFonts w:hint="eastAsia" w:ascii="宋体" w:hAnsi="宋体" w:cs="宋体"/>
          <w:b/>
          <w:bCs/>
          <w:color w:val="000000"/>
          <w:sz w:val="32"/>
          <w:szCs w:val="32"/>
          <w:highlight w:val="none"/>
          <w:u w:val="single"/>
          <w:lang w:val="en-US" w:eastAsia="zh-CN"/>
        </w:rPr>
        <w:t>另册。</w:t>
      </w:r>
    </w:p>
    <w:p w14:paraId="6D77077C">
      <w:pPr>
        <w:pStyle w:val="5"/>
        <w:outlineLvl w:val="0"/>
        <w:rPr>
          <w:rFonts w:hint="eastAsia" w:ascii="Microsoft JhengHei" w:hAnsi="Microsoft JhengHei" w:eastAsia="Microsoft JhengHei"/>
          <w:b w:val="0"/>
          <w:color w:val="auto"/>
          <w:sz w:val="57"/>
          <w:szCs w:val="24"/>
          <w:highlight w:val="none"/>
        </w:rPr>
      </w:pPr>
      <w:bookmarkStart w:id="4" w:name="bookmark9"/>
      <w:bookmarkEnd w:id="4"/>
      <w:bookmarkStart w:id="5" w:name="bookmark18"/>
      <w:bookmarkEnd w:id="5"/>
      <w:bookmarkStart w:id="6" w:name="_Toc10685"/>
      <w:r>
        <w:rPr>
          <w:rFonts w:hint="default" w:cs="宋体"/>
          <w:color w:val="auto"/>
          <w:sz w:val="44"/>
          <w:szCs w:val="24"/>
          <w:highlight w:val="none"/>
        </w:rPr>
        <w:t>第二章</w:t>
      </w:r>
      <w:r>
        <w:rPr>
          <w:rFonts w:hint="default" w:cs="宋体"/>
          <w:color w:val="auto"/>
          <w:sz w:val="44"/>
          <w:szCs w:val="24"/>
          <w:highlight w:val="none"/>
          <w:lang w:val="en-US" w:eastAsia="zh-CN"/>
        </w:rPr>
        <w:t xml:space="preserve"> </w:t>
      </w:r>
      <w:r>
        <w:rPr>
          <w:rFonts w:hint="default" w:cs="宋体"/>
          <w:color w:val="auto"/>
          <w:sz w:val="44"/>
          <w:szCs w:val="24"/>
          <w:highlight w:val="none"/>
        </w:rPr>
        <w:t>投标人须知</w:t>
      </w:r>
      <w:bookmarkEnd w:id="6"/>
    </w:p>
    <w:p w14:paraId="4E3C3C4D">
      <w:pPr>
        <w:pStyle w:val="6"/>
        <w:kinsoku w:val="0"/>
        <w:overflowPunct w:val="0"/>
        <w:ind w:left="220"/>
        <w:jc w:val="center"/>
        <w:outlineLvl w:val="1"/>
        <w:rPr>
          <w:rFonts w:hint="eastAsia" w:ascii="Microsoft JhengHei" w:hAnsi="Microsoft JhengHei" w:eastAsia="Microsoft JhengHei"/>
          <w:b w:val="0"/>
          <w:color w:val="auto"/>
          <w:sz w:val="20"/>
          <w:szCs w:val="24"/>
          <w:highlight w:val="none"/>
        </w:rPr>
      </w:pPr>
      <w:bookmarkStart w:id="7" w:name="bookmark19"/>
      <w:bookmarkEnd w:id="7"/>
      <w:bookmarkStart w:id="8" w:name="_Toc8684"/>
      <w:r>
        <w:rPr>
          <w:rFonts w:hint="default"/>
          <w:color w:val="auto"/>
          <w:sz w:val="32"/>
          <w:szCs w:val="24"/>
          <w:highlight w:val="none"/>
        </w:rPr>
        <w:t>投标人须知前附表</w:t>
      </w:r>
      <w:bookmarkEnd w:id="8"/>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832"/>
        <w:gridCol w:w="6238"/>
      </w:tblGrid>
      <w:tr w14:paraId="47EC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A09677">
            <w:pPr>
              <w:pStyle w:val="31"/>
              <w:kinsoku w:val="0"/>
              <w:overflowPunct w:val="0"/>
              <w:spacing w:before="41" w:line="360" w:lineRule="auto"/>
              <w:jc w:val="center"/>
              <w:rPr>
                <w:rFonts w:hint="default"/>
                <w:color w:val="auto"/>
                <w:sz w:val="24"/>
                <w:szCs w:val="24"/>
                <w:highlight w:val="none"/>
              </w:rPr>
            </w:pPr>
            <w:r>
              <w:rPr>
                <w:rFonts w:hint="default" w:ascii="宋体" w:hAnsi="宋体" w:eastAsia="宋体" w:cs="宋体"/>
                <w:b/>
                <w:color w:val="auto"/>
                <w:sz w:val="24"/>
                <w:szCs w:val="24"/>
                <w:highlight w:val="none"/>
              </w:rPr>
              <w:t>条款号</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AC4C41">
            <w:pPr>
              <w:pStyle w:val="31"/>
              <w:kinsoku w:val="0"/>
              <w:overflowPunct w:val="0"/>
              <w:spacing w:before="41" w:line="360" w:lineRule="auto"/>
              <w:jc w:val="center"/>
              <w:rPr>
                <w:rFonts w:hint="default"/>
                <w:color w:val="auto"/>
                <w:sz w:val="24"/>
                <w:szCs w:val="24"/>
                <w:highlight w:val="none"/>
              </w:rPr>
            </w:pPr>
            <w:r>
              <w:rPr>
                <w:rFonts w:hint="default" w:ascii="宋体" w:hAnsi="宋体" w:eastAsia="宋体" w:cs="宋体"/>
                <w:b/>
                <w:color w:val="auto"/>
                <w:sz w:val="24"/>
                <w:szCs w:val="24"/>
                <w:highlight w:val="none"/>
              </w:rPr>
              <w:t>条款名称</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60AA8C">
            <w:pPr>
              <w:pStyle w:val="31"/>
              <w:kinsoku w:val="0"/>
              <w:overflowPunct w:val="0"/>
              <w:spacing w:before="41" w:line="360" w:lineRule="auto"/>
              <w:jc w:val="center"/>
              <w:rPr>
                <w:rFonts w:hint="default"/>
                <w:color w:val="auto"/>
                <w:sz w:val="24"/>
                <w:szCs w:val="24"/>
                <w:highlight w:val="none"/>
              </w:rPr>
            </w:pPr>
            <w:r>
              <w:rPr>
                <w:rFonts w:hint="default" w:ascii="宋体" w:hAnsi="宋体" w:eastAsia="宋体" w:cs="宋体"/>
                <w:b/>
                <w:color w:val="auto"/>
                <w:sz w:val="24"/>
                <w:szCs w:val="24"/>
                <w:highlight w:val="none"/>
              </w:rPr>
              <w:t>编列内容</w:t>
            </w:r>
          </w:p>
        </w:tc>
      </w:tr>
      <w:tr w14:paraId="2902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vMerge w:val="restart"/>
            <w:tcBorders>
              <w:top w:val="single" w:color="auto" w:sz="4" w:space="0"/>
              <w:left w:val="single" w:color="auto" w:sz="4" w:space="0"/>
              <w:right w:val="single" w:color="auto" w:sz="4" w:space="0"/>
              <w:tl2br w:val="nil"/>
              <w:tr2bl w:val="nil"/>
            </w:tcBorders>
            <w:noWrap w:val="0"/>
            <w:vAlign w:val="center"/>
          </w:tcPr>
          <w:p w14:paraId="6DF77B28">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6E9EE7">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招标人</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67E2D3">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 xml:space="preserve">名称： </w:t>
            </w:r>
            <w:r>
              <w:rPr>
                <w:rFonts w:hint="eastAsia" w:ascii="宋体" w:hAnsi="宋体" w:cs="Times New Roman"/>
                <w:color w:val="auto"/>
                <w:sz w:val="24"/>
                <w:szCs w:val="24"/>
                <w:highlight w:val="none"/>
                <w:u w:val="none"/>
                <w:lang w:val="en-US" w:eastAsia="zh-CN"/>
              </w:rPr>
              <w:t>广州南沙投发铁路有限公司</w:t>
            </w:r>
          </w:p>
          <w:p w14:paraId="6A68A8AE">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地址：广州市南沙区珠江街兴隆路15号之一（N2栋）首层自编218房</w:t>
            </w:r>
          </w:p>
          <w:p w14:paraId="4A09565C">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联系人：朱工</w:t>
            </w:r>
          </w:p>
          <w:p w14:paraId="2622DABA">
            <w:pPr>
              <w:pStyle w:val="31"/>
              <w:kinsoku w:val="0"/>
              <w:overflowPunct w:val="0"/>
              <w:adjustRightInd/>
              <w:spacing w:line="360" w:lineRule="auto"/>
              <w:jc w:val="both"/>
              <w:rPr>
                <w:rFonts w:hint="default"/>
                <w:color w:val="auto"/>
                <w:sz w:val="24"/>
                <w:szCs w:val="24"/>
                <w:highlight w:val="none"/>
                <w:u w:val="none"/>
              </w:rPr>
            </w:pPr>
            <w:r>
              <w:rPr>
                <w:rFonts w:hint="default" w:ascii="宋体" w:hAnsi="宋体" w:eastAsia="宋体" w:cs="Times New Roman"/>
                <w:color w:val="auto"/>
                <w:sz w:val="24"/>
                <w:szCs w:val="24"/>
                <w:highlight w:val="none"/>
                <w:u w:val="none"/>
                <w:lang w:val="en-US" w:eastAsia="zh-CN"/>
              </w:rPr>
              <w:t>电话：020-34681909</w:t>
            </w:r>
          </w:p>
        </w:tc>
      </w:tr>
      <w:tr w14:paraId="62F1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vMerge w:val="continue"/>
            <w:tcBorders>
              <w:left w:val="single" w:color="auto" w:sz="4" w:space="0"/>
              <w:bottom w:val="single" w:color="auto" w:sz="4" w:space="0"/>
              <w:right w:val="single" w:color="auto" w:sz="4" w:space="0"/>
              <w:tl2br w:val="nil"/>
              <w:tr2bl w:val="nil"/>
            </w:tcBorders>
            <w:noWrap w:val="0"/>
            <w:vAlign w:val="center"/>
          </w:tcPr>
          <w:p w14:paraId="170793B7">
            <w:pPr>
              <w:pStyle w:val="31"/>
              <w:kinsoku w:val="0"/>
              <w:overflowPunct w:val="0"/>
              <w:spacing w:line="360" w:lineRule="auto"/>
              <w:jc w:val="center"/>
              <w:rPr>
                <w:rFonts w:hint="eastAsia" w:ascii="Times New Roman" w:hAnsi="Times New Roman" w:eastAsia="Times New Roman"/>
                <w:color w:val="auto"/>
                <w:sz w:val="24"/>
                <w:szCs w:val="24"/>
                <w:highlight w:val="none"/>
              </w:rPr>
            </w:pP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9D777C">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建设管理单位</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D2CB0F">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 xml:space="preserve">名称： </w:t>
            </w:r>
            <w:r>
              <w:rPr>
                <w:rFonts w:hint="eastAsia" w:ascii="宋体" w:hAnsi="宋体" w:cs="Times New Roman"/>
                <w:color w:val="auto"/>
                <w:sz w:val="24"/>
                <w:szCs w:val="24"/>
                <w:highlight w:val="none"/>
                <w:u w:val="none"/>
                <w:lang w:val="en-US" w:eastAsia="zh-CN"/>
              </w:rPr>
              <w:t>广州南沙科技产业发展有限公司</w:t>
            </w:r>
          </w:p>
          <w:p w14:paraId="2B623D0E">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地址：广东省广州市南沙区横沥镇灵山岛湾晟路1号开建经贸大厦12-13层</w:t>
            </w:r>
          </w:p>
          <w:p w14:paraId="03A517B3">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联系人：方工</w:t>
            </w:r>
          </w:p>
          <w:p w14:paraId="5506E8BC">
            <w:pPr>
              <w:pStyle w:val="31"/>
              <w:kinsoku w:val="0"/>
              <w:overflowPunct w:val="0"/>
              <w:adjustRightInd/>
              <w:spacing w:line="360" w:lineRule="auto"/>
              <w:jc w:val="both"/>
              <w:rPr>
                <w:rFonts w:hint="default" w:ascii="宋体" w:hAnsi="宋体" w:eastAsia="宋体" w:cs="Times New Roman"/>
                <w:color w:val="auto"/>
                <w:sz w:val="24"/>
                <w:szCs w:val="24"/>
                <w:highlight w:val="none"/>
                <w:u w:val="none"/>
                <w:lang w:val="en-US" w:eastAsia="zh-CN"/>
              </w:rPr>
            </w:pPr>
            <w:r>
              <w:rPr>
                <w:rFonts w:hint="default" w:ascii="宋体" w:hAnsi="宋体" w:eastAsia="宋体" w:cs="Times New Roman"/>
                <w:color w:val="auto"/>
                <w:sz w:val="24"/>
                <w:szCs w:val="24"/>
                <w:highlight w:val="none"/>
                <w:u w:val="none"/>
                <w:lang w:val="en-US" w:eastAsia="zh-CN"/>
              </w:rPr>
              <w:t>电话：020-34680108</w:t>
            </w:r>
          </w:p>
        </w:tc>
      </w:tr>
      <w:tr w14:paraId="01A25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206AD7">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17FFD1">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招标代理机构</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2A5081">
            <w:pPr>
              <w:pStyle w:val="31"/>
              <w:kinsoku w:val="0"/>
              <w:overflowPunct w:val="0"/>
              <w:adjustRightInd/>
              <w:spacing w:line="360" w:lineRule="auto"/>
              <w:jc w:val="both"/>
              <w:rPr>
                <w:rFonts w:hint="default" w:ascii="宋体" w:hAnsi="宋体" w:eastAsia="宋体"/>
                <w:color w:val="auto"/>
                <w:spacing w:val="-102"/>
                <w:sz w:val="24"/>
                <w:szCs w:val="24"/>
                <w:highlight w:val="none"/>
                <w:u w:val="none"/>
              </w:rPr>
            </w:pPr>
            <w:r>
              <w:rPr>
                <w:rFonts w:hint="default" w:ascii="宋体" w:hAnsi="宋体" w:eastAsia="宋体"/>
                <w:color w:val="auto"/>
                <w:sz w:val="24"/>
                <w:szCs w:val="24"/>
                <w:highlight w:val="none"/>
                <w:u w:val="none"/>
              </w:rPr>
              <w:t>名称：</w:t>
            </w:r>
            <w:r>
              <w:rPr>
                <w:rFonts w:hint="default" w:ascii="宋体" w:hAnsi="宋体" w:eastAsia="宋体"/>
                <w:color w:val="auto"/>
                <w:spacing w:val="-102"/>
                <w:sz w:val="24"/>
                <w:szCs w:val="24"/>
                <w:highlight w:val="none"/>
                <w:u w:val="none"/>
              </w:rPr>
              <w:t xml:space="preserve"> </w:t>
            </w:r>
            <w:r>
              <w:rPr>
                <w:rFonts w:hint="eastAsia" w:ascii="宋体" w:hAnsi="宋体"/>
                <w:color w:val="auto"/>
                <w:spacing w:val="0"/>
                <w:sz w:val="24"/>
                <w:szCs w:val="24"/>
                <w:highlight w:val="none"/>
                <w:u w:val="none"/>
                <w:lang w:val="en-US" w:eastAsia="zh-CN"/>
              </w:rPr>
              <w:t>广东省机电设备招标有限公司</w:t>
            </w:r>
          </w:p>
          <w:p w14:paraId="5E40D4D4">
            <w:pPr>
              <w:pStyle w:val="31"/>
              <w:kinsoku w:val="0"/>
              <w:overflowPunct w:val="0"/>
              <w:adjustRightInd/>
              <w:spacing w:line="360" w:lineRule="auto"/>
              <w:jc w:val="both"/>
              <w:rPr>
                <w:rFonts w:hint="eastAsia" w:ascii="宋体" w:hAnsi="宋体" w:eastAsia="宋体"/>
                <w:color w:val="auto"/>
                <w:spacing w:val="-102"/>
                <w:sz w:val="24"/>
                <w:szCs w:val="24"/>
                <w:highlight w:val="none"/>
                <w:u w:val="none"/>
                <w:lang w:eastAsia="zh-CN"/>
              </w:rPr>
            </w:pPr>
            <w:r>
              <w:rPr>
                <w:rFonts w:hint="default" w:ascii="宋体" w:hAnsi="宋体" w:eastAsia="宋体"/>
                <w:color w:val="auto"/>
                <w:sz w:val="24"/>
                <w:szCs w:val="24"/>
                <w:highlight w:val="none"/>
                <w:u w:val="none"/>
              </w:rPr>
              <w:t>地址：</w:t>
            </w:r>
            <w:r>
              <w:rPr>
                <w:rFonts w:hint="eastAsia" w:ascii="宋体" w:hAnsi="宋体"/>
                <w:color w:val="auto"/>
                <w:sz w:val="24"/>
                <w:szCs w:val="24"/>
                <w:highlight w:val="none"/>
                <w:u w:val="none"/>
                <w:lang w:eastAsia="zh-CN"/>
              </w:rPr>
              <w:t>广州市越秀区环市中路316号金鹰大厦9楼</w:t>
            </w:r>
          </w:p>
          <w:p w14:paraId="15C6EE44">
            <w:pPr>
              <w:pStyle w:val="31"/>
              <w:kinsoku w:val="0"/>
              <w:overflowPunct w:val="0"/>
              <w:adjustRightInd/>
              <w:spacing w:line="360" w:lineRule="auto"/>
              <w:jc w:val="both"/>
              <w:rPr>
                <w:rFonts w:hint="default" w:ascii="宋体" w:hAnsi="宋体" w:eastAsia="宋体"/>
                <w:color w:val="auto"/>
                <w:sz w:val="24"/>
                <w:szCs w:val="24"/>
                <w:highlight w:val="none"/>
                <w:u w:val="none"/>
              </w:rPr>
            </w:pPr>
            <w:r>
              <w:rPr>
                <w:rFonts w:hint="default" w:ascii="宋体" w:hAnsi="宋体" w:eastAsia="宋体"/>
                <w:color w:val="auto"/>
                <w:spacing w:val="-102"/>
                <w:sz w:val="24"/>
                <w:szCs w:val="24"/>
                <w:highlight w:val="none"/>
                <w:u w:val="none"/>
              </w:rPr>
              <w:t xml:space="preserve"> </w:t>
            </w:r>
            <w:r>
              <w:rPr>
                <w:rFonts w:hint="default" w:ascii="宋体" w:hAnsi="宋体" w:eastAsia="宋体"/>
                <w:color w:val="auto"/>
                <w:sz w:val="24"/>
                <w:szCs w:val="24"/>
                <w:highlight w:val="none"/>
                <w:u w:val="none"/>
              </w:rPr>
              <w:t>联系</w:t>
            </w:r>
            <w:r>
              <w:rPr>
                <w:rFonts w:hint="default" w:ascii="宋体" w:hAnsi="宋体" w:eastAsia="宋体"/>
                <w:color w:val="auto"/>
                <w:sz w:val="24"/>
                <w:szCs w:val="24"/>
                <w:highlight w:val="none"/>
                <w:u w:val="none"/>
                <w:lang w:val="en-US" w:eastAsia="zh-CN"/>
              </w:rPr>
              <w:t>人</w:t>
            </w:r>
            <w:r>
              <w:rPr>
                <w:rFonts w:hint="default" w:ascii="宋体" w:hAnsi="宋体" w:eastAsia="宋体"/>
                <w:color w:val="auto"/>
                <w:sz w:val="24"/>
                <w:szCs w:val="24"/>
                <w:highlight w:val="none"/>
                <w:u w:val="none"/>
              </w:rPr>
              <w:t>：</w:t>
            </w:r>
            <w:r>
              <w:rPr>
                <w:rFonts w:hint="eastAsia" w:ascii="宋体" w:hAnsi="宋体"/>
                <w:color w:val="auto"/>
                <w:sz w:val="24"/>
                <w:szCs w:val="24"/>
                <w:highlight w:val="none"/>
                <w:u w:val="none"/>
                <w:lang w:val="en-US" w:eastAsia="zh-CN"/>
              </w:rPr>
              <w:t>钟伟超</w:t>
            </w:r>
          </w:p>
          <w:p w14:paraId="1EC9F905">
            <w:pPr>
              <w:pStyle w:val="31"/>
              <w:kinsoku w:val="0"/>
              <w:overflowPunct w:val="0"/>
              <w:adjustRightInd/>
              <w:spacing w:line="360" w:lineRule="auto"/>
              <w:jc w:val="both"/>
              <w:rPr>
                <w:rFonts w:hint="default"/>
                <w:color w:val="auto"/>
                <w:sz w:val="24"/>
                <w:szCs w:val="24"/>
                <w:highlight w:val="none"/>
                <w:u w:val="none"/>
              </w:rPr>
            </w:pPr>
            <w:r>
              <w:rPr>
                <w:rFonts w:hint="default" w:ascii="宋体" w:hAnsi="宋体" w:eastAsia="宋体"/>
                <w:color w:val="auto"/>
                <w:sz w:val="24"/>
                <w:szCs w:val="24"/>
                <w:highlight w:val="none"/>
                <w:u w:val="none"/>
              </w:rPr>
              <w:t>电话：</w:t>
            </w:r>
            <w:r>
              <w:rPr>
                <w:rFonts w:hint="eastAsia" w:ascii="宋体" w:hAnsi="宋体" w:cs="Times New Roman"/>
                <w:color w:val="auto"/>
                <w:sz w:val="24"/>
                <w:highlight w:val="none"/>
                <w:u w:val="none"/>
                <w:lang w:val="en-US" w:eastAsia="zh-CN"/>
              </w:rPr>
              <w:t>020-83543324、13631418862</w:t>
            </w:r>
          </w:p>
        </w:tc>
      </w:tr>
      <w:tr w14:paraId="753A0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A546F8">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1.1.4</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7EA2E0">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招标项目名称</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E0317">
            <w:pPr>
              <w:spacing w:line="360" w:lineRule="auto"/>
              <w:jc w:val="both"/>
              <w:rPr>
                <w:rFonts w:hint="eastAsia" w:eastAsia="宋体"/>
                <w:color w:val="auto"/>
                <w:sz w:val="24"/>
                <w:szCs w:val="24"/>
                <w:highlight w:val="none"/>
                <w:lang w:eastAsia="zh-CN"/>
              </w:rPr>
            </w:pPr>
            <w:r>
              <w:rPr>
                <w:rFonts w:hint="eastAsia"/>
                <w:color w:val="auto"/>
                <w:sz w:val="24"/>
                <w:szCs w:val="24"/>
                <w:highlight w:val="none"/>
                <w:lang w:eastAsia="zh-CN"/>
              </w:rPr>
              <w:t>南沙枢纽片区北部基础设施及配套项目（二）（标段一）监理</w:t>
            </w:r>
          </w:p>
        </w:tc>
      </w:tr>
      <w:tr w14:paraId="4056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9828728">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1.1.5</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C75225">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项目建设地点</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B5A780">
            <w:pPr>
              <w:spacing w:line="360" w:lineRule="auto"/>
              <w:jc w:val="both"/>
              <w:rPr>
                <w:rFonts w:hint="default" w:eastAsia="宋体"/>
                <w:color w:val="auto"/>
                <w:sz w:val="24"/>
                <w:szCs w:val="24"/>
                <w:highlight w:val="none"/>
                <w:lang w:val="en-US" w:eastAsia="zh-CN"/>
              </w:rPr>
            </w:pPr>
            <w:r>
              <w:rPr>
                <w:rFonts w:hint="default" w:ascii="宋体" w:hAnsi="宋体" w:eastAsia="宋体"/>
                <w:color w:val="auto"/>
                <w:sz w:val="24"/>
                <w:szCs w:val="24"/>
                <w:highlight w:val="none"/>
                <w:lang w:eastAsia="zh-CN"/>
              </w:rPr>
              <w:t>详见本项目</w:t>
            </w:r>
            <w:r>
              <w:rPr>
                <w:rFonts w:hint="eastAsia"/>
                <w:color w:val="auto"/>
                <w:sz w:val="24"/>
                <w:szCs w:val="24"/>
                <w:highlight w:val="none"/>
                <w:lang w:val="en-US" w:eastAsia="zh-CN"/>
              </w:rPr>
              <w:t>招标公告。</w:t>
            </w:r>
          </w:p>
        </w:tc>
      </w:tr>
      <w:tr w14:paraId="0F8C7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4FE797">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1.1.6</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A5060A">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项目建设规模</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175A2F">
            <w:pPr>
              <w:spacing w:line="360" w:lineRule="auto"/>
              <w:jc w:val="both"/>
              <w:rPr>
                <w:rFonts w:hint="default"/>
                <w:color w:val="auto"/>
                <w:sz w:val="24"/>
                <w:szCs w:val="24"/>
                <w:highlight w:val="none"/>
              </w:rPr>
            </w:pPr>
            <w:r>
              <w:rPr>
                <w:rFonts w:hint="default" w:ascii="宋体" w:hAnsi="宋体" w:eastAsia="宋体"/>
                <w:color w:val="auto"/>
                <w:sz w:val="24"/>
                <w:szCs w:val="24"/>
                <w:highlight w:val="none"/>
                <w:lang w:eastAsia="zh-CN"/>
              </w:rPr>
              <w:t>详见本项目</w:t>
            </w:r>
            <w:r>
              <w:rPr>
                <w:rFonts w:hint="eastAsia"/>
                <w:color w:val="auto"/>
                <w:sz w:val="24"/>
                <w:szCs w:val="24"/>
                <w:highlight w:val="none"/>
                <w:lang w:val="en-US" w:eastAsia="zh-CN"/>
              </w:rPr>
              <w:t>招标公告。</w:t>
            </w:r>
          </w:p>
        </w:tc>
      </w:tr>
      <w:tr w14:paraId="7233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E5134C">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1.1.7</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126FC">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工程项目预计开工日期和建设周期</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1FD0EEC">
            <w:pPr>
              <w:spacing w:line="360" w:lineRule="auto"/>
              <w:jc w:val="both"/>
              <w:rPr>
                <w:rFonts w:hint="default"/>
                <w:color w:val="auto"/>
                <w:sz w:val="24"/>
                <w:szCs w:val="24"/>
                <w:highlight w:val="none"/>
              </w:rPr>
            </w:pPr>
            <w:r>
              <w:rPr>
                <w:rFonts w:hint="default"/>
                <w:color w:val="auto"/>
                <w:sz w:val="24"/>
                <w:szCs w:val="24"/>
                <w:highlight w:val="none"/>
              </w:rPr>
              <w:t>工程项目施工预计开工日期：开工时间以甲方通知为准。</w:t>
            </w:r>
          </w:p>
          <w:p w14:paraId="6A4C4A1D">
            <w:pPr>
              <w:spacing w:line="360" w:lineRule="auto"/>
              <w:jc w:val="both"/>
              <w:rPr>
                <w:rFonts w:hint="default"/>
                <w:color w:val="auto"/>
                <w:sz w:val="24"/>
                <w:szCs w:val="24"/>
                <w:highlight w:val="none"/>
              </w:rPr>
            </w:pPr>
            <w:r>
              <w:rPr>
                <w:rFonts w:hint="default"/>
                <w:color w:val="auto"/>
                <w:sz w:val="24"/>
                <w:szCs w:val="24"/>
                <w:highlight w:val="none"/>
              </w:rPr>
              <w:t>建设周期：从中标单位进场至所有服务项目完成为止。</w:t>
            </w:r>
          </w:p>
          <w:p w14:paraId="1D802B46">
            <w:pPr>
              <w:spacing w:line="360" w:lineRule="auto"/>
              <w:jc w:val="both"/>
              <w:rPr>
                <w:rFonts w:hint="default"/>
                <w:color w:val="auto"/>
                <w:sz w:val="24"/>
                <w:szCs w:val="24"/>
                <w:highlight w:val="none"/>
              </w:rPr>
            </w:pPr>
            <w:r>
              <w:rPr>
                <w:rFonts w:hint="default"/>
                <w:color w:val="auto"/>
                <w:sz w:val="24"/>
                <w:szCs w:val="24"/>
                <w:highlight w:val="none"/>
              </w:rPr>
              <w:t>计划服务周期：工程开工至竣工结束。</w:t>
            </w:r>
          </w:p>
        </w:tc>
      </w:tr>
      <w:tr w14:paraId="3DDA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570094">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1.1.8</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4F07F8">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建筑安装工程费</w:t>
            </w:r>
            <w:r>
              <w:rPr>
                <w:rFonts w:hint="eastAsia" w:ascii="Times New Roman" w:hAnsi="Times New Roman" w:eastAsia="Times New Roman"/>
                <w:color w:val="auto"/>
                <w:sz w:val="24"/>
                <w:szCs w:val="24"/>
                <w:highlight w:val="none"/>
              </w:rPr>
              <w:t>/</w:t>
            </w:r>
            <w:r>
              <w:rPr>
                <w:rFonts w:hint="default" w:ascii="宋体" w:hAnsi="宋体" w:eastAsia="宋体"/>
                <w:color w:val="auto"/>
                <w:sz w:val="24"/>
                <w:szCs w:val="24"/>
                <w:highlight w:val="none"/>
              </w:rPr>
              <w:t>工程概算</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BC56F8">
            <w:pPr>
              <w:spacing w:line="360" w:lineRule="auto"/>
              <w:jc w:val="both"/>
              <w:rPr>
                <w:rFonts w:hint="default"/>
                <w:color w:val="auto"/>
                <w:sz w:val="24"/>
                <w:szCs w:val="24"/>
                <w:highlight w:val="none"/>
              </w:rPr>
            </w:pPr>
            <w:r>
              <w:rPr>
                <w:rFonts w:hint="default" w:ascii="宋体" w:hAnsi="宋体" w:eastAsia="宋体"/>
                <w:color w:val="auto"/>
                <w:sz w:val="24"/>
                <w:szCs w:val="24"/>
                <w:highlight w:val="none"/>
                <w:lang w:eastAsia="zh-CN"/>
              </w:rPr>
              <w:t>详见本项目</w:t>
            </w:r>
            <w:r>
              <w:rPr>
                <w:rFonts w:hint="eastAsia"/>
                <w:color w:val="auto"/>
                <w:sz w:val="24"/>
                <w:szCs w:val="24"/>
                <w:highlight w:val="none"/>
                <w:lang w:val="en-US" w:eastAsia="zh-CN"/>
              </w:rPr>
              <w:t>招标公告。</w:t>
            </w:r>
          </w:p>
        </w:tc>
      </w:tr>
      <w:tr w14:paraId="00B7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E464D">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1.2.1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EA247">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资金来源及比例</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565074">
            <w:pPr>
              <w:spacing w:line="360" w:lineRule="auto"/>
              <w:jc w:val="both"/>
              <w:rPr>
                <w:rFonts w:hint="eastAsia" w:eastAsia="宋体"/>
                <w:color w:val="auto"/>
                <w:sz w:val="24"/>
                <w:szCs w:val="24"/>
                <w:highlight w:val="none"/>
                <w:lang w:eastAsia="zh-CN"/>
              </w:rPr>
            </w:pPr>
            <w:r>
              <w:rPr>
                <w:rFonts w:hint="default"/>
                <w:color w:val="auto"/>
                <w:sz w:val="24"/>
                <w:szCs w:val="24"/>
                <w:highlight w:val="none"/>
              </w:rPr>
              <w:t>详见招标公告</w:t>
            </w:r>
            <w:r>
              <w:rPr>
                <w:rFonts w:hint="eastAsia"/>
                <w:color w:val="auto"/>
                <w:sz w:val="24"/>
                <w:szCs w:val="24"/>
                <w:highlight w:val="none"/>
                <w:lang w:eastAsia="zh-CN"/>
              </w:rPr>
              <w:t>。</w:t>
            </w:r>
          </w:p>
        </w:tc>
      </w:tr>
      <w:tr w14:paraId="195B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4FD383">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1.2.2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1C1760">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资金落实情况</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01F4C9">
            <w:pPr>
              <w:spacing w:line="360" w:lineRule="auto"/>
              <w:jc w:val="both"/>
              <w:rPr>
                <w:rFonts w:hint="default" w:eastAsia="宋体"/>
                <w:color w:val="auto"/>
                <w:sz w:val="24"/>
                <w:szCs w:val="24"/>
                <w:highlight w:val="none"/>
                <w:lang w:val="en-US" w:eastAsia="zh-CN"/>
              </w:rPr>
            </w:pPr>
            <w:r>
              <w:rPr>
                <w:rFonts w:hint="eastAsia"/>
                <w:color w:val="auto"/>
                <w:sz w:val="24"/>
                <w:szCs w:val="24"/>
                <w:highlight w:val="none"/>
                <w:lang w:val="en-US" w:eastAsia="zh-CN"/>
              </w:rPr>
              <w:t>已落实。</w:t>
            </w:r>
          </w:p>
        </w:tc>
      </w:tr>
      <w:tr w14:paraId="183E8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80892">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1.3.1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5EEE21">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招标范围</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D90F57">
            <w:pPr>
              <w:spacing w:line="360" w:lineRule="auto"/>
              <w:jc w:val="both"/>
              <w:rPr>
                <w:rFonts w:hint="default"/>
                <w:color w:val="auto"/>
                <w:sz w:val="24"/>
                <w:szCs w:val="24"/>
                <w:highlight w:val="none"/>
              </w:rPr>
            </w:pPr>
            <w:r>
              <w:rPr>
                <w:rFonts w:hint="default"/>
                <w:color w:val="auto"/>
                <w:sz w:val="24"/>
                <w:szCs w:val="24"/>
                <w:highlight w:val="none"/>
              </w:rPr>
              <w:t>详见招标公告。</w:t>
            </w:r>
          </w:p>
        </w:tc>
      </w:tr>
      <w:tr w14:paraId="64B1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B9789E">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1.3.2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4843D1">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服务期限</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77219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施工准备阶段、工程施工阶段、工程保修阶段和竣工结算期的监理服务期。</w:t>
            </w:r>
          </w:p>
          <w:p w14:paraId="0489007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（1）施工准备阶段：从签订监理合同之日起参与施工准备阶段配合业主完成各项报建手续。</w:t>
            </w:r>
          </w:p>
          <w:p w14:paraId="20F60AA9">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（2）施工阶段监理服务期：从业主下达开工令或开工报告审批之日起至施工项目全部完工并办理竣工</w:t>
            </w:r>
            <w:r>
              <w:rPr>
                <w:rFonts w:hint="eastAsia" w:ascii="宋体" w:hAnsi="宋体" w:eastAsia="宋体" w:cs="宋体"/>
                <w:color w:val="auto"/>
                <w:szCs w:val="21"/>
                <w:highlight w:val="none"/>
                <w:u w:val="single"/>
                <w:lang w:val="en-US" w:eastAsia="zh-CN"/>
              </w:rPr>
              <w:t>联合</w:t>
            </w:r>
            <w:r>
              <w:rPr>
                <w:rFonts w:hint="eastAsia" w:ascii="宋体" w:hAnsi="宋体" w:eastAsia="宋体" w:cs="宋体"/>
                <w:color w:val="auto"/>
                <w:szCs w:val="21"/>
                <w:highlight w:val="none"/>
                <w:u w:val="single"/>
              </w:rPr>
              <w:t>验收、竣工结算、备案管理等为止。</w:t>
            </w:r>
          </w:p>
          <w:p w14:paraId="73E5D004">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（3）保修阶段监理服务期：从工程竣工验收合格、备案管理完成之日起至完成保修期服务为止。</w:t>
            </w:r>
          </w:p>
          <w:p w14:paraId="6EACC7BD">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（4）竣工结算期：从工程竣工验收合格至发包人审定结算为止。</w:t>
            </w:r>
          </w:p>
          <w:p w14:paraId="1072D56A">
            <w:pPr>
              <w:spacing w:line="360" w:lineRule="auto"/>
              <w:rPr>
                <w:rFonts w:hint="default"/>
                <w:strike/>
                <w:color w:val="auto"/>
                <w:sz w:val="24"/>
                <w:szCs w:val="24"/>
                <w:highlight w:val="none"/>
                <w:lang w:val="en-US" w:eastAsia="zh-CN"/>
              </w:rPr>
            </w:pPr>
            <w:r>
              <w:rPr>
                <w:rFonts w:hint="eastAsia" w:ascii="宋体" w:hAnsi="宋体" w:eastAsia="宋体" w:cs="宋体"/>
                <w:color w:val="auto"/>
                <w:szCs w:val="21"/>
                <w:highlight w:val="none"/>
                <w:u w:val="single"/>
              </w:rPr>
              <w:t>（5）监理服务周期必须满足实际施工要求。</w:t>
            </w:r>
          </w:p>
        </w:tc>
      </w:tr>
      <w:tr w14:paraId="0F2B1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DD10F9">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1.3.3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B51397">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质量标准</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2F90A0">
            <w:pPr>
              <w:spacing w:line="360" w:lineRule="auto"/>
              <w:jc w:val="both"/>
              <w:rPr>
                <w:rFonts w:hint="eastAsia" w:eastAsia="宋体"/>
                <w:color w:val="auto"/>
                <w:sz w:val="24"/>
                <w:szCs w:val="24"/>
                <w:highlight w:val="none"/>
                <w:lang w:val="en-US" w:eastAsia="zh-CN"/>
              </w:rPr>
            </w:pPr>
            <w:r>
              <w:rPr>
                <w:rFonts w:hint="eastAsia"/>
                <w:color w:val="auto"/>
                <w:sz w:val="24"/>
                <w:szCs w:val="24"/>
                <w:highlight w:val="none"/>
                <w:lang w:val="en-US" w:eastAsia="zh-CN"/>
              </w:rPr>
              <w:t>工程质量达到国家或行业质量检验评定的合格标准。</w:t>
            </w:r>
          </w:p>
        </w:tc>
      </w:tr>
      <w:tr w14:paraId="0616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31327D">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1.4.1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43925E">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投标人资质条件、能力、信誉</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1822B9">
            <w:pPr>
              <w:pStyle w:val="31"/>
              <w:kinsoku w:val="0"/>
              <w:overflowPunct w:val="0"/>
              <w:spacing w:line="360" w:lineRule="auto"/>
              <w:jc w:val="both"/>
              <w:rPr>
                <w:rFonts w:hint="default" w:ascii="宋体" w:hAnsi="宋体" w:eastAsia="宋体"/>
                <w:color w:val="auto"/>
                <w:sz w:val="24"/>
                <w:szCs w:val="24"/>
                <w:highlight w:val="none"/>
                <w:lang w:eastAsia="zh-CN"/>
              </w:rPr>
            </w:pPr>
            <w:r>
              <w:rPr>
                <w:rFonts w:hint="default" w:ascii="宋体" w:hAnsi="宋体" w:eastAsia="宋体"/>
                <w:color w:val="auto"/>
                <w:sz w:val="24"/>
                <w:szCs w:val="24"/>
                <w:highlight w:val="none"/>
                <w:lang w:eastAsia="zh-CN"/>
              </w:rPr>
              <w:t>详见本项目招标公告。</w:t>
            </w:r>
          </w:p>
        </w:tc>
      </w:tr>
      <w:tr w14:paraId="1682F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B08DAB">
            <w:pPr>
              <w:pStyle w:val="31"/>
              <w:kinsoku w:val="0"/>
              <w:overflowPunct w:val="0"/>
              <w:spacing w:line="360" w:lineRule="auto"/>
              <w:jc w:val="center"/>
              <w:rPr>
                <w:rFonts w:hint="default"/>
                <w:color w:val="auto"/>
                <w:sz w:val="24"/>
                <w:szCs w:val="24"/>
                <w:highlight w:val="none"/>
              </w:rPr>
            </w:pPr>
            <w:r>
              <w:rPr>
                <w:rFonts w:hint="eastAsia" w:ascii="Times New Roman" w:hAnsi="Times New Roman" w:eastAsia="Times New Roman"/>
                <w:color w:val="auto"/>
                <w:sz w:val="24"/>
                <w:szCs w:val="24"/>
                <w:highlight w:val="none"/>
              </w:rPr>
              <w:t>1.4.2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2B81CA">
            <w:pPr>
              <w:pStyle w:val="31"/>
              <w:kinsoku w:val="0"/>
              <w:overflowPunct w:val="0"/>
              <w:spacing w:line="360" w:lineRule="auto"/>
              <w:jc w:val="both"/>
              <w:rPr>
                <w:rFonts w:hint="default"/>
                <w:color w:val="auto"/>
                <w:sz w:val="24"/>
                <w:szCs w:val="24"/>
                <w:highlight w:val="none"/>
              </w:rPr>
            </w:pPr>
            <w:r>
              <w:rPr>
                <w:rFonts w:hint="default" w:ascii="宋体" w:hAnsi="宋体" w:eastAsia="宋体"/>
                <w:color w:val="auto"/>
                <w:sz w:val="24"/>
                <w:szCs w:val="24"/>
                <w:highlight w:val="none"/>
              </w:rPr>
              <w:t>是否接受联合体投标</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25A687">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w:char="00FE"/>
            </w:r>
            <w:r>
              <w:rPr>
                <w:rFonts w:hint="default" w:ascii="宋体" w:hAnsi="宋体" w:eastAsia="宋体"/>
                <w:color w:val="auto"/>
                <w:sz w:val="24"/>
                <w:szCs w:val="24"/>
                <w:highlight w:val="none"/>
              </w:rPr>
              <w:t>不接受</w:t>
            </w:r>
          </w:p>
          <w:p w14:paraId="36454BF5">
            <w:pPr>
              <w:pStyle w:val="31"/>
              <w:kinsoku w:val="0"/>
              <w:overflowPunct w:val="0"/>
              <w:spacing w:line="360" w:lineRule="auto"/>
              <w:jc w:val="both"/>
              <w:rPr>
                <w:rFonts w:hint="eastAsia" w:eastAsia="宋体"/>
                <w:color w:val="auto"/>
                <w:sz w:val="24"/>
                <w:szCs w:val="24"/>
                <w:highlight w:val="none"/>
                <w:lang w:eastAsia="zh-CN"/>
              </w:rPr>
            </w:pPr>
            <w:r>
              <w:rPr>
                <w:rFonts w:hint="eastAsia" w:ascii="Times New Roman" w:hAnsi="Times New Roman" w:eastAsia="Times New Roman"/>
                <w:color w:val="auto"/>
                <w:sz w:val="24"/>
                <w:szCs w:val="24"/>
                <w:highlight w:val="none"/>
              </w:rPr>
              <w:sym w:font="Wingdings" w:char="00A8"/>
            </w:r>
            <w:r>
              <w:rPr>
                <w:rFonts w:hint="default" w:ascii="宋体" w:hAnsi="宋体" w:eastAsia="宋体"/>
                <w:color w:val="auto"/>
                <w:sz w:val="24"/>
                <w:szCs w:val="24"/>
                <w:highlight w:val="none"/>
              </w:rPr>
              <w:t>接受，应满足下列要求：详见招标公告</w:t>
            </w:r>
            <w:r>
              <w:rPr>
                <w:rFonts w:hint="eastAsia" w:ascii="宋体" w:hAnsi="宋体"/>
                <w:color w:val="auto"/>
                <w:sz w:val="24"/>
                <w:szCs w:val="24"/>
                <w:highlight w:val="none"/>
                <w:lang w:eastAsia="zh-CN"/>
              </w:rPr>
              <w:t>。</w:t>
            </w:r>
          </w:p>
        </w:tc>
      </w:tr>
      <w:tr w14:paraId="64D35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B53AA">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1.4.3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D7B41">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投标人不得存在的其他情形</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8EDEED">
            <w:pPr>
              <w:spacing w:line="360" w:lineRule="auto"/>
              <w:jc w:val="both"/>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w:t>
            </w:r>
          </w:p>
        </w:tc>
      </w:tr>
      <w:tr w14:paraId="76AF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4D8A7E">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1.9.1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8AF738">
            <w:pPr>
              <w:pStyle w:val="31"/>
              <w:kinsoku w:val="0"/>
              <w:overflowPunct w:val="0"/>
              <w:spacing w:line="360" w:lineRule="auto"/>
              <w:jc w:val="center"/>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踏勘现场</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04E55E">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eq \o\ac(□</w:instrText>
            </w:r>
            <w:r>
              <w:rPr>
                <w:rFonts w:hint="eastAsia" w:ascii="宋体" w:hAnsi="宋体" w:eastAsia="宋体" w:cs="宋体"/>
                <w:color w:val="auto"/>
                <w:position w:val="2"/>
                <w:sz w:val="14"/>
                <w:szCs w:val="21"/>
                <w:highlight w:val="none"/>
              </w:rPr>
              <w:instrText xml:space="preserve">,</w:instrText>
            </w:r>
            <w:r>
              <w:rPr>
                <w:rFonts w:hint="eastAsia" w:ascii="宋体" w:hAnsi="宋体" w:eastAsia="宋体" w:cs="宋体"/>
                <w:color w:val="auto"/>
                <w:szCs w:val="21"/>
                <w:highlight w:val="none"/>
              </w:rPr>
              <w:instrText xml:space="preserve">√)</w:instrTex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u w:val="single"/>
              </w:rPr>
              <w:t>，由投标人自行现场勘察。</w:t>
            </w:r>
          </w:p>
          <w:p w14:paraId="7901CAF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□组织，踏勘时间：</w:t>
            </w:r>
          </w:p>
          <w:p w14:paraId="0A4C80B4">
            <w:pPr>
              <w:pStyle w:val="31"/>
              <w:kinsoku w:val="0"/>
              <w:overflowPunct w:val="0"/>
              <w:spacing w:line="360" w:lineRule="auto"/>
              <w:jc w:val="both"/>
              <w:rPr>
                <w:rFonts w:hint="default" w:ascii="宋体" w:hAnsi="宋体" w:eastAsia="宋体" w:cs="宋体"/>
                <w:b/>
                <w:color w:val="auto"/>
                <w:sz w:val="24"/>
                <w:szCs w:val="24"/>
                <w:highlight w:val="none"/>
              </w:rPr>
            </w:pPr>
            <w:r>
              <w:rPr>
                <w:rFonts w:hint="eastAsia" w:ascii="宋体" w:hAnsi="宋体" w:eastAsia="宋体" w:cs="宋体"/>
                <w:color w:val="auto"/>
                <w:szCs w:val="21"/>
                <w:highlight w:val="none"/>
              </w:rPr>
              <w:t>踏勘集中地点</w:t>
            </w:r>
            <w:r>
              <w:rPr>
                <w:rFonts w:hint="default" w:ascii="宋体" w:hAnsi="Times New Roman" w:eastAsia="宋体"/>
                <w:color w:val="auto"/>
                <w:sz w:val="24"/>
                <w:szCs w:val="24"/>
                <w:highlight w:val="none"/>
              </w:rPr>
              <w:t>；</w:t>
            </w:r>
          </w:p>
        </w:tc>
      </w:tr>
      <w:tr w14:paraId="20B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4FDAF5">
            <w:pPr>
              <w:spacing w:before="60" w:line="360" w:lineRule="auto"/>
              <w:jc w:val="center"/>
              <w:rPr>
                <w:rFonts w:hint="eastAsia" w:ascii="Times New Roman" w:hAnsi="Times New Roman" w:eastAsia="Times New Roman" w:cs="Times New Roman"/>
                <w:color w:val="auto"/>
                <w:sz w:val="24"/>
                <w:szCs w:val="24"/>
                <w:highlight w:val="none"/>
              </w:rPr>
            </w:pPr>
            <w:r>
              <w:rPr>
                <w:rFonts w:hint="eastAsia" w:ascii="Times New Roman" w:hAnsi="Times New Roman" w:eastAsia="Times New Roman" w:cs="Times New Roman"/>
                <w:color w:val="auto"/>
                <w:spacing w:val="-5"/>
                <w:sz w:val="24"/>
                <w:szCs w:val="24"/>
                <w:highlight w:val="none"/>
              </w:rPr>
              <w:t>1</w:t>
            </w:r>
            <w:r>
              <w:rPr>
                <w:rFonts w:hint="eastAsia" w:ascii="Times New Roman" w:hAnsi="Times New Roman" w:eastAsia="Times New Roman" w:cs="Times New Roman"/>
                <w:color w:val="auto"/>
                <w:spacing w:val="-4"/>
                <w:sz w:val="24"/>
                <w:szCs w:val="24"/>
                <w:highlight w:val="none"/>
              </w:rPr>
              <w:t>.10.1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9981A6">
            <w:pPr>
              <w:spacing w:before="68" w:line="360" w:lineRule="auto"/>
              <w:jc w:val="center"/>
              <w:rPr>
                <w:rFonts w:hint="default" w:ascii="宋体" w:hAnsi="宋体" w:eastAsia="宋体" w:cs="宋体"/>
                <w:color w:val="auto"/>
                <w:sz w:val="24"/>
                <w:szCs w:val="24"/>
                <w:highlight w:val="none"/>
              </w:rPr>
            </w:pPr>
            <w:r>
              <w:rPr>
                <w:rFonts w:hint="default" w:ascii="宋体" w:hAnsi="宋体" w:eastAsia="宋体" w:cs="Times New Roman"/>
                <w:color w:val="auto"/>
                <w:sz w:val="24"/>
                <w:szCs w:val="24"/>
                <w:highlight w:val="none"/>
              </w:rPr>
              <w:t>投标预备会</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top"/>
          </w:tcPr>
          <w:p w14:paraId="2452FB97">
            <w:pPr>
              <w:pStyle w:val="11"/>
              <w:spacing w:before="62" w:beforeLines="20" w:after="62" w:afterLines="20" w:line="360" w:lineRule="auto"/>
              <w:ind w:left="48" w:leftChars="20" w:right="48" w:rightChars="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☑不召开</w:t>
            </w:r>
          </w:p>
          <w:p w14:paraId="368B7673">
            <w:pPr>
              <w:spacing w:before="62" w:beforeLines="20" w:after="62" w:afterLines="20" w:line="360" w:lineRule="auto"/>
              <w:ind w:left="48" w:leftChars="20" w:right="48" w:rightChars="2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sym w:font="Wingdings 2" w:char="00A3"/>
            </w:r>
            <w:r>
              <w:rPr>
                <w:rFonts w:hint="default" w:ascii="宋体" w:hAnsi="宋体" w:eastAsia="宋体" w:cs="宋体"/>
                <w:color w:val="auto"/>
                <w:sz w:val="24"/>
                <w:szCs w:val="24"/>
                <w:highlight w:val="none"/>
              </w:rPr>
              <w:t>召开，召开时间：</w:t>
            </w:r>
          </w:p>
          <w:p w14:paraId="508EA0E8">
            <w:pPr>
              <w:spacing w:before="173" w:line="360" w:lineRule="auto"/>
              <w:ind w:right="50" w:firstLine="960" w:firstLineChars="400"/>
              <w:rPr>
                <w:rFonts w:hint="default" w:ascii="宋体" w:hAnsi="宋体" w:eastAsia="宋体"/>
                <w:color w:val="auto"/>
                <w:sz w:val="24"/>
                <w:szCs w:val="24"/>
                <w:highlight w:val="none"/>
              </w:rPr>
            </w:pPr>
            <w:r>
              <w:rPr>
                <w:rFonts w:hint="default" w:ascii="宋体" w:hAnsi="宋体" w:eastAsia="宋体" w:cs="宋体"/>
                <w:color w:val="auto"/>
                <w:sz w:val="24"/>
                <w:szCs w:val="24"/>
                <w:highlight w:val="none"/>
              </w:rPr>
              <w:t>召开地点：</w:t>
            </w:r>
          </w:p>
        </w:tc>
      </w:tr>
      <w:tr w14:paraId="01CBE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88F5700">
            <w:pPr>
              <w:spacing w:before="60" w:line="360" w:lineRule="auto"/>
              <w:jc w:val="center"/>
              <w:rPr>
                <w:rFonts w:hint="eastAsia" w:ascii="Times New Roman" w:hAnsi="Times New Roman" w:eastAsia="Times New Roman" w:cs="Times New Roman"/>
                <w:color w:val="auto"/>
                <w:spacing w:val="-5"/>
                <w:sz w:val="24"/>
                <w:szCs w:val="24"/>
                <w:highlight w:val="none"/>
              </w:rPr>
            </w:pPr>
            <w:r>
              <w:rPr>
                <w:rFonts w:hint="eastAsia" w:ascii="Times New Roman" w:hAnsi="Times New Roman" w:eastAsia="Times New Roman" w:cs="Times New Roman"/>
                <w:color w:val="auto"/>
                <w:spacing w:val="-5"/>
                <w:sz w:val="24"/>
                <w:szCs w:val="24"/>
                <w:highlight w:val="none"/>
              </w:rPr>
              <w:t>1.10.2</w:t>
            </w:r>
          </w:p>
        </w:tc>
        <w:tc>
          <w:tcPr>
            <w:tcW w:w="183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6DB1098E">
            <w:pPr>
              <w:spacing w:before="68" w:line="360" w:lineRule="auto"/>
              <w:rPr>
                <w:rFonts w:hint="default" w:ascii="宋体" w:hAnsi="宋体" w:eastAsia="宋体" w:cs="宋体"/>
                <w:color w:val="auto"/>
                <w:spacing w:val="-2"/>
                <w:sz w:val="24"/>
                <w:szCs w:val="24"/>
                <w:highlight w:val="none"/>
              </w:rPr>
            </w:pPr>
            <w:r>
              <w:rPr>
                <w:rFonts w:hint="default" w:ascii="宋体" w:hAnsi="宋体" w:eastAsia="宋体" w:cs="宋体"/>
                <w:color w:val="auto"/>
                <w:sz w:val="24"/>
                <w:szCs w:val="24"/>
                <w:highlight w:val="none"/>
              </w:rPr>
              <w:t>投标人在投标预备会前提出问题</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E289E">
            <w:pPr>
              <w:autoSpaceDE/>
              <w:autoSpaceDN/>
              <w:adjustRightInd/>
              <w:spacing w:before="63" w:beforeLines="20" w:after="63" w:afterLines="20" w:line="360" w:lineRule="auto"/>
              <w:ind w:left="48" w:leftChars="20" w:right="48" w:rightChars="20"/>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rPr>
              <w:t>时间：</w:t>
            </w:r>
            <w:r>
              <w:rPr>
                <w:rFonts w:hint="default" w:ascii="宋体" w:hAnsi="宋体" w:eastAsia="宋体" w:cs="宋体"/>
                <w:color w:val="auto"/>
                <w:sz w:val="24"/>
                <w:szCs w:val="24"/>
                <w:highlight w:val="none"/>
                <w:lang w:val="en-US" w:eastAsia="zh-CN"/>
              </w:rPr>
              <w:t xml:space="preserve"> /</w:t>
            </w:r>
          </w:p>
        </w:tc>
      </w:tr>
      <w:tr w14:paraId="20AF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346E95A">
            <w:pPr>
              <w:pStyle w:val="31"/>
              <w:kinsoku w:val="0"/>
              <w:overflowPunct w:val="0"/>
              <w:spacing w:line="360" w:lineRule="auto"/>
              <w:jc w:val="center"/>
              <w:rPr>
                <w:rFonts w:hint="eastAsia" w:ascii="Times New Roman" w:hAnsi="Times New Roman" w:eastAsia="Times New Roman"/>
                <w:color w:val="auto"/>
                <w:sz w:val="24"/>
                <w:szCs w:val="24"/>
                <w:highlight w:val="none"/>
              </w:rPr>
            </w:pPr>
          </w:p>
        </w:tc>
        <w:tc>
          <w:tcPr>
            <w:tcW w:w="183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E2FE133">
            <w:pPr>
              <w:pStyle w:val="31"/>
              <w:kinsoku w:val="0"/>
              <w:overflowPunct w:val="0"/>
              <w:spacing w:line="360" w:lineRule="auto"/>
              <w:jc w:val="both"/>
              <w:rPr>
                <w:rFonts w:hint="default" w:ascii="宋体" w:hAnsi="宋体" w:eastAsia="宋体"/>
                <w:color w:val="auto"/>
                <w:sz w:val="24"/>
                <w:szCs w:val="24"/>
                <w:highlight w:val="none"/>
              </w:rPr>
            </w:pP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8800FB">
            <w:pPr>
              <w:autoSpaceDE/>
              <w:autoSpaceDN/>
              <w:adjustRightInd/>
              <w:spacing w:before="63" w:beforeLines="20" w:after="63" w:afterLines="20" w:line="360" w:lineRule="auto"/>
              <w:ind w:left="48" w:leftChars="20" w:right="48" w:rightChars="20"/>
              <w:rPr>
                <w:rFonts w:hint="default" w:ascii="宋体" w:hAnsi="宋体" w:eastAsia="宋体" w:cs="宋体"/>
                <w:color w:val="auto"/>
                <w:sz w:val="24"/>
                <w:szCs w:val="24"/>
                <w:highlight w:val="none"/>
                <w:lang w:val="en-US"/>
              </w:rPr>
            </w:pPr>
            <w:r>
              <w:rPr>
                <w:rFonts w:hint="default" w:ascii="宋体" w:hAnsi="宋体" w:eastAsia="宋体" w:cs="宋体"/>
                <w:color w:val="auto"/>
                <w:sz w:val="24"/>
                <w:szCs w:val="24"/>
                <w:highlight w:val="none"/>
              </w:rPr>
              <w:t>形式：</w:t>
            </w:r>
            <w:r>
              <w:rPr>
                <w:rFonts w:hint="default" w:ascii="宋体" w:hAnsi="宋体" w:eastAsia="宋体" w:cs="宋体"/>
                <w:color w:val="auto"/>
                <w:sz w:val="24"/>
                <w:szCs w:val="24"/>
                <w:highlight w:val="none"/>
                <w:lang w:val="en-US" w:eastAsia="zh-CN"/>
              </w:rPr>
              <w:t xml:space="preserve"> /</w:t>
            </w:r>
          </w:p>
        </w:tc>
      </w:tr>
      <w:tr w14:paraId="2226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489B2B">
            <w:pPr>
              <w:spacing w:before="62" w:beforeLines="20" w:after="62" w:afterLines="20" w:line="360" w:lineRule="auto"/>
              <w:ind w:left="48" w:leftChars="20" w:right="48" w:rightChars="20"/>
              <w:jc w:val="center"/>
              <w:rPr>
                <w:rFonts w:hint="default" w:ascii="Arial" w:hAnsi="宋体" w:eastAsia="宋体" w:cs="宋体"/>
                <w:snapToGrid w:val="0"/>
                <w:color w:val="auto"/>
                <w:sz w:val="24"/>
                <w:szCs w:val="24"/>
                <w:highlight w:val="none"/>
              </w:rPr>
            </w:pPr>
            <w:r>
              <w:rPr>
                <w:rFonts w:hint="eastAsia" w:ascii="Times New Roman" w:hAnsi="Times New Roman" w:eastAsia="Times New Roman" w:cs="Times New Roman"/>
                <w:color w:val="auto"/>
                <w:spacing w:val="-5"/>
                <w:sz w:val="24"/>
                <w:szCs w:val="24"/>
                <w:highlight w:val="none"/>
              </w:rPr>
              <w:t>1.10.3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8EA2BA">
            <w:pPr>
              <w:spacing w:before="62" w:beforeLines="20" w:after="62" w:afterLines="20" w:line="360" w:lineRule="auto"/>
              <w:ind w:left="48" w:leftChars="20" w:right="48" w:rightChars="20"/>
              <w:rPr>
                <w:rFonts w:hint="default" w:ascii="宋体" w:hAnsi="宋体" w:eastAsia="宋体" w:cs="宋体"/>
                <w:snapToGrid w:val="0"/>
                <w:color w:val="auto"/>
                <w:sz w:val="24"/>
                <w:szCs w:val="24"/>
                <w:highlight w:val="none"/>
              </w:rPr>
            </w:pPr>
            <w:r>
              <w:rPr>
                <w:rFonts w:hint="default" w:ascii="宋体" w:hAnsi="宋体" w:eastAsia="宋体" w:cs="宋体"/>
                <w:color w:val="auto"/>
                <w:sz w:val="24"/>
                <w:szCs w:val="24"/>
                <w:highlight w:val="none"/>
              </w:rPr>
              <w:t>招标文件澄清发出的形式</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71B9F1">
            <w:pPr>
              <w:autoSpaceDE/>
              <w:autoSpaceDN/>
              <w:adjustRightInd/>
              <w:spacing w:before="63" w:beforeLines="20" w:after="63" w:afterLines="20" w:line="360" w:lineRule="auto"/>
              <w:ind w:left="48" w:leftChars="20" w:right="48" w:rightChars="20" w:firstLine="480" w:firstLineChars="200"/>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val="en-US" w:eastAsia="zh-CN"/>
              </w:rPr>
              <w:t>/</w:t>
            </w:r>
          </w:p>
        </w:tc>
      </w:tr>
      <w:tr w14:paraId="687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08E1AF">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1.12.1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7121A8">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实质性要求和条件</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7187CF">
            <w:pPr>
              <w:spacing w:line="360" w:lineRule="auto"/>
              <w:ind w:firstLine="480" w:firstLineChars="200"/>
              <w:jc w:val="both"/>
              <w:rPr>
                <w:rFonts w:hint="default" w:ascii="宋体" w:hAnsi="宋体" w:eastAsia="宋体" w:cs="宋体"/>
                <w:b/>
                <w:color w:val="auto"/>
                <w:sz w:val="24"/>
                <w:szCs w:val="24"/>
                <w:highlight w:val="none"/>
              </w:rPr>
            </w:pPr>
            <w:r>
              <w:rPr>
                <w:rFonts w:hint="default" w:ascii="宋体" w:hAnsi="宋体" w:eastAsia="宋体" w:cs="宋体"/>
                <w:color w:val="auto"/>
                <w:sz w:val="24"/>
                <w:szCs w:val="24"/>
                <w:highlight w:val="none"/>
                <w:lang w:val="en-US" w:eastAsia="zh-CN"/>
              </w:rPr>
              <w:t>/</w:t>
            </w:r>
          </w:p>
        </w:tc>
      </w:tr>
      <w:tr w14:paraId="4827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AC0B87">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1.12.3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73DF3A">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偏差</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550D6F">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2" w:char="0052"/>
            </w:r>
            <w:r>
              <w:rPr>
                <w:rFonts w:hint="default" w:ascii="宋体" w:hAnsi="宋体" w:eastAsia="宋体"/>
                <w:color w:val="auto"/>
                <w:sz w:val="24"/>
                <w:szCs w:val="24"/>
                <w:highlight w:val="none"/>
              </w:rPr>
              <w:t>不允许</w:t>
            </w:r>
          </w:p>
          <w:p w14:paraId="6C7914D5">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2" w:char="00A3"/>
            </w:r>
            <w:r>
              <w:rPr>
                <w:rFonts w:hint="default" w:ascii="宋体" w:hAnsi="宋体" w:eastAsia="宋体"/>
                <w:color w:val="auto"/>
                <w:sz w:val="24"/>
                <w:szCs w:val="24"/>
                <w:highlight w:val="none"/>
              </w:rPr>
              <w:t>允许，偏差范围：</w:t>
            </w:r>
          </w:p>
          <w:p w14:paraId="4C7D4F28">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偏差幅度：</w:t>
            </w:r>
          </w:p>
        </w:tc>
      </w:tr>
      <w:tr w14:paraId="1A35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C47C0">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2.1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F74787">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构成招标文件的其他资料</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D3655">
            <w:pPr>
              <w:spacing w:line="360" w:lineRule="auto"/>
              <w:jc w:val="both"/>
              <w:rPr>
                <w:rFonts w:hint="eastAsia" w:ascii="宋体" w:hAnsi="宋体" w:eastAsia="宋体" w:cs="宋体"/>
                <w:b/>
                <w:color w:val="auto"/>
                <w:sz w:val="24"/>
                <w:szCs w:val="24"/>
                <w:highlight w:val="none"/>
                <w:lang w:val="en-US" w:eastAsia="zh-CN"/>
              </w:rPr>
            </w:pPr>
            <w:r>
              <w:rPr>
                <w:rFonts w:hint="eastAsia" w:ascii="宋体" w:hAnsi="宋体" w:cs="宋体"/>
                <w:b w:val="0"/>
                <w:bCs/>
                <w:color w:val="auto"/>
                <w:sz w:val="24"/>
                <w:szCs w:val="24"/>
                <w:highlight w:val="none"/>
                <w:lang w:val="en-US" w:eastAsia="zh-CN"/>
              </w:rPr>
              <w:t>/</w:t>
            </w:r>
          </w:p>
        </w:tc>
      </w:tr>
      <w:tr w14:paraId="0DE23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69B4BA0">
            <w:pPr>
              <w:spacing w:before="60"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s="Times New Roman"/>
                <w:color w:val="auto"/>
                <w:spacing w:val="-1"/>
                <w:sz w:val="24"/>
                <w:szCs w:val="24"/>
                <w:highlight w:val="none"/>
              </w:rPr>
              <w:t>2.2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EF1ECB">
            <w:pPr>
              <w:spacing w:line="360" w:lineRule="auto"/>
              <w:jc w:val="center"/>
              <w:rPr>
                <w:rFonts w:hint="default"/>
                <w:color w:val="auto"/>
                <w:sz w:val="24"/>
                <w:szCs w:val="24"/>
                <w:highlight w:val="none"/>
              </w:rPr>
            </w:pPr>
          </w:p>
          <w:p w14:paraId="6F9B64C6">
            <w:pPr>
              <w:spacing w:before="69" w:line="360" w:lineRule="auto"/>
              <w:jc w:val="center"/>
              <w:rPr>
                <w:rFonts w:hint="default"/>
                <w:color w:val="auto"/>
                <w:sz w:val="24"/>
                <w:szCs w:val="24"/>
                <w:highlight w:val="none"/>
                <w:lang w:eastAsia="zh-CN"/>
              </w:rPr>
            </w:pPr>
            <w:r>
              <w:rPr>
                <w:rFonts w:hint="default" w:ascii="宋体" w:hAnsi="Times New Roman" w:eastAsia="宋体"/>
                <w:color w:val="auto"/>
                <w:sz w:val="24"/>
                <w:szCs w:val="24"/>
                <w:highlight w:val="none"/>
                <w:lang w:eastAsia="zh-CN"/>
              </w:rPr>
              <w:t>招标答疑</w:t>
            </w:r>
          </w:p>
          <w:p w14:paraId="30F83AE2">
            <w:pPr>
              <w:spacing w:line="360" w:lineRule="auto"/>
              <w:jc w:val="center"/>
              <w:rPr>
                <w:rFonts w:hint="default"/>
                <w:color w:val="auto"/>
                <w:sz w:val="24"/>
                <w:szCs w:val="24"/>
                <w:highlight w:val="none"/>
                <w:lang w:eastAsia="zh-CN"/>
              </w:rPr>
            </w:pPr>
          </w:p>
          <w:p w14:paraId="0864E9BC">
            <w:pPr>
              <w:tabs>
                <w:tab w:val="left" w:pos="1103"/>
              </w:tabs>
              <w:spacing w:line="360" w:lineRule="auto"/>
              <w:jc w:val="center"/>
              <w:rPr>
                <w:rFonts w:hint="default" w:ascii="宋体" w:hAnsi="宋体" w:eastAsia="宋体"/>
                <w:color w:val="auto"/>
                <w:sz w:val="24"/>
                <w:szCs w:val="24"/>
                <w:highlight w:val="none"/>
              </w:rPr>
            </w:pP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top"/>
          </w:tcPr>
          <w:p w14:paraId="26CD609A">
            <w:pPr>
              <w:spacing w:before="156" w:beforeLines="50" w:line="360" w:lineRule="auto"/>
              <w:ind w:left="0" w:left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疑问提交时间：</w:t>
            </w:r>
            <w:r>
              <w:rPr>
                <w:rFonts w:hint="default" w:ascii="宋体" w:hAnsi="宋体" w:eastAsia="宋体" w:cs="宋体"/>
                <w:color w:val="auto"/>
                <w:sz w:val="24"/>
                <w:szCs w:val="24"/>
                <w:highlight w:val="none"/>
                <w:u w:val="none"/>
              </w:rPr>
              <w:t>以广州交易集团有限公司（广州公共资源交易中心）网站公布的时间为准</w:t>
            </w:r>
            <w:r>
              <w:rPr>
                <w:rFonts w:hint="default" w:ascii="宋体" w:hAnsi="宋体" w:eastAsia="宋体" w:cs="宋体"/>
                <w:color w:val="auto"/>
                <w:sz w:val="24"/>
                <w:szCs w:val="24"/>
                <w:highlight w:val="none"/>
              </w:rPr>
              <w:t>；</w:t>
            </w:r>
          </w:p>
          <w:p w14:paraId="3121BCF0">
            <w:pPr>
              <w:spacing w:before="156" w:beforeLines="50" w:line="360" w:lineRule="auto"/>
              <w:ind w:left="0" w:leftChars="0"/>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形式：投标人的疑问通过</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提交。</w:t>
            </w:r>
          </w:p>
          <w:p w14:paraId="176B6750">
            <w:pPr>
              <w:spacing w:before="156" w:beforeLines="50" w:line="360" w:lineRule="auto"/>
              <w:ind w:left="0" w:leftChars="0"/>
              <w:rPr>
                <w:rFonts w:hint="default" w:ascii="宋体" w:hAnsi="宋体" w:eastAsia="宋体" w:cs="宋体"/>
                <w:b/>
                <w:color w:val="auto"/>
                <w:sz w:val="24"/>
                <w:szCs w:val="24"/>
                <w:highlight w:val="none"/>
              </w:rPr>
            </w:pPr>
            <w:r>
              <w:rPr>
                <w:rFonts w:hint="default" w:ascii="宋体" w:hAnsi="宋体" w:eastAsia="宋体" w:cs="宋体"/>
                <w:color w:val="auto"/>
                <w:sz w:val="24"/>
                <w:szCs w:val="24"/>
                <w:highlight w:val="none"/>
              </w:rPr>
              <w:t>具体要求：按照</w:t>
            </w:r>
            <w:r>
              <w:rPr>
                <w:rFonts w:hint="eastAsia" w:ascii="宋体" w:hAnsi="宋体" w:cs="宋体"/>
                <w:color w:val="auto"/>
                <w:sz w:val="24"/>
                <w:szCs w:val="24"/>
                <w:highlight w:val="none"/>
                <w:lang w:eastAsia="zh-CN"/>
              </w:rPr>
              <w:t>广州交易集团有限公司（广州公共资源交易中心）</w:t>
            </w:r>
            <w:r>
              <w:rPr>
                <w:rFonts w:hint="default" w:ascii="宋体" w:hAnsi="宋体" w:eastAsia="宋体" w:cs="宋体"/>
                <w:color w:val="auto"/>
                <w:sz w:val="24"/>
                <w:szCs w:val="24"/>
                <w:highlight w:val="none"/>
                <w:lang w:eastAsia="zh-CN"/>
              </w:rPr>
              <w:t>网站</w:t>
            </w:r>
            <w:r>
              <w:rPr>
                <w:rFonts w:hint="default" w:ascii="宋体" w:hAnsi="宋体" w:eastAsia="宋体" w:cs="宋体"/>
                <w:color w:val="auto"/>
                <w:sz w:val="24"/>
                <w:szCs w:val="24"/>
                <w:highlight w:val="none"/>
              </w:rPr>
              <w:t>关于全流程电子化项目的相关指南进行操作，提问一律不得署名。</w:t>
            </w:r>
          </w:p>
        </w:tc>
      </w:tr>
      <w:tr w14:paraId="49F6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C6E7CD">
            <w:pPr>
              <w:spacing w:before="209"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s="Times New Roman"/>
                <w:color w:val="auto"/>
                <w:spacing w:val="-1"/>
                <w:sz w:val="24"/>
                <w:szCs w:val="24"/>
                <w:highlight w:val="none"/>
              </w:rPr>
              <w:t>2.3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3571C2">
            <w:pPr>
              <w:spacing w:before="170" w:line="360" w:lineRule="auto"/>
              <w:jc w:val="both"/>
              <w:rPr>
                <w:rFonts w:hint="default" w:ascii="宋体" w:hAnsi="宋体" w:eastAsia="宋体"/>
                <w:color w:val="auto"/>
                <w:sz w:val="24"/>
                <w:szCs w:val="24"/>
                <w:highlight w:val="none"/>
              </w:rPr>
            </w:pPr>
            <w:r>
              <w:rPr>
                <w:rFonts w:hint="default" w:ascii="宋体" w:hAnsi="宋体" w:eastAsia="宋体" w:cs="宋体"/>
                <w:color w:val="auto"/>
                <w:spacing w:val="-1"/>
                <w:sz w:val="24"/>
                <w:szCs w:val="24"/>
                <w:highlight w:val="none"/>
              </w:rPr>
              <w:t>招标文件</w:t>
            </w:r>
            <w:r>
              <w:rPr>
                <w:rFonts w:hint="default" w:ascii="宋体" w:hAnsi="宋体" w:eastAsia="宋体" w:cs="宋体"/>
                <w:color w:val="auto"/>
                <w:spacing w:val="-1"/>
                <w:sz w:val="24"/>
                <w:szCs w:val="24"/>
                <w:highlight w:val="none"/>
                <w:lang w:eastAsia="zh-CN"/>
              </w:rPr>
              <w:t>的澄清和</w:t>
            </w:r>
            <w:r>
              <w:rPr>
                <w:rFonts w:hint="default" w:ascii="宋体" w:hAnsi="宋体" w:eastAsia="宋体" w:cs="宋体"/>
                <w:color w:val="auto"/>
                <w:spacing w:val="-1"/>
                <w:sz w:val="24"/>
                <w:szCs w:val="24"/>
                <w:highlight w:val="none"/>
              </w:rPr>
              <w:t>修改</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C81196">
            <w:pPr>
              <w:spacing w:line="360" w:lineRule="auto"/>
              <w:ind w:left="0" w:leftChars="0"/>
              <w:jc w:val="both"/>
              <w:rPr>
                <w:rFonts w:hint="eastAsia" w:ascii="宋体" w:hAnsi="宋体" w:eastAsia="宋体" w:cs="宋体"/>
                <w:b/>
                <w:color w:val="auto"/>
                <w:sz w:val="24"/>
                <w:szCs w:val="24"/>
                <w:highlight w:val="none"/>
                <w:lang w:eastAsia="zh-CN"/>
              </w:rPr>
            </w:pPr>
            <w:r>
              <w:rPr>
                <w:rFonts w:hint="default" w:ascii="宋体" w:hAnsi="宋体" w:eastAsia="宋体"/>
                <w:color w:val="auto"/>
                <w:sz w:val="24"/>
                <w:szCs w:val="24"/>
                <w:highlight w:val="none"/>
              </w:rPr>
              <w:t>招标文件的修改期限：在投标截止时间</w:t>
            </w:r>
            <w:r>
              <w:rPr>
                <w:rFonts w:hint="default" w:ascii="宋体" w:hAnsi="宋体" w:eastAsia="宋体"/>
                <w:color w:val="auto"/>
                <w:sz w:val="24"/>
                <w:szCs w:val="24"/>
                <w:highlight w:val="none"/>
                <w:u w:val="single"/>
              </w:rPr>
              <w:t xml:space="preserve"> </w:t>
            </w:r>
            <w:r>
              <w:rPr>
                <w:rFonts w:hint="default" w:ascii="宋体" w:hAnsi="宋体" w:eastAsia="宋体"/>
                <w:color w:val="auto"/>
                <w:sz w:val="24"/>
                <w:szCs w:val="24"/>
                <w:highlight w:val="none"/>
                <w:u w:val="single"/>
                <w:lang w:val="en-US" w:eastAsia="zh-CN"/>
              </w:rPr>
              <w:t>15</w:t>
            </w:r>
            <w:r>
              <w:rPr>
                <w:rFonts w:hint="default" w:ascii="宋体" w:hAnsi="宋体" w:eastAsia="宋体"/>
                <w:color w:val="auto"/>
                <w:sz w:val="24"/>
                <w:szCs w:val="24"/>
                <w:highlight w:val="none"/>
                <w:u w:val="single"/>
              </w:rPr>
              <w:t xml:space="preserve"> </w:t>
            </w:r>
            <w:r>
              <w:rPr>
                <w:rFonts w:hint="default" w:ascii="宋体" w:hAnsi="宋体" w:eastAsia="宋体"/>
                <w:color w:val="auto"/>
                <w:sz w:val="24"/>
                <w:szCs w:val="24"/>
                <w:highlight w:val="none"/>
              </w:rPr>
              <w:t>天前</w:t>
            </w:r>
            <w:r>
              <w:rPr>
                <w:rFonts w:hint="eastAsia" w:ascii="宋体" w:hAnsi="宋体"/>
                <w:color w:val="auto"/>
                <w:sz w:val="24"/>
                <w:szCs w:val="24"/>
                <w:highlight w:val="none"/>
                <w:lang w:eastAsia="zh-CN"/>
              </w:rPr>
              <w:t>。</w:t>
            </w:r>
          </w:p>
        </w:tc>
      </w:tr>
      <w:tr w14:paraId="677D4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E2C6CD">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3.1.1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BFAD0">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构成投标文件的其他资料</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736727">
            <w:pPr>
              <w:spacing w:line="360" w:lineRule="auto"/>
              <w:jc w:val="both"/>
              <w:rPr>
                <w:rFonts w:hint="default" w:ascii="宋体" w:hAnsi="宋体" w:eastAsia="宋体" w:cs="宋体"/>
                <w:b/>
                <w:color w:val="auto"/>
                <w:sz w:val="24"/>
                <w:szCs w:val="24"/>
                <w:highlight w:val="none"/>
              </w:rPr>
            </w:pPr>
            <w:r>
              <w:rPr>
                <w:rFonts w:hint="default" w:ascii="宋体" w:hAnsi="宋体" w:eastAsia="宋体" w:cs="宋体"/>
                <w:color w:val="auto"/>
                <w:spacing w:val="-1"/>
                <w:sz w:val="24"/>
                <w:szCs w:val="24"/>
                <w:highlight w:val="none"/>
                <w:lang w:val="en-US" w:eastAsia="zh-CN"/>
              </w:rPr>
              <w:t>满足本项目评审要求的其他资料。</w:t>
            </w:r>
          </w:p>
        </w:tc>
      </w:tr>
      <w:tr w14:paraId="07B2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1BD28B">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3.2.1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145924">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增值税税金的计算方法</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87F4F3">
            <w:pPr>
              <w:spacing w:line="360" w:lineRule="auto"/>
              <w:jc w:val="both"/>
              <w:rPr>
                <w:rFonts w:hint="default" w:ascii="宋体" w:hAnsi="宋体" w:eastAsia="宋体" w:cs="宋体"/>
                <w:b/>
                <w:color w:val="auto"/>
                <w:sz w:val="24"/>
                <w:szCs w:val="24"/>
                <w:highlight w:val="none"/>
              </w:rPr>
            </w:pPr>
            <w:r>
              <w:rPr>
                <w:rFonts w:hint="default" w:ascii="宋体" w:hAnsi="宋体" w:eastAsia="宋体" w:cs="宋体"/>
                <w:b w:val="0"/>
                <w:bCs/>
                <w:color w:val="auto"/>
                <w:sz w:val="24"/>
                <w:szCs w:val="24"/>
                <w:highlight w:val="none"/>
              </w:rPr>
              <w:t>一般计税方法。</w:t>
            </w:r>
          </w:p>
        </w:tc>
      </w:tr>
      <w:tr w14:paraId="5CA9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253C6A">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3.2.3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686B8C">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报价方式</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6289B1">
            <w:pPr>
              <w:spacing w:line="360" w:lineRule="auto"/>
              <w:jc w:val="both"/>
              <w:rPr>
                <w:rFonts w:hint="eastAsia" w:ascii="宋体" w:hAnsi="宋体" w:eastAsia="宋体" w:cs="宋体"/>
                <w:b/>
                <w:color w:val="auto"/>
                <w:sz w:val="24"/>
                <w:szCs w:val="24"/>
                <w:highlight w:val="none"/>
                <w:lang w:val="en-US" w:eastAsia="zh-CN"/>
              </w:rPr>
            </w:pPr>
            <w:r>
              <w:rPr>
                <w:rFonts w:hint="eastAsia" w:ascii="宋体" w:hAnsi="宋体" w:eastAsia="宋体" w:cs="宋体"/>
                <w:highlight w:val="none"/>
              </w:rPr>
              <w:t>本项目的服务费以最高投标限价为基础下浮后作为投标报价，投标人按本招标文件规定自行下浮进行报价，精确到小数位后2位，第三位四舍五入</w:t>
            </w:r>
          </w:p>
        </w:tc>
      </w:tr>
      <w:tr w14:paraId="68D5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A6F6CD">
            <w:pPr>
              <w:pStyle w:val="31"/>
              <w:kinsoku w:val="0"/>
              <w:overflowPunct w:val="0"/>
              <w:spacing w:line="360" w:lineRule="auto"/>
              <w:jc w:val="center"/>
              <w:rPr>
                <w:rFonts w:hint="default" w:ascii="宋体" w:hAnsi="宋体" w:eastAsia="宋体" w:cs="宋体"/>
                <w:b/>
                <w:color w:val="auto"/>
                <w:sz w:val="24"/>
                <w:szCs w:val="24"/>
                <w:highlight w:val="none"/>
              </w:rPr>
            </w:pPr>
            <w:r>
              <w:rPr>
                <w:rFonts w:hint="eastAsia" w:ascii="Times New Roman" w:hAnsi="Times New Roman" w:eastAsia="Times New Roman"/>
                <w:color w:val="auto"/>
                <w:sz w:val="24"/>
                <w:szCs w:val="24"/>
                <w:highlight w:val="none"/>
              </w:rPr>
              <w:t>3.2.4</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63013C">
            <w:pPr>
              <w:pStyle w:val="31"/>
              <w:kinsoku w:val="0"/>
              <w:overflowPunct w:val="0"/>
              <w:spacing w:line="360" w:lineRule="auto"/>
              <w:jc w:val="both"/>
              <w:rPr>
                <w:rFonts w:hint="default" w:ascii="宋体" w:hAnsi="宋体" w:eastAsia="宋体" w:cs="宋体"/>
                <w:b/>
                <w:color w:val="auto"/>
                <w:sz w:val="24"/>
                <w:szCs w:val="24"/>
                <w:highlight w:val="none"/>
              </w:rPr>
            </w:pPr>
            <w:r>
              <w:rPr>
                <w:rFonts w:hint="default" w:ascii="宋体" w:hAnsi="宋体" w:eastAsia="宋体"/>
                <w:color w:val="auto"/>
                <w:sz w:val="24"/>
                <w:szCs w:val="24"/>
                <w:highlight w:val="none"/>
              </w:rPr>
              <w:t>最高投标限价</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F33A7">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2" w:char="00A3"/>
            </w:r>
            <w:r>
              <w:rPr>
                <w:rFonts w:hint="default" w:ascii="宋体" w:hAnsi="宋体" w:eastAsia="宋体"/>
                <w:color w:val="auto"/>
                <w:sz w:val="24"/>
                <w:szCs w:val="24"/>
                <w:highlight w:val="none"/>
              </w:rPr>
              <w:t>无</w:t>
            </w:r>
          </w:p>
          <w:p w14:paraId="11B3A10B">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2" w:char="0052"/>
            </w:r>
            <w:r>
              <w:rPr>
                <w:rFonts w:hint="default" w:ascii="宋体" w:hAnsi="宋体" w:eastAsia="宋体"/>
                <w:color w:val="auto"/>
                <w:sz w:val="24"/>
                <w:szCs w:val="24"/>
                <w:highlight w:val="none"/>
              </w:rPr>
              <w:t>有，最高投标限价：详见</w:t>
            </w:r>
            <w:r>
              <w:rPr>
                <w:rFonts w:hint="eastAsia" w:ascii="宋体" w:hAnsi="宋体"/>
                <w:color w:val="auto"/>
                <w:sz w:val="24"/>
                <w:szCs w:val="24"/>
                <w:highlight w:val="none"/>
                <w:lang w:val="en-US" w:eastAsia="zh-CN"/>
              </w:rPr>
              <w:t>本项目</w:t>
            </w:r>
            <w:r>
              <w:rPr>
                <w:rFonts w:hint="default" w:ascii="宋体" w:hAnsi="宋体" w:eastAsia="宋体"/>
                <w:color w:val="auto"/>
                <w:sz w:val="24"/>
                <w:szCs w:val="24"/>
                <w:highlight w:val="none"/>
              </w:rPr>
              <w:t>招标公告。</w:t>
            </w:r>
          </w:p>
          <w:p w14:paraId="5B30B4F6">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b w:val="0"/>
                <w:bCs w:val="0"/>
                <w:color w:val="auto"/>
                <w:sz w:val="24"/>
                <w:szCs w:val="24"/>
                <w:highlight w:val="none"/>
              </w:rPr>
              <w:t>注：投标总报价不得超过最高投标限价。</w:t>
            </w:r>
          </w:p>
        </w:tc>
      </w:tr>
      <w:tr w14:paraId="77E2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3A3C6E">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3.2.5</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50C270">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投标报价的其他要求</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BD0D23">
            <w:pPr>
              <w:pStyle w:val="2"/>
              <w:keepNext w:val="0"/>
              <w:keepLines w:val="0"/>
              <w:pageBreakBefore w:val="0"/>
              <w:widowControl w:val="0"/>
              <w:kinsoku/>
              <w:wordWrap/>
              <w:overflowPunct/>
              <w:topLinePunct w:val="0"/>
              <w:autoSpaceDE w:val="0"/>
              <w:autoSpaceDN w:val="0"/>
              <w:bidi w:val="0"/>
              <w:adjustRightInd w:val="0"/>
              <w:spacing w:line="360" w:lineRule="auto"/>
              <w:ind w:left="0" w:firstLine="0" w:firstLineChars="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实际监理酬金及结算价以经有审核权限单位审定结算的建安工程费为计费基础，在国家发展改革委、建设部《建设工程监理与相关服务收费管理规定》（发改价格〔2007〕670号）所规定收费标准的基础上，先下浮</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%再</w:t>
            </w:r>
            <w:r>
              <w:rPr>
                <w:rFonts w:hint="eastAsia" w:ascii="宋体" w:hAnsi="宋体" w:eastAsia="宋体" w:cs="宋体"/>
                <w:color w:val="auto"/>
                <w:sz w:val="24"/>
                <w:szCs w:val="24"/>
                <w:highlight w:val="none"/>
                <w:u w:val="single"/>
                <w:lang w:val="en-US" w:eastAsia="zh-CN"/>
              </w:rPr>
              <w:t>适用</w:t>
            </w:r>
            <w:r>
              <w:rPr>
                <w:rFonts w:hint="eastAsia" w:ascii="宋体" w:hAnsi="宋体" w:eastAsia="宋体" w:cs="宋体"/>
                <w:color w:val="auto"/>
                <w:sz w:val="24"/>
                <w:szCs w:val="24"/>
                <w:highlight w:val="none"/>
                <w:u w:val="single"/>
              </w:rPr>
              <w:t>投标下浮率。即监理费=施工监理服务收费基价×专业调整系数×工程复杂程度调整系数（工程复杂程度表）×高程调整系数×（1-</w:t>
            </w:r>
            <w:r>
              <w:rPr>
                <w:rFonts w:hint="eastAsia" w:ascii="宋体" w:hAnsi="宋体" w:eastAsia="宋体" w:cs="宋体"/>
                <w:color w:val="auto"/>
                <w:sz w:val="24"/>
                <w:szCs w:val="24"/>
                <w:highlight w:val="none"/>
                <w:u w:val="single"/>
                <w:lang w:val="en-US" w:eastAsia="zh-CN"/>
              </w:rPr>
              <w:t>40</w:t>
            </w:r>
            <w:r>
              <w:rPr>
                <w:rFonts w:hint="eastAsia" w:ascii="宋体" w:hAnsi="宋体" w:eastAsia="宋体" w:cs="宋体"/>
                <w:color w:val="auto"/>
                <w:sz w:val="24"/>
                <w:szCs w:val="24"/>
                <w:highlight w:val="none"/>
                <w:u w:val="single"/>
              </w:rPr>
              <w:t>%）×（1-投标下浮率）。如合同履行过程中发生甩项，按施工合同清单甩项部分分部分项工程费用占总的分部分项工程费用的比例扣减服务费用。</w:t>
            </w:r>
            <w:r>
              <w:rPr>
                <w:rFonts w:hint="default" w:ascii="宋体" w:hAnsi="宋体" w:eastAsia="宋体" w:cs="宋体"/>
                <w:b w:val="0"/>
                <w:color w:val="auto"/>
                <w:sz w:val="24"/>
                <w:szCs w:val="24"/>
                <w:highlight w:val="none"/>
              </w:rPr>
              <w:t>所有子项目监理费结算价合计,不得超过大可研包内概算批复的监理费,如超，按监理收费基价</w:t>
            </w:r>
            <w:r>
              <w:rPr>
                <w:rFonts w:hint="default" w:ascii="宋体" w:hAnsi="宋体" w:eastAsia="宋体" w:cs="宋体"/>
                <w:b w:val="0"/>
                <w:color w:val="auto"/>
                <w:sz w:val="24"/>
                <w:szCs w:val="24"/>
                <w:highlight w:val="none"/>
                <w:u w:val="none"/>
              </w:rPr>
              <w:t>×</w:t>
            </w:r>
            <w:r>
              <w:rPr>
                <w:rFonts w:hint="default" w:ascii="宋体" w:hAnsi="宋体" w:eastAsia="宋体" w:cs="宋体"/>
                <w:b w:val="0"/>
                <w:color w:val="auto"/>
                <w:sz w:val="24"/>
                <w:szCs w:val="24"/>
                <w:highlight w:val="none"/>
              </w:rPr>
              <w:t>专业系数</w:t>
            </w:r>
            <w:r>
              <w:rPr>
                <w:rFonts w:hint="default" w:ascii="宋体" w:hAnsi="宋体" w:eastAsia="宋体" w:cs="宋体"/>
                <w:b w:val="0"/>
                <w:color w:val="auto"/>
                <w:sz w:val="24"/>
                <w:szCs w:val="24"/>
                <w:highlight w:val="none"/>
                <w:u w:val="none"/>
              </w:rPr>
              <w:t>×</w:t>
            </w:r>
            <w:r>
              <w:rPr>
                <w:rFonts w:hint="default" w:ascii="宋体" w:hAnsi="宋体" w:eastAsia="宋体" w:cs="宋体"/>
                <w:b w:val="0"/>
                <w:color w:val="auto"/>
                <w:sz w:val="24"/>
                <w:szCs w:val="24"/>
                <w:highlight w:val="none"/>
              </w:rPr>
              <w:t>子项目结算</w:t>
            </w:r>
            <w:r>
              <w:rPr>
                <w:rFonts w:hint="default" w:ascii="宋体" w:hAnsi="宋体" w:eastAsia="宋体" w:cs="宋体"/>
                <w:b w:val="0"/>
                <w:color w:val="auto"/>
                <w:sz w:val="24"/>
                <w:szCs w:val="24"/>
                <w:highlight w:val="none"/>
                <w:lang w:val="en-US" w:eastAsia="zh-CN"/>
              </w:rPr>
              <w:t>÷</w:t>
            </w:r>
            <w:r>
              <w:rPr>
                <w:rFonts w:hint="default" w:ascii="宋体" w:hAnsi="宋体" w:eastAsia="宋体" w:cs="宋体"/>
                <w:b w:val="0"/>
                <w:color w:val="auto"/>
                <w:sz w:val="24"/>
                <w:szCs w:val="24"/>
                <w:highlight w:val="none"/>
              </w:rPr>
              <w:t>大可研包结算总额进行摊分,最终监理费结算价以有审核权限单位意见为准。</w:t>
            </w:r>
          </w:p>
          <w:p w14:paraId="6EA61050">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0" w:firstLineChars="0"/>
              <w:textAlignment w:val="auto"/>
              <w:rPr>
                <w:rFonts w:hint="eastAsia" w:ascii="Times New Roman" w:hAnsi="Times New Roman" w:eastAsia="宋体"/>
                <w:color w:val="auto"/>
                <w:sz w:val="24"/>
                <w:szCs w:val="24"/>
                <w:highlight w:val="none"/>
                <w:lang w:val="en-US" w:eastAsia="zh-CN"/>
              </w:rPr>
            </w:pPr>
            <w:r>
              <w:rPr>
                <w:rFonts w:hint="eastAsia" w:ascii="宋体" w:hAnsi="宋体" w:eastAsia="宋体" w:cs="宋体"/>
                <w:color w:val="auto"/>
                <w:sz w:val="24"/>
                <w:szCs w:val="24"/>
                <w:highlight w:val="none"/>
                <w:u w:val="single"/>
              </w:rPr>
              <w:t>本合同监理费投标下浮率包干，不因任何原因而作调整（除不可抗力外）。监理费结算价不得超过该工程有审核权限的部门审定概算中的监理费，且不得超过招标</w:t>
            </w:r>
            <w:r>
              <w:rPr>
                <w:rFonts w:hint="eastAsia" w:ascii="宋体" w:hAnsi="宋体" w:eastAsia="宋体" w:cs="宋体"/>
                <w:color w:val="auto"/>
                <w:sz w:val="24"/>
                <w:szCs w:val="24"/>
                <w:highlight w:val="none"/>
                <w:u w:val="single"/>
                <w:lang w:val="en-US" w:eastAsia="zh-CN"/>
              </w:rPr>
              <w:t>最高投标</w:t>
            </w:r>
            <w:r>
              <w:rPr>
                <w:rFonts w:hint="eastAsia" w:ascii="宋体" w:hAnsi="宋体" w:eastAsia="宋体" w:cs="宋体"/>
                <w:color w:val="auto"/>
                <w:sz w:val="24"/>
                <w:szCs w:val="24"/>
                <w:highlight w:val="none"/>
                <w:u w:val="single"/>
              </w:rPr>
              <w:t>限价，如超，则按审定概算中的监理费（按对应标段</w:t>
            </w:r>
            <w:r>
              <w:rPr>
                <w:rFonts w:hint="eastAsia" w:ascii="宋体" w:hAnsi="宋体" w:eastAsia="宋体" w:cs="宋体"/>
                <w:color w:val="auto"/>
                <w:sz w:val="24"/>
                <w:szCs w:val="24"/>
                <w:highlight w:val="none"/>
                <w:u w:val="single"/>
                <w:lang w:val="en-US" w:eastAsia="zh-CN"/>
              </w:rPr>
              <w:t>建安费</w:t>
            </w:r>
            <w:r>
              <w:rPr>
                <w:rFonts w:hint="eastAsia" w:ascii="宋体" w:hAnsi="宋体" w:eastAsia="宋体" w:cs="宋体"/>
                <w:color w:val="auto"/>
                <w:sz w:val="24"/>
                <w:szCs w:val="24"/>
                <w:highlight w:val="none"/>
                <w:u w:val="single"/>
              </w:rPr>
              <w:t>占比分摊）或招标最高投标限价（两者取价低者）结算，最终监理费结算价以有审核权的</w:t>
            </w:r>
            <w:r>
              <w:rPr>
                <w:rFonts w:hint="eastAsia" w:ascii="宋体" w:hAnsi="宋体" w:eastAsia="宋体" w:cs="宋体"/>
                <w:color w:val="auto"/>
                <w:sz w:val="24"/>
                <w:szCs w:val="24"/>
                <w:highlight w:val="none"/>
                <w:u w:val="single"/>
                <w:lang w:val="en-US" w:eastAsia="zh-CN"/>
              </w:rPr>
              <w:t>单位</w:t>
            </w:r>
            <w:r>
              <w:rPr>
                <w:rFonts w:hint="eastAsia" w:ascii="宋体" w:hAnsi="宋体" w:eastAsia="宋体" w:cs="宋体"/>
                <w:color w:val="auto"/>
                <w:sz w:val="24"/>
                <w:szCs w:val="24"/>
                <w:highlight w:val="none"/>
                <w:u w:val="single"/>
              </w:rPr>
              <w:t>审核意见为准</w:t>
            </w:r>
            <w:r>
              <w:rPr>
                <w:rFonts w:hint="eastAsia" w:ascii="宋体" w:hAnsi="宋体" w:cs="宋体"/>
                <w:color w:val="auto"/>
                <w:sz w:val="24"/>
                <w:szCs w:val="24"/>
                <w:highlight w:val="none"/>
              </w:rPr>
              <w:t>（如无需有审核权限单位的审核，以</w:t>
            </w:r>
            <w:r>
              <w:rPr>
                <w:rFonts w:hint="eastAsia" w:ascii="宋体" w:hAnsi="宋体" w:cs="宋体"/>
                <w:color w:val="auto"/>
                <w:sz w:val="24"/>
                <w:szCs w:val="24"/>
                <w:highlight w:val="none"/>
                <w:lang w:val="en-US" w:eastAsia="zh-CN"/>
              </w:rPr>
              <w:t>甲方</w:t>
            </w:r>
            <w:r>
              <w:rPr>
                <w:rFonts w:hint="eastAsia" w:ascii="宋体" w:hAnsi="宋体" w:cs="宋体"/>
                <w:color w:val="auto"/>
                <w:sz w:val="24"/>
                <w:szCs w:val="24"/>
                <w:highlight w:val="none"/>
              </w:rPr>
              <w:t>审核为准）</w:t>
            </w:r>
            <w:r>
              <w:rPr>
                <w:rFonts w:hint="eastAsia" w:ascii="宋体" w:hAnsi="宋体" w:eastAsia="宋体" w:cs="宋体"/>
                <w:color w:val="auto"/>
                <w:sz w:val="24"/>
                <w:szCs w:val="24"/>
                <w:highlight w:val="none"/>
                <w:u w:val="single"/>
              </w:rPr>
              <w:t>。</w:t>
            </w:r>
          </w:p>
        </w:tc>
      </w:tr>
      <w:tr w14:paraId="112D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F3531D">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3.3.1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499FC0">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投标有效期</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E6355B">
            <w:pPr>
              <w:spacing w:line="360" w:lineRule="auto"/>
              <w:jc w:val="both"/>
              <w:rPr>
                <w:rFonts w:hint="eastAsia" w:ascii="Times New Roman" w:hAnsi="Times New Roman" w:eastAsia="Times New Roman"/>
                <w:color w:val="auto"/>
                <w:sz w:val="24"/>
                <w:szCs w:val="24"/>
                <w:highlight w:val="none"/>
              </w:rPr>
            </w:pPr>
            <w:r>
              <w:rPr>
                <w:rFonts w:hint="eastAsia"/>
                <w:color w:val="auto"/>
                <w:sz w:val="24"/>
                <w:szCs w:val="24"/>
                <w:highlight w:val="none"/>
                <w:u w:val="none"/>
                <w:lang w:val="en-US" w:eastAsia="zh-CN"/>
              </w:rPr>
              <w:t>90</w:t>
            </w:r>
            <w:r>
              <w:rPr>
                <w:rFonts w:hint="default" w:ascii="宋体" w:hAnsi="Times New Roman" w:eastAsia="宋体"/>
                <w:color w:val="auto"/>
                <w:sz w:val="24"/>
                <w:szCs w:val="24"/>
                <w:highlight w:val="none"/>
                <w:u w:val="none"/>
              </w:rPr>
              <w:t>日历天（从投标截止之日计起。如出现异议或投诉，则投标有效期自动延长至异议或投诉处理结束）</w:t>
            </w:r>
          </w:p>
        </w:tc>
      </w:tr>
      <w:tr w14:paraId="1FEB1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0C0BCF">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3.4.1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3E2076">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投标保证金</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2E3939">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14:paraId="6A16E1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要求，</w:t>
            </w:r>
          </w:p>
          <w:p w14:paraId="78D6AAC6">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投标保证金的形式：可采用现金、支票、投标保函、投标保证保险的形式，须在递交投标文件截止时间前完成缴纳。</w:t>
            </w:r>
          </w:p>
          <w:p w14:paraId="05F611D7">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投标保证金的金额：</w:t>
            </w:r>
            <w:bookmarkStart w:id="198" w:name="_GoBack"/>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lang w:val="en-US" w:eastAsia="zh-CN"/>
              </w:rPr>
              <w:t xml:space="preserve"> 6 </w:t>
            </w:r>
            <w:r>
              <w:rPr>
                <w:rFonts w:hint="eastAsia" w:ascii="宋体" w:hAnsi="宋体" w:eastAsia="宋体" w:cs="宋体"/>
                <w:color w:val="auto"/>
                <w:sz w:val="24"/>
                <w:szCs w:val="24"/>
                <w:highlight w:val="none"/>
              </w:rPr>
              <w:t>万元。</w:t>
            </w:r>
          </w:p>
          <w:bookmarkEnd w:id="198"/>
          <w:p w14:paraId="1469BE9C">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投标保证金有效期：与投标有效期一致。</w:t>
            </w:r>
          </w:p>
          <w:p w14:paraId="444BF08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14:paraId="6A85EF7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投标人需在交易系统中将汇入投标保证金与投标项目进行绑定，绑定成功后才能被认定为完成缴交投标保证金义务。</w:t>
            </w:r>
          </w:p>
          <w:p w14:paraId="6963CFA1">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收款单位：广州</w:t>
            </w:r>
            <w:r>
              <w:rPr>
                <w:rFonts w:hint="eastAsia" w:ascii="宋体" w:hAnsi="宋体" w:eastAsia="宋体" w:cs="宋体"/>
                <w:color w:val="auto"/>
                <w:sz w:val="24"/>
                <w:szCs w:val="24"/>
                <w:highlight w:val="none"/>
                <w:lang w:val="en-US" w:eastAsia="zh-CN"/>
              </w:rPr>
              <w:t>交易集团有限公司</w:t>
            </w:r>
            <w:r>
              <w:rPr>
                <w:rFonts w:hint="eastAsia" w:ascii="宋体" w:hAnsi="宋体" w:eastAsia="宋体" w:cs="宋体"/>
                <w:color w:val="auto"/>
                <w:sz w:val="24"/>
                <w:szCs w:val="24"/>
                <w:highlight w:val="none"/>
              </w:rPr>
              <w:t>，开户银行：</w:t>
            </w:r>
            <w:r>
              <w:rPr>
                <w:rFonts w:hint="eastAsia" w:ascii="宋体" w:hAnsi="宋体" w:cs="宋体"/>
                <w:color w:val="auto"/>
                <w:sz w:val="24"/>
                <w:szCs w:val="24"/>
                <w:highlight w:val="none"/>
                <w:lang w:eastAsia="zh-CN"/>
              </w:rPr>
              <w:t>中国工商银行广州太阳广场支行</w:t>
            </w:r>
            <w:r>
              <w:rPr>
                <w:rFonts w:hint="eastAsia" w:ascii="宋体" w:hAnsi="宋体" w:eastAsia="宋体" w:cs="宋体"/>
                <w:color w:val="auto"/>
                <w:sz w:val="24"/>
                <w:szCs w:val="24"/>
                <w:highlight w:val="none"/>
              </w:rPr>
              <w:t>，银行账号：</w:t>
            </w:r>
            <w:r>
              <w:rPr>
                <w:rFonts w:hint="eastAsia" w:ascii="宋体" w:hAnsi="宋体" w:cs="宋体"/>
                <w:color w:val="auto"/>
                <w:sz w:val="24"/>
                <w:szCs w:val="24"/>
                <w:highlight w:val="none"/>
                <w:lang w:eastAsia="zh-CN"/>
              </w:rPr>
              <w:t>3602085719205864674</w:t>
            </w:r>
            <w:r>
              <w:rPr>
                <w:rFonts w:hint="eastAsia" w:ascii="宋体" w:hAnsi="宋体" w:eastAsia="宋体" w:cs="宋体"/>
                <w:color w:val="auto"/>
                <w:sz w:val="24"/>
                <w:szCs w:val="24"/>
                <w:highlight w:val="none"/>
              </w:rPr>
              <w:t xml:space="preserve">； </w:t>
            </w:r>
          </w:p>
          <w:p w14:paraId="5DAEAEC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用投标保函或投标保证保险的形式提交的，须在递交投标文件截止时间前15分钟至投标文件截止时间前单独密封递交至开标室（因疫情影响，投标截止时间前不能提交原件的，可在中标候选人公示前提交招标人或招标代理，否则取消中标候选人资格，投标人需在投标文件中提交电子扫描件）。</w:t>
            </w:r>
          </w:p>
          <w:p w14:paraId="65A8B63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3、如采用电子保函方式提交投标保证金，详见广州公共资源交易中心操作指引。</w:t>
            </w:r>
          </w:p>
          <w:p w14:paraId="3B8E5563">
            <w:pPr>
              <w:keepNext w:val="0"/>
              <w:keepLines w:val="0"/>
              <w:pageBreakBefore w:val="0"/>
              <w:widowControl w:val="0"/>
              <w:kinsoku/>
              <w:wordWrap/>
              <w:overflowPunct/>
              <w:topLinePunct w:val="0"/>
              <w:autoSpaceDE/>
              <w:autoSpaceDN/>
              <w:bidi w:val="0"/>
              <w:spacing w:line="240" w:lineRule="auto"/>
              <w:textAlignment w:val="auto"/>
              <w:rPr>
                <w:rFonts w:hint="eastAsia" w:ascii="Times New Roman" w:hAnsi="Times New Roman" w:eastAsia="Times New Roman"/>
                <w:color w:val="auto"/>
                <w:sz w:val="24"/>
                <w:szCs w:val="24"/>
                <w:highlight w:val="none"/>
              </w:rPr>
            </w:pPr>
            <w:r>
              <w:rPr>
                <w:rFonts w:hint="eastAsia" w:ascii="宋体" w:hAnsi="宋体" w:eastAsia="宋体" w:cs="宋体"/>
                <w:color w:val="auto"/>
                <w:sz w:val="24"/>
                <w:szCs w:val="24"/>
                <w:highlight w:val="none"/>
              </w:rPr>
              <w:t>□不要求</w:t>
            </w:r>
          </w:p>
        </w:tc>
      </w:tr>
      <w:tr w14:paraId="6838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1BB9FA">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3.5</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4CA1AA">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s="Times New Roman"/>
                <w:color w:val="auto"/>
                <w:sz w:val="24"/>
                <w:szCs w:val="24"/>
                <w:highlight w:val="none"/>
              </w:rPr>
              <w:t>资格审查资料的特殊要求</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F79735">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2" w:char="0052"/>
            </w:r>
            <w:r>
              <w:rPr>
                <w:rFonts w:hint="default" w:ascii="宋体" w:hAnsi="宋体" w:eastAsia="宋体"/>
                <w:color w:val="auto"/>
                <w:sz w:val="24"/>
                <w:szCs w:val="24"/>
                <w:highlight w:val="none"/>
              </w:rPr>
              <w:t>无</w:t>
            </w:r>
          </w:p>
          <w:p w14:paraId="66173B46">
            <w:pPr>
              <w:pStyle w:val="31"/>
              <w:kinsoku w:val="0"/>
              <w:overflowPunct w:val="0"/>
              <w:spacing w:line="360" w:lineRule="auto"/>
              <w:jc w:val="both"/>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sym w:font="Wingdings 2" w:char="00A3"/>
            </w:r>
            <w:r>
              <w:rPr>
                <w:rFonts w:hint="default" w:ascii="宋体" w:hAnsi="宋体" w:eastAsia="宋体"/>
                <w:color w:val="auto"/>
                <w:sz w:val="24"/>
                <w:szCs w:val="24"/>
                <w:highlight w:val="none"/>
              </w:rPr>
              <w:t>有，具体要求：</w:t>
            </w:r>
          </w:p>
        </w:tc>
      </w:tr>
      <w:tr w14:paraId="60F6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28BF7">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3.6.1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E1063A">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是否允许递交备选投标方案</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EE286D">
            <w:pPr>
              <w:pStyle w:val="31"/>
              <w:kinsoku w:val="0"/>
              <w:overflowPunct w:val="0"/>
              <w:spacing w:line="360" w:lineRule="auto"/>
              <w:jc w:val="both"/>
              <w:rPr>
                <w:rFonts w:hint="default" w:ascii="宋体" w:hAnsi="宋体" w:eastAsia="宋体"/>
                <w:color w:val="auto"/>
                <w:sz w:val="24"/>
                <w:szCs w:val="24"/>
                <w:highlight w:val="none"/>
              </w:rPr>
            </w:pPr>
            <w:r>
              <w:rPr>
                <w:rFonts w:hint="eastAsia" w:ascii="Times New Roman" w:hAnsi="Times New Roman" w:eastAsia="Times New Roman"/>
                <w:color w:val="auto"/>
                <w:sz w:val="24"/>
                <w:szCs w:val="24"/>
                <w:highlight w:val="none"/>
              </w:rPr>
              <w:sym w:font="Wingdings 2" w:char="0052"/>
            </w:r>
            <w:r>
              <w:rPr>
                <w:rFonts w:hint="default" w:ascii="宋体" w:hAnsi="宋体" w:eastAsia="宋体"/>
                <w:color w:val="auto"/>
                <w:sz w:val="24"/>
                <w:szCs w:val="24"/>
                <w:highlight w:val="none"/>
              </w:rPr>
              <w:t>不允许</w:t>
            </w:r>
          </w:p>
          <w:p w14:paraId="7ACD982C">
            <w:pPr>
              <w:pStyle w:val="31"/>
              <w:kinsoku w:val="0"/>
              <w:overflowPunct w:val="0"/>
              <w:spacing w:line="360" w:lineRule="auto"/>
              <w:jc w:val="both"/>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sym w:font="Wingdings 2" w:char="00A3"/>
            </w:r>
            <w:r>
              <w:rPr>
                <w:rFonts w:hint="default" w:ascii="宋体" w:hAnsi="宋体" w:eastAsia="宋体"/>
                <w:color w:val="auto"/>
                <w:sz w:val="24"/>
                <w:szCs w:val="24"/>
                <w:highlight w:val="none"/>
              </w:rPr>
              <w:t>允许</w:t>
            </w:r>
          </w:p>
        </w:tc>
      </w:tr>
      <w:tr w14:paraId="04EC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9D94CC">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3.7.3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F0DD58">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投标文件签字或盖章要求</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7DBB24">
            <w:pPr>
              <w:spacing w:line="360" w:lineRule="auto"/>
              <w:jc w:val="both"/>
              <w:rPr>
                <w:rFonts w:hint="eastAsia" w:ascii="Times New Roman" w:hAnsi="Times New Roman" w:eastAsia="宋体"/>
                <w:color w:val="auto"/>
                <w:sz w:val="24"/>
                <w:szCs w:val="24"/>
                <w:highlight w:val="none"/>
                <w:lang w:eastAsia="zh-CN"/>
              </w:rPr>
            </w:pPr>
            <w:r>
              <w:rPr>
                <w:rFonts w:hint="default" w:ascii="宋体" w:hAnsi="宋体" w:eastAsia="宋体"/>
                <w:color w:val="auto"/>
                <w:sz w:val="24"/>
                <w:szCs w:val="24"/>
                <w:highlight w:val="none"/>
              </w:rPr>
              <w:t>投标文件格式规定需个人签字的，应签字或签章后扫描上传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ascii="宋体" w:hAnsi="宋体" w:eastAsia="宋体"/>
                <w:color w:val="auto"/>
                <w:sz w:val="24"/>
                <w:szCs w:val="24"/>
                <w:highlight w:val="none"/>
              </w:rPr>
              <w:t>。投标文件格式规定盖单位公章的页面必须盖单位公章（公章与电子公章具有相同法律效力）</w:t>
            </w:r>
            <w:r>
              <w:rPr>
                <w:rFonts w:hint="eastAsia" w:ascii="宋体" w:hAnsi="宋体"/>
                <w:color w:val="auto"/>
                <w:sz w:val="24"/>
                <w:szCs w:val="24"/>
                <w:highlight w:val="none"/>
                <w:lang w:eastAsia="zh-CN"/>
              </w:rPr>
              <w:t>。</w:t>
            </w:r>
          </w:p>
        </w:tc>
      </w:tr>
      <w:tr w14:paraId="3472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D940CF9">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4.2.1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08188">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投标截止时间</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0C8407">
            <w:pPr>
              <w:spacing w:before="62" w:beforeLines="20" w:after="62" w:afterLines="20" w:line="360" w:lineRule="auto"/>
              <w:ind w:left="48" w:leftChars="20" w:right="48" w:rightChars="20"/>
              <w:rPr>
                <w:rFonts w:hint="eastAsia" w:ascii="Times New Roman" w:hAnsi="Times New Roman" w:eastAsia="Times New Roman"/>
                <w:color w:val="auto"/>
                <w:sz w:val="24"/>
                <w:szCs w:val="24"/>
                <w:highlight w:val="none"/>
              </w:rPr>
            </w:pPr>
            <w:r>
              <w:rPr>
                <w:rFonts w:hint="default" w:ascii="宋体" w:hAnsi="Times New Roman" w:eastAsia="宋体"/>
                <w:color w:val="auto"/>
                <w:sz w:val="24"/>
                <w:szCs w:val="24"/>
                <w:highlight w:val="none"/>
                <w:lang w:eastAsia="zh-CN"/>
              </w:rPr>
              <w:t>投标截止时间：</w:t>
            </w:r>
            <w:r>
              <w:rPr>
                <w:rFonts w:hint="default" w:ascii="宋体" w:hAnsi="Times New Roman" w:eastAsia="宋体"/>
                <w:color w:val="auto"/>
                <w:sz w:val="24"/>
                <w:szCs w:val="24"/>
                <w:highlight w:val="none"/>
                <w:u w:val="none"/>
                <w:lang w:eastAsia="zh-CN"/>
              </w:rPr>
              <w:t>以广州交易集团有限公司（广州公共资源交易中心）网站公布的</w:t>
            </w:r>
            <w:r>
              <w:rPr>
                <w:rFonts w:hint="eastAsia" w:ascii="宋体"/>
                <w:color w:val="auto"/>
                <w:sz w:val="24"/>
                <w:szCs w:val="24"/>
                <w:highlight w:val="none"/>
                <w:u w:val="none"/>
                <w:lang w:val="en-US" w:eastAsia="zh-CN"/>
              </w:rPr>
              <w:t>时间</w:t>
            </w:r>
            <w:r>
              <w:rPr>
                <w:rFonts w:hint="default" w:ascii="宋体" w:hAnsi="Times New Roman" w:eastAsia="宋体"/>
                <w:color w:val="auto"/>
                <w:sz w:val="24"/>
                <w:szCs w:val="24"/>
                <w:highlight w:val="none"/>
                <w:u w:val="none"/>
                <w:lang w:eastAsia="zh-CN"/>
              </w:rPr>
              <w:t>为准</w:t>
            </w:r>
            <w:r>
              <w:rPr>
                <w:rFonts w:hint="eastAsia" w:ascii="宋体"/>
                <w:color w:val="auto"/>
                <w:sz w:val="24"/>
                <w:szCs w:val="24"/>
                <w:highlight w:val="none"/>
                <w:u w:val="none"/>
                <w:lang w:eastAsia="zh-CN"/>
              </w:rPr>
              <w:t>。</w:t>
            </w:r>
          </w:p>
        </w:tc>
      </w:tr>
      <w:tr w14:paraId="57DF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DAF908">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5.1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79FDFD">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开标时间和地点</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CD489">
            <w:pPr>
              <w:spacing w:before="0" w:beforeLines="0" w:line="360" w:lineRule="auto"/>
              <w:rPr>
                <w:rFonts w:hint="default"/>
                <w:color w:val="auto"/>
                <w:sz w:val="24"/>
                <w:szCs w:val="24"/>
                <w:highlight w:val="none"/>
              </w:rPr>
            </w:pPr>
            <w:r>
              <w:rPr>
                <w:rFonts w:hint="default" w:ascii="宋体" w:hAnsi="宋体" w:eastAsia="宋体" w:cs="宋体"/>
                <w:color w:val="auto"/>
                <w:sz w:val="24"/>
                <w:szCs w:val="24"/>
                <w:highlight w:val="none"/>
                <w:lang w:val="en-US" w:eastAsia="zh-CN"/>
              </w:rPr>
              <w:t>1、</w:t>
            </w:r>
            <w:r>
              <w:rPr>
                <w:rFonts w:hint="default" w:ascii="宋体" w:hAnsi="Times New Roman" w:eastAsia="宋体"/>
                <w:color w:val="auto"/>
                <w:sz w:val="24"/>
                <w:szCs w:val="24"/>
                <w:highlight w:val="none"/>
              </w:rPr>
              <w:t>开标时间</w:t>
            </w:r>
            <w:r>
              <w:rPr>
                <w:rFonts w:hint="default" w:ascii="宋体" w:hAnsi="Times New Roman" w:eastAsia="宋体" w:cs="Times New Roman"/>
                <w:color w:val="auto"/>
                <w:sz w:val="24"/>
                <w:szCs w:val="24"/>
                <w:highlight w:val="none"/>
              </w:rPr>
              <w:t>：</w:t>
            </w:r>
            <w:r>
              <w:rPr>
                <w:rFonts w:hint="default" w:ascii="宋体" w:hAnsi="Times New Roman" w:eastAsia="宋体" w:cs="Times New Roman"/>
                <w:color w:val="auto"/>
                <w:sz w:val="24"/>
                <w:szCs w:val="24"/>
                <w:highlight w:val="none"/>
                <w:u w:val="none"/>
              </w:rPr>
              <w:t>同投标截止时间</w:t>
            </w:r>
          </w:p>
          <w:p w14:paraId="461E8A6F">
            <w:pPr>
              <w:spacing w:before="0" w:beforeLines="0" w:line="360" w:lineRule="auto"/>
              <w:rPr>
                <w:rFonts w:hint="default" w:ascii="宋体" w:hAnsi="宋体" w:eastAsia="宋体" w:cs="宋体"/>
                <w:color w:val="auto"/>
                <w:sz w:val="24"/>
                <w:szCs w:val="24"/>
                <w:highlight w:val="none"/>
                <w:u w:val="none"/>
                <w:lang w:eastAsia="zh-CN"/>
              </w:rPr>
            </w:pPr>
            <w:r>
              <w:rPr>
                <w:rFonts w:hint="default"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eastAsia="zh-CN"/>
              </w:rPr>
              <w:t>开标</w:t>
            </w:r>
            <w:r>
              <w:rPr>
                <w:rFonts w:hint="default" w:ascii="宋体" w:hAnsi="宋体" w:eastAsia="宋体" w:cs="宋体"/>
                <w:color w:val="auto"/>
                <w:sz w:val="24"/>
                <w:szCs w:val="24"/>
                <w:highlight w:val="none"/>
              </w:rPr>
              <w:t>地点：</w:t>
            </w:r>
            <w:r>
              <w:rPr>
                <w:rFonts w:hint="default" w:ascii="宋体" w:hAnsi="宋体" w:eastAsia="宋体" w:cs="宋体"/>
                <w:color w:val="auto"/>
                <w:sz w:val="24"/>
                <w:szCs w:val="24"/>
                <w:highlight w:val="none"/>
                <w:u w:val="none"/>
                <w:lang w:eastAsia="zh-CN"/>
              </w:rPr>
              <w:t>广州交易集团有限公司（广州公共资源交易中心）</w:t>
            </w:r>
            <w:r>
              <w:rPr>
                <w:rFonts w:hint="default" w:ascii="宋体" w:hAnsi="宋体" w:eastAsia="宋体" w:cs="宋体"/>
                <w:color w:val="auto"/>
                <w:sz w:val="24"/>
                <w:szCs w:val="24"/>
                <w:highlight w:val="none"/>
                <w:u w:val="none"/>
              </w:rPr>
              <w:t>南沙交易部（广州市南沙区环市大道中成汇街2号南沙城商务楼A栋2楼），具体详见本项目公告的日程安排）</w:t>
            </w:r>
            <w:r>
              <w:rPr>
                <w:rFonts w:hint="eastAsia" w:ascii="宋体" w:hAnsi="宋体" w:cs="宋体"/>
                <w:color w:val="auto"/>
                <w:sz w:val="24"/>
                <w:szCs w:val="24"/>
                <w:highlight w:val="none"/>
                <w:u w:val="none"/>
                <w:lang w:eastAsia="zh-CN"/>
              </w:rPr>
              <w:t>。</w:t>
            </w:r>
          </w:p>
          <w:p w14:paraId="1A8697EA">
            <w:pPr>
              <w:spacing w:before="120" w:beforeLines="50" w:line="360" w:lineRule="auto"/>
              <w:contextualSpacing/>
              <w:rPr>
                <w:rFonts w:hint="eastAsia"/>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color w:val="auto"/>
                <w:sz w:val="24"/>
                <w:szCs w:val="24"/>
                <w:highlight w:val="none"/>
              </w:rPr>
              <w:t>递交投标文件备用光盘时间：</w:t>
            </w:r>
            <w:r>
              <w:rPr>
                <w:rFonts w:hint="eastAsia"/>
                <w:color w:val="auto"/>
                <w:sz w:val="24"/>
                <w:szCs w:val="24"/>
                <w:highlight w:val="none"/>
                <w:u w:val="none"/>
              </w:rPr>
              <w:t>以广州交易集团有限公司（广州公共资源交易中心）网站公布的</w:t>
            </w:r>
            <w:r>
              <w:rPr>
                <w:rFonts w:hint="eastAsia"/>
                <w:color w:val="auto"/>
                <w:sz w:val="24"/>
                <w:szCs w:val="24"/>
                <w:highlight w:val="none"/>
                <w:u w:val="none"/>
                <w:lang w:val="en-US" w:eastAsia="zh-CN"/>
              </w:rPr>
              <w:t>时间</w:t>
            </w:r>
            <w:r>
              <w:rPr>
                <w:rFonts w:hint="eastAsia"/>
                <w:color w:val="auto"/>
                <w:sz w:val="24"/>
                <w:szCs w:val="24"/>
                <w:highlight w:val="none"/>
                <w:u w:val="none"/>
              </w:rPr>
              <w:t>为准</w:t>
            </w:r>
            <w:r>
              <w:rPr>
                <w:rFonts w:hint="eastAsia"/>
                <w:color w:val="auto"/>
                <w:sz w:val="24"/>
                <w:szCs w:val="24"/>
                <w:highlight w:val="none"/>
              </w:rPr>
              <w:t>；递交地点：</w:t>
            </w:r>
            <w:r>
              <w:rPr>
                <w:rFonts w:hint="eastAsia"/>
                <w:color w:val="auto"/>
                <w:sz w:val="24"/>
                <w:szCs w:val="24"/>
                <w:highlight w:val="none"/>
                <w:u w:val="none"/>
              </w:rPr>
              <w:t>以广州交易集团有限公司（广州公共资源交易中心）网站公布的</w:t>
            </w:r>
            <w:r>
              <w:rPr>
                <w:rFonts w:hint="eastAsia"/>
                <w:color w:val="auto"/>
                <w:sz w:val="24"/>
                <w:szCs w:val="24"/>
                <w:highlight w:val="none"/>
                <w:u w:val="none"/>
                <w:lang w:val="en-US" w:eastAsia="zh-CN"/>
              </w:rPr>
              <w:t>地点</w:t>
            </w:r>
            <w:r>
              <w:rPr>
                <w:rFonts w:hint="eastAsia"/>
                <w:color w:val="auto"/>
                <w:sz w:val="24"/>
                <w:szCs w:val="24"/>
                <w:highlight w:val="none"/>
                <w:u w:val="none"/>
              </w:rPr>
              <w:t>为准</w:t>
            </w:r>
            <w:r>
              <w:rPr>
                <w:rFonts w:hint="eastAsia"/>
                <w:color w:val="auto"/>
                <w:sz w:val="24"/>
                <w:szCs w:val="24"/>
                <w:highlight w:val="none"/>
              </w:rPr>
              <w:t>。</w:t>
            </w:r>
          </w:p>
          <w:p w14:paraId="290EE6EA">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、提交投标文件光盘备用</w:t>
            </w:r>
          </w:p>
          <w:p w14:paraId="1A072E52">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投标人可制作非加密的电子投标文件（PDF 格式）刻入光盘（1份），在投标须知前附表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5A2C5ADF">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、补救方案</w:t>
            </w:r>
          </w:p>
          <w:p w14:paraId="67B44092">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（1）投标文件解密失败的补救方案：</w:t>
            </w:r>
          </w:p>
          <w:p w14:paraId="1260CC40">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0FDFBAF">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（2）评标时突发情况的补救方案</w:t>
            </w:r>
          </w:p>
          <w:p w14:paraId="23C79DC8">
            <w:pPr>
              <w:spacing w:before="120" w:beforeLines="50" w:line="360" w:lineRule="auto"/>
              <w:contextualSpacing/>
              <w:rPr>
                <w:rFonts w:hint="eastAsia" w:ascii="宋体" w:hAnsi="宋体" w:cs="宋体"/>
                <w:color w:val="auto"/>
                <w:sz w:val="24"/>
                <w:szCs w:val="24"/>
                <w:highlight w:val="none"/>
              </w:rPr>
            </w:pPr>
            <w:r>
              <w:rPr>
                <w:rFonts w:hint="eastAsia" w:ascii="宋体" w:hAnsi="宋体" w:cs="宋体"/>
                <w:color w:val="auto"/>
                <w:sz w:val="24"/>
                <w:szCs w:val="24"/>
                <w:highlight w:val="none"/>
              </w:rPr>
              <w:t>若遇不可抗力发生（指网络瘫痪、服务器损坏、交易系统故障短期无法恢复等因素），由评标委员会开启投标人递交的全部投标文件光盘，并按光盘内容进行评审。</w:t>
            </w:r>
          </w:p>
          <w:p w14:paraId="3BD6F530">
            <w:pPr>
              <w:spacing w:before="0" w:beforeLines="0" w:line="360" w:lineRule="auto"/>
              <w:contextualSpacing/>
              <w:rPr>
                <w:rFonts w:hint="eastAsia" w:ascii="Calibri" w:hAnsi="Calibri" w:eastAsia="宋体" w:cs="Times New Roman"/>
                <w:bCs w:val="0"/>
                <w:color w:val="auto"/>
                <w:kern w:val="2"/>
                <w:sz w:val="24"/>
                <w:szCs w:val="24"/>
                <w:highlight w:val="none"/>
              </w:rPr>
            </w:pPr>
            <w:r>
              <w:rPr>
                <w:rFonts w:hint="eastAsia" w:ascii="宋体" w:hAnsi="宋体" w:cs="宋体"/>
                <w:color w:val="auto"/>
                <w:sz w:val="24"/>
                <w:szCs w:val="24"/>
                <w:highlight w:val="none"/>
              </w:rPr>
              <w:t>（3）除发生上述情况外，开标评标均以投标人通过交易平台网上递交的电子投标文件为准。</w:t>
            </w:r>
          </w:p>
          <w:p w14:paraId="1D99508D">
            <w:pPr>
              <w:spacing w:before="0" w:beforeLines="0" w:line="360" w:lineRule="auto"/>
              <w:contextualSpacing/>
              <w:rPr>
                <w:rFonts w:ascii="Times New Roman" w:hAnsi="Times New Roman"/>
                <w:color w:val="auto"/>
                <w:sz w:val="24"/>
                <w:szCs w:val="24"/>
                <w:highlight w:val="none"/>
              </w:rPr>
            </w:pPr>
            <w:r>
              <w:rPr>
                <w:rFonts w:hint="eastAsia" w:ascii="Calibri" w:hAnsi="Calibri" w:eastAsia="宋体" w:cs="Times New Roman"/>
                <w:bCs w:val="0"/>
                <w:color w:val="auto"/>
                <w:kern w:val="2"/>
                <w:sz w:val="24"/>
                <w:szCs w:val="24"/>
                <w:highlight w:val="none"/>
              </w:rPr>
              <w:t>开标时，投标人代表有权参加现场开标或</w:t>
            </w:r>
            <w:r>
              <w:rPr>
                <w:rFonts w:hint="eastAsia" w:ascii="Calibri" w:hAnsi="Calibri" w:eastAsia="宋体" w:cs="Times New Roman"/>
                <w:b w:val="0"/>
                <w:bCs w:val="0"/>
                <w:color w:val="auto"/>
                <w:kern w:val="2"/>
                <w:sz w:val="24"/>
                <w:szCs w:val="24"/>
                <w:highlight w:val="none"/>
              </w:rPr>
              <w:t>在线开标</w:t>
            </w:r>
            <w:r>
              <w:rPr>
                <w:rFonts w:hint="eastAsia" w:ascii="Calibri" w:hAnsi="Calibri" w:eastAsia="宋体" w:cs="Times New Roman"/>
                <w:bCs w:val="0"/>
                <w:color w:val="auto"/>
                <w:kern w:val="2"/>
                <w:sz w:val="24"/>
                <w:szCs w:val="24"/>
                <w:highlight w:val="none"/>
              </w:rPr>
              <w:t>，也可以自主决定不参加开标</w:t>
            </w:r>
            <w:r>
              <w:rPr>
                <w:rFonts w:hint="eastAsia" w:eastAsia="宋体" w:cs="Times New Roman"/>
                <w:bCs w:val="0"/>
                <w:color w:val="auto"/>
                <w:kern w:val="2"/>
                <w:sz w:val="24"/>
                <w:szCs w:val="24"/>
                <w:highlight w:val="none"/>
                <w:lang w:eastAsia="zh-CN"/>
              </w:rPr>
              <w:t>，</w:t>
            </w:r>
            <w:r>
              <w:rPr>
                <w:rFonts w:hint="eastAsia" w:eastAsia="宋体" w:cs="Times New Roman"/>
                <w:color w:val="auto"/>
                <w:sz w:val="24"/>
                <w:szCs w:val="24"/>
                <w:highlight w:val="none"/>
                <w:lang w:eastAsia="zh-CN"/>
              </w:rPr>
              <w:t>投标人选择参加在线开标的，具</w:t>
            </w:r>
            <w:r>
              <w:rPr>
                <w:rFonts w:hint="eastAsia"/>
                <w:color w:val="auto"/>
                <w:sz w:val="24"/>
                <w:szCs w:val="24"/>
                <w:highlight w:val="none"/>
                <w:lang w:eastAsia="zh-CN"/>
              </w:rPr>
              <w:t>体按照交易平台相关指南进行操作。</w:t>
            </w:r>
          </w:p>
          <w:p w14:paraId="1B1A2BDD">
            <w:pPr>
              <w:spacing w:before="0" w:beforeLines="0" w:line="360" w:lineRule="auto"/>
              <w:rPr>
                <w:rFonts w:hint="eastAsia" w:ascii="Times New Roman" w:hAnsi="Times New Roman" w:eastAsia="Times New Roman"/>
                <w:color w:val="auto"/>
                <w:sz w:val="24"/>
                <w:szCs w:val="24"/>
                <w:highlight w:val="none"/>
              </w:rPr>
            </w:pPr>
            <w:r>
              <w:rPr>
                <w:rFonts w:hint="eastAsia" w:ascii="宋体" w:hAnsi="宋体" w:cs="宋体"/>
                <w:color w:val="auto"/>
                <w:sz w:val="24"/>
                <w:szCs w:val="24"/>
                <w:highlight w:val="none"/>
                <w:lang w:val="en-US" w:eastAsia="zh-CN"/>
              </w:rPr>
              <w:t>6、</w:t>
            </w:r>
            <w:r>
              <w:rPr>
                <w:rFonts w:hint="eastAsia"/>
                <w:color w:val="auto"/>
                <w:sz w:val="24"/>
                <w:szCs w:val="24"/>
                <w:highlight w:val="none"/>
              </w:rPr>
              <w:t>上述时间及地点是否有改变，请密切留意</w:t>
            </w:r>
            <w:r>
              <w:rPr>
                <w:rFonts w:hint="eastAsia"/>
                <w:color w:val="auto"/>
                <w:sz w:val="24"/>
                <w:szCs w:val="24"/>
                <w:highlight w:val="none"/>
                <w:lang w:eastAsia="zh-CN"/>
              </w:rPr>
              <w:t>补充公告或</w:t>
            </w:r>
            <w:r>
              <w:rPr>
                <w:rFonts w:hint="eastAsia"/>
                <w:color w:val="auto"/>
                <w:sz w:val="24"/>
                <w:szCs w:val="24"/>
                <w:highlight w:val="none"/>
              </w:rPr>
              <w:t>招标答疑纪要的相关信息。</w:t>
            </w:r>
          </w:p>
        </w:tc>
      </w:tr>
      <w:tr w14:paraId="590A0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5D833C">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6.1.1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1536B5">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评标委员会的组建</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70687AB">
            <w:pPr>
              <w:pStyle w:val="31"/>
              <w:tabs>
                <w:tab w:val="left" w:pos="2309"/>
                <w:tab w:val="left" w:pos="3826"/>
              </w:tabs>
              <w:kinsoku w:val="0"/>
              <w:overflowPunct w:val="0"/>
              <w:spacing w:line="360" w:lineRule="auto"/>
              <w:jc w:val="both"/>
              <w:rPr>
                <w:rFonts w:hint="eastAsia" w:ascii="Times New Roman" w:hAnsi="Times New Roman" w:eastAsia="宋体"/>
                <w:color w:val="auto"/>
                <w:sz w:val="24"/>
                <w:szCs w:val="24"/>
                <w:highlight w:val="none"/>
                <w:lang w:eastAsia="zh-CN"/>
              </w:rPr>
            </w:pPr>
            <w:r>
              <w:rPr>
                <w:rFonts w:hint="eastAsia" w:ascii="Times New Roman" w:hAnsi="Times New Roman" w:eastAsia="Times New Roman"/>
                <w:color w:val="auto"/>
                <w:sz w:val="24"/>
                <w:szCs w:val="24"/>
                <w:highlight w:val="none"/>
              </w:rPr>
              <w:t>由招标人依法组建评标委员会</w:t>
            </w:r>
            <w:r>
              <w:rPr>
                <w:rFonts w:hint="eastAsia" w:eastAsia="宋体"/>
                <w:color w:val="auto"/>
                <w:sz w:val="24"/>
                <w:szCs w:val="24"/>
                <w:highlight w:val="none"/>
                <w:lang w:eastAsia="zh-CN"/>
              </w:rPr>
              <w:t>。</w:t>
            </w:r>
          </w:p>
        </w:tc>
      </w:tr>
      <w:tr w14:paraId="24717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011968">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6.3.2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9A9AE">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评标委员会推荐中标候选人的人数</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A36E3E">
            <w:pPr>
              <w:spacing w:line="360" w:lineRule="auto"/>
              <w:jc w:val="both"/>
              <w:rPr>
                <w:rFonts w:hint="eastAsia" w:ascii="Times New Roman" w:hAnsi="Times New Roman" w:eastAsia="Times New Roman"/>
                <w:color w:val="auto"/>
                <w:sz w:val="24"/>
                <w:szCs w:val="24"/>
                <w:highlight w:val="none"/>
                <w:lang w:val="en-US" w:eastAsia="zh-CN"/>
              </w:rPr>
            </w:pPr>
            <w:r>
              <w:rPr>
                <w:rFonts w:hint="eastAsia" w:ascii="Times New Roman" w:hAnsi="Times New Roman" w:eastAsia="Times New Roman"/>
                <w:color w:val="auto"/>
                <w:sz w:val="24"/>
                <w:szCs w:val="24"/>
                <w:highlight w:val="none"/>
                <w:lang w:val="en-US" w:eastAsia="zh-CN"/>
              </w:rPr>
              <w:t>推荐中标候选人的人数</w:t>
            </w:r>
            <w:r>
              <w:rPr>
                <w:rFonts w:hint="eastAsia" w:eastAsia="Times New Roman"/>
                <w:color w:val="auto"/>
                <w:sz w:val="24"/>
                <w:szCs w:val="24"/>
                <w:highlight w:val="none"/>
                <w:lang w:val="en-US" w:eastAsia="zh-CN"/>
              </w:rPr>
              <w:t>为</w:t>
            </w:r>
            <w:r>
              <w:rPr>
                <w:rFonts w:hint="eastAsia" w:ascii="宋体" w:hAnsi="宋体" w:eastAsia="宋体" w:cs="宋体"/>
                <w:color w:val="auto"/>
                <w:spacing w:val="-4"/>
                <w:sz w:val="24"/>
                <w:szCs w:val="24"/>
                <w:highlight w:val="none"/>
                <w:u w:val="none" w:color="auto"/>
                <w:lang w:val="en-US" w:eastAsia="zh-CN"/>
              </w:rPr>
              <w:t>3</w:t>
            </w:r>
            <w:r>
              <w:rPr>
                <w:rFonts w:hint="eastAsia" w:ascii="Times New Roman" w:hAnsi="Times New Roman" w:eastAsia="Times New Roman"/>
                <w:color w:val="auto"/>
                <w:sz w:val="24"/>
                <w:szCs w:val="24"/>
                <w:highlight w:val="none"/>
                <w:lang w:val="en-US" w:eastAsia="zh-CN"/>
              </w:rPr>
              <w:t>人。</w:t>
            </w:r>
          </w:p>
        </w:tc>
      </w:tr>
      <w:tr w14:paraId="1C460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72007E">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7.1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D9D5B0">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中标候选人公示媒介及期限</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702238">
            <w:pPr>
              <w:spacing w:before="0" w:line="360" w:lineRule="auto"/>
              <w:ind w:left="0"/>
              <w:rPr>
                <w:rFonts w:hint="default" w:ascii="宋体" w:hAnsi="宋体" w:eastAsia="宋体" w:cs="宋体"/>
                <w:color w:val="auto"/>
                <w:sz w:val="24"/>
                <w:szCs w:val="24"/>
                <w:highlight w:val="none"/>
                <w:u w:val="none" w:color="auto"/>
              </w:rPr>
            </w:pPr>
            <w:r>
              <w:rPr>
                <w:rFonts w:hint="default" w:ascii="宋体" w:hAnsi="宋体" w:eastAsia="宋体" w:cs="宋体"/>
                <w:color w:val="auto"/>
                <w:spacing w:val="-11"/>
                <w:sz w:val="24"/>
                <w:szCs w:val="24"/>
                <w:highlight w:val="none"/>
                <w:u w:val="single" w:color="auto"/>
              </w:rPr>
              <w:t>公</w:t>
            </w:r>
            <w:r>
              <w:rPr>
                <w:rFonts w:hint="default" w:ascii="宋体" w:hAnsi="宋体" w:eastAsia="宋体" w:cs="宋体"/>
                <w:color w:val="auto"/>
                <w:spacing w:val="-10"/>
                <w:sz w:val="24"/>
                <w:szCs w:val="24"/>
                <w:highlight w:val="none"/>
                <w:u w:val="single" w:color="auto"/>
              </w:rPr>
              <w:t>示媒介：</w:t>
            </w:r>
            <w:r>
              <w:rPr>
                <w:rFonts w:hint="eastAsia" w:ascii="宋体" w:hAnsi="宋体" w:cs="宋体"/>
                <w:color w:val="auto"/>
                <w:sz w:val="24"/>
                <w:szCs w:val="24"/>
                <w:highlight w:val="none"/>
                <w:u w:val="none" w:color="auto"/>
                <w:lang w:val="zh-CN"/>
              </w:rPr>
              <w:t>广州交易集团有限公司（广州公共资源交易中心）</w:t>
            </w:r>
            <w:r>
              <w:rPr>
                <w:rFonts w:hint="default" w:ascii="宋体" w:hAnsi="宋体" w:eastAsia="宋体" w:cs="宋体"/>
                <w:color w:val="auto"/>
                <w:sz w:val="24"/>
                <w:szCs w:val="24"/>
                <w:highlight w:val="none"/>
                <w:u w:val="none" w:color="auto"/>
                <w:lang w:val="zh-CN"/>
              </w:rPr>
              <w:t>网</w:t>
            </w:r>
            <w:r>
              <w:rPr>
                <w:rFonts w:hint="eastAsia" w:ascii="宋体" w:hAnsi="宋体" w:cs="宋体"/>
                <w:color w:val="auto"/>
                <w:sz w:val="24"/>
                <w:szCs w:val="24"/>
                <w:highlight w:val="none"/>
                <w:u w:val="none" w:color="auto"/>
                <w:lang w:val="en-US" w:eastAsia="zh-CN"/>
              </w:rPr>
              <w:t>、</w:t>
            </w:r>
            <w:r>
              <w:rPr>
                <w:rFonts w:hint="default" w:ascii="宋体" w:hAnsi="宋体" w:eastAsia="宋体" w:cs="宋体"/>
                <w:color w:val="auto"/>
                <w:sz w:val="24"/>
                <w:szCs w:val="24"/>
                <w:highlight w:val="none"/>
                <w:u w:val="none" w:color="auto"/>
                <w:lang w:val="zh-CN"/>
              </w:rPr>
              <w:t>广东省招标投标监管网</w:t>
            </w:r>
            <w:r>
              <w:rPr>
                <w:rFonts w:hint="eastAsia" w:ascii="宋体" w:hAnsi="宋体" w:cs="宋体"/>
                <w:color w:val="auto"/>
                <w:sz w:val="24"/>
                <w:szCs w:val="24"/>
                <w:highlight w:val="none"/>
                <w:u w:val="none" w:color="auto"/>
                <w:lang w:val="en-US" w:eastAsia="zh-CN"/>
              </w:rPr>
              <w:t>和</w:t>
            </w:r>
            <w:r>
              <w:rPr>
                <w:rFonts w:hint="default" w:ascii="宋体" w:hAnsi="宋体" w:eastAsia="宋体" w:cs="宋体"/>
                <w:color w:val="auto"/>
                <w:sz w:val="24"/>
                <w:szCs w:val="24"/>
                <w:highlight w:val="none"/>
                <w:u w:val="none" w:color="auto"/>
                <w:lang w:val="zh-CN"/>
              </w:rPr>
              <w:t>中国招标投标公共服务平台</w:t>
            </w:r>
          </w:p>
          <w:p w14:paraId="2661C9BF">
            <w:pPr>
              <w:pStyle w:val="31"/>
              <w:tabs>
                <w:tab w:val="left" w:pos="2100"/>
              </w:tabs>
              <w:kinsoku w:val="0"/>
              <w:overflowPunct w:val="0"/>
              <w:spacing w:line="360" w:lineRule="auto"/>
              <w:jc w:val="both"/>
              <w:rPr>
                <w:rFonts w:hint="eastAsia" w:ascii="Times New Roman" w:hAnsi="Times New Roman" w:eastAsia="Times New Roman"/>
                <w:color w:val="auto"/>
                <w:sz w:val="24"/>
                <w:szCs w:val="24"/>
                <w:highlight w:val="none"/>
                <w:u w:val="single" w:color="auto"/>
              </w:rPr>
            </w:pPr>
            <w:r>
              <w:rPr>
                <w:rFonts w:hint="default" w:ascii="宋体" w:hAnsi="宋体" w:eastAsia="宋体" w:cs="宋体"/>
                <w:color w:val="auto"/>
                <w:spacing w:val="-8"/>
                <w:sz w:val="24"/>
                <w:szCs w:val="24"/>
                <w:highlight w:val="none"/>
                <w:u w:val="none" w:color="auto"/>
              </w:rPr>
              <w:t>公示期</w:t>
            </w:r>
            <w:r>
              <w:rPr>
                <w:rFonts w:hint="default" w:ascii="宋体" w:hAnsi="宋体" w:eastAsia="宋体" w:cs="宋体"/>
                <w:color w:val="auto"/>
                <w:spacing w:val="-4"/>
                <w:sz w:val="24"/>
                <w:szCs w:val="24"/>
                <w:highlight w:val="none"/>
                <w:u w:val="none" w:color="auto"/>
              </w:rPr>
              <w:t>限：</w:t>
            </w:r>
            <w:r>
              <w:rPr>
                <w:rFonts w:hint="default" w:ascii="宋体" w:hAnsi="宋体" w:eastAsia="宋体" w:cs="宋体"/>
                <w:color w:val="auto"/>
                <w:spacing w:val="-4"/>
                <w:sz w:val="24"/>
                <w:szCs w:val="24"/>
                <w:highlight w:val="none"/>
                <w:u w:val="none" w:color="auto"/>
                <w:lang w:eastAsia="zh-CN"/>
              </w:rPr>
              <w:t>不少于</w:t>
            </w:r>
            <w:r>
              <w:rPr>
                <w:rFonts w:hint="default" w:ascii="宋体" w:hAnsi="宋体" w:eastAsia="宋体" w:cs="宋体"/>
                <w:color w:val="auto"/>
                <w:spacing w:val="-4"/>
                <w:sz w:val="24"/>
                <w:szCs w:val="24"/>
                <w:highlight w:val="none"/>
                <w:u w:val="none" w:color="auto"/>
                <w:lang w:val="en-US" w:eastAsia="zh-CN"/>
              </w:rPr>
              <w:t>3</w:t>
            </w:r>
            <w:r>
              <w:rPr>
                <w:rFonts w:hint="default" w:ascii="宋体" w:hAnsi="宋体" w:eastAsia="宋体" w:cs="宋体"/>
                <w:color w:val="auto"/>
                <w:spacing w:val="-4"/>
                <w:sz w:val="24"/>
                <w:szCs w:val="24"/>
                <w:highlight w:val="none"/>
                <w:u w:val="none" w:color="auto"/>
              </w:rPr>
              <w:t>日</w:t>
            </w:r>
            <w:r>
              <w:rPr>
                <w:rFonts w:hint="default" w:ascii="宋体" w:hAnsi="宋体" w:eastAsia="宋体" w:cs="宋体"/>
                <w:color w:val="auto"/>
                <w:spacing w:val="-5"/>
                <w:sz w:val="24"/>
                <w:szCs w:val="24"/>
                <w:highlight w:val="none"/>
                <w:u w:val="none" w:color="auto"/>
                <w:lang w:eastAsia="zh-CN"/>
              </w:rPr>
              <w:t>（</w:t>
            </w:r>
            <w:r>
              <w:rPr>
                <w:rFonts w:hint="default" w:ascii="宋体" w:hAnsi="宋体" w:eastAsia="宋体" w:cs="宋体"/>
                <w:color w:val="auto"/>
                <w:spacing w:val="-5"/>
                <w:sz w:val="24"/>
                <w:szCs w:val="24"/>
                <w:highlight w:val="none"/>
                <w:u w:val="none" w:color="auto"/>
              </w:rPr>
              <w:t>最后一天应为工作日</w:t>
            </w:r>
            <w:r>
              <w:rPr>
                <w:rFonts w:hint="default" w:ascii="宋体" w:hAnsi="宋体" w:eastAsia="宋体" w:cs="宋体"/>
                <w:color w:val="auto"/>
                <w:spacing w:val="-5"/>
                <w:sz w:val="24"/>
                <w:szCs w:val="24"/>
                <w:highlight w:val="none"/>
                <w:u w:val="none" w:color="auto"/>
                <w:lang w:eastAsia="zh-CN"/>
              </w:rPr>
              <w:t>）</w:t>
            </w:r>
          </w:p>
        </w:tc>
      </w:tr>
      <w:tr w14:paraId="08AB7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FD9F81">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7.4</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95E139">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是否授权评标委员会确定中标人</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2EA30B">
            <w:pPr>
              <w:pStyle w:val="31"/>
              <w:kinsoku w:val="0"/>
              <w:overflowPunct w:val="0"/>
              <w:spacing w:line="360" w:lineRule="auto"/>
              <w:jc w:val="both"/>
              <w:rPr>
                <w:rFonts w:hint="default" w:ascii="宋体" w:hAnsi="宋体" w:eastAsia="宋体"/>
                <w:color w:val="auto"/>
                <w:sz w:val="24"/>
                <w:szCs w:val="24"/>
                <w:highlight w:val="none"/>
                <w:u w:val="none" w:color="auto"/>
              </w:rPr>
            </w:pPr>
            <w:r>
              <w:rPr>
                <w:rFonts w:hint="eastAsia" w:ascii="Times New Roman" w:hAnsi="Times New Roman" w:eastAsia="Times New Roman"/>
                <w:color w:val="auto"/>
                <w:sz w:val="24"/>
                <w:szCs w:val="24"/>
                <w:highlight w:val="none"/>
                <w:u w:val="none" w:color="auto"/>
              </w:rPr>
              <w:sym w:font="Wingdings 2" w:char="00A3"/>
            </w:r>
            <w:r>
              <w:rPr>
                <w:rFonts w:hint="default" w:ascii="宋体" w:hAnsi="宋体" w:eastAsia="宋体"/>
                <w:color w:val="auto"/>
                <w:sz w:val="24"/>
                <w:szCs w:val="24"/>
                <w:highlight w:val="none"/>
                <w:u w:val="none" w:color="auto"/>
              </w:rPr>
              <w:t>是</w:t>
            </w:r>
          </w:p>
          <w:p w14:paraId="44BBBD57">
            <w:pPr>
              <w:pStyle w:val="31"/>
              <w:kinsoku w:val="0"/>
              <w:overflowPunct w:val="0"/>
              <w:spacing w:line="360" w:lineRule="auto"/>
              <w:jc w:val="both"/>
              <w:rPr>
                <w:rFonts w:hint="eastAsia" w:ascii="Times New Roman" w:hAnsi="Times New Roman" w:eastAsia="Times New Roman"/>
                <w:color w:val="auto"/>
                <w:sz w:val="24"/>
                <w:szCs w:val="24"/>
                <w:highlight w:val="none"/>
                <w:u w:val="single" w:color="auto"/>
              </w:rPr>
            </w:pPr>
            <w:r>
              <w:rPr>
                <w:rFonts w:hint="eastAsia" w:ascii="Times New Roman" w:hAnsi="Times New Roman" w:eastAsia="Times New Roman"/>
                <w:color w:val="auto"/>
                <w:sz w:val="24"/>
                <w:szCs w:val="24"/>
                <w:highlight w:val="none"/>
                <w:u w:val="none" w:color="auto"/>
              </w:rPr>
              <w:sym w:font="Wingdings 2" w:char="0052"/>
            </w:r>
            <w:r>
              <w:rPr>
                <w:rFonts w:hint="default" w:ascii="宋体" w:hAnsi="宋体" w:eastAsia="宋体"/>
                <w:color w:val="auto"/>
                <w:sz w:val="24"/>
                <w:szCs w:val="24"/>
                <w:highlight w:val="none"/>
                <w:u w:val="none" w:color="auto"/>
              </w:rPr>
              <w:t>否</w:t>
            </w:r>
          </w:p>
        </w:tc>
      </w:tr>
      <w:tr w14:paraId="5BAA9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582B63D">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7.6.1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0AF13CB">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履约保证金</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2998E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是否要求中标人提交履约保证金：</w:t>
            </w:r>
          </w:p>
          <w:p w14:paraId="5B07106B">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要求，履约保证金的形式：发包人认可的</w:t>
            </w:r>
            <w:r>
              <w:rPr>
                <w:rFonts w:hint="eastAsia" w:ascii="宋体" w:hAnsi="宋体" w:eastAsia="宋体" w:cs="宋体"/>
                <w:color w:val="auto"/>
                <w:sz w:val="24"/>
                <w:szCs w:val="24"/>
                <w:highlight w:val="none"/>
                <w:u w:val="single"/>
              </w:rPr>
              <w:t>履约担保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具体要求详见监理合同</w:t>
            </w:r>
            <w:r>
              <w:rPr>
                <w:rFonts w:hint="eastAsia" w:ascii="宋体" w:hAnsi="宋体" w:eastAsia="宋体" w:cs="宋体"/>
                <w:color w:val="auto"/>
                <w:sz w:val="24"/>
                <w:szCs w:val="24"/>
                <w:highlight w:val="none"/>
                <w:u w:val="single"/>
              </w:rPr>
              <w:t>。</w:t>
            </w:r>
          </w:p>
          <w:p w14:paraId="6BABF388">
            <w:pPr>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履约保证金的金额：</w:t>
            </w:r>
            <w:r>
              <w:rPr>
                <w:rFonts w:hint="eastAsia" w:ascii="宋体" w:hAnsi="宋体" w:eastAsia="宋体" w:cs="宋体"/>
                <w:color w:val="auto"/>
                <w:sz w:val="24"/>
                <w:szCs w:val="24"/>
                <w:highlight w:val="none"/>
                <w:u w:val="single"/>
              </w:rPr>
              <w:t>中标价款（人民币）</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single"/>
              </w:rPr>
              <w:t>%。</w:t>
            </w:r>
          </w:p>
          <w:p w14:paraId="548EF0D2">
            <w:pPr>
              <w:spacing w:line="360" w:lineRule="auto"/>
              <w:ind w:firstLine="960" w:firstLineChars="4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并增加7.6.3-7.6.6条内容。</w:t>
            </w:r>
          </w:p>
          <w:p w14:paraId="76655A77">
            <w:pPr>
              <w:pStyle w:val="31"/>
              <w:kinsoku w:val="0"/>
              <w:overflowPunct w:val="0"/>
              <w:spacing w:line="360" w:lineRule="auto"/>
              <w:ind w:firstLine="0" w:firstLineChars="0"/>
              <w:jc w:val="both"/>
              <w:rPr>
                <w:rFonts w:hint="eastAsia" w:ascii="宋体" w:hAnsi="宋体" w:eastAsia="宋体" w:cs="宋体"/>
                <w:color w:val="auto"/>
                <w:sz w:val="24"/>
                <w:szCs w:val="24"/>
                <w:highlight w:val="none"/>
                <w:u w:val="single" w:color="auto"/>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不要求</w:t>
            </w:r>
          </w:p>
        </w:tc>
      </w:tr>
      <w:tr w14:paraId="4C0C7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53D820">
            <w:pPr>
              <w:pStyle w:val="31"/>
              <w:kinsoku w:val="0"/>
              <w:overflowPunct w:val="0"/>
              <w:spacing w:line="360" w:lineRule="auto"/>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10</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F05E51">
            <w:pPr>
              <w:pStyle w:val="31"/>
              <w:kinsoku w:val="0"/>
              <w:overflowPunct w:val="0"/>
              <w:spacing w:line="360" w:lineRule="auto"/>
              <w:jc w:val="both"/>
              <w:rPr>
                <w:rFonts w:hint="default" w:ascii="宋体" w:hAnsi="宋体" w:eastAsia="宋体"/>
                <w:color w:val="auto"/>
                <w:sz w:val="24"/>
                <w:szCs w:val="24"/>
                <w:highlight w:val="none"/>
              </w:rPr>
            </w:pPr>
            <w:r>
              <w:rPr>
                <w:rFonts w:hint="default" w:ascii="宋体" w:hAnsi="宋体" w:eastAsia="宋体"/>
                <w:color w:val="auto"/>
                <w:sz w:val="24"/>
                <w:szCs w:val="24"/>
                <w:highlight w:val="none"/>
              </w:rPr>
              <w:t>需要补充的其他内容</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F0E4C">
            <w:pPr>
              <w:spacing w:line="360" w:lineRule="auto"/>
              <w:jc w:val="both"/>
              <w:rPr>
                <w:rFonts w:hint="eastAsia" w:ascii="Times New Roman" w:hAnsi="Times New Roman" w:eastAsia="宋体"/>
                <w:color w:val="auto"/>
                <w:sz w:val="24"/>
                <w:szCs w:val="24"/>
                <w:highlight w:val="none"/>
                <w:lang w:val="en-US" w:eastAsia="zh-CN"/>
              </w:rPr>
            </w:pPr>
            <w:r>
              <w:rPr>
                <w:rFonts w:hint="eastAsia" w:eastAsia="宋体"/>
                <w:color w:val="auto"/>
                <w:sz w:val="24"/>
                <w:szCs w:val="24"/>
                <w:highlight w:val="none"/>
                <w:lang w:val="en-US" w:eastAsia="zh-CN"/>
              </w:rPr>
              <w:t>/</w:t>
            </w:r>
          </w:p>
        </w:tc>
      </w:tr>
      <w:tr w14:paraId="58289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0AD174">
            <w:pPr>
              <w:pStyle w:val="31"/>
              <w:kinsoku w:val="0"/>
              <w:overflowPunct w:val="0"/>
              <w:spacing w:line="360" w:lineRule="auto"/>
              <w:jc w:val="center"/>
              <w:rPr>
                <w:rFonts w:hint="default"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10.</w:t>
            </w:r>
            <w:r>
              <w:rPr>
                <w:rFonts w:hint="eastAsia"/>
                <w:color w:val="auto"/>
                <w:sz w:val="24"/>
                <w:szCs w:val="24"/>
                <w:highlight w:val="none"/>
                <w:u w:val="none"/>
                <w:lang w:val="en-US" w:eastAsia="zh-CN"/>
              </w:rPr>
              <w:t>1</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37F64B">
            <w:pPr>
              <w:pStyle w:val="31"/>
              <w:kinsoku w:val="0"/>
              <w:overflowPunct w:val="0"/>
              <w:spacing w:line="360" w:lineRule="auto"/>
              <w:jc w:val="both"/>
              <w:rPr>
                <w:rFonts w:hint="default" w:ascii="宋体" w:hAnsi="宋体" w:eastAsia="宋体"/>
                <w:color w:val="auto"/>
                <w:sz w:val="24"/>
                <w:szCs w:val="24"/>
                <w:highlight w:val="none"/>
                <w:u w:val="none"/>
              </w:rPr>
            </w:pPr>
            <w:r>
              <w:rPr>
                <w:rFonts w:hint="default" w:ascii="宋体" w:hAnsi="宋体" w:eastAsia="宋体"/>
                <w:color w:val="auto"/>
                <w:sz w:val="24"/>
                <w:szCs w:val="24"/>
                <w:highlight w:val="none"/>
                <w:u w:val="none"/>
              </w:rPr>
              <w:t>交易服务费</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6896F4">
            <w:pPr>
              <w:spacing w:line="360" w:lineRule="auto"/>
              <w:jc w:val="both"/>
              <w:rPr>
                <w:rFonts w:hint="eastAsia"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中标人按广州交易集团有限公司的规定，向广州交易集团有限公司代缴交易服务费，其费用包含在中标人投标报价中，招标人不另行支付。</w:t>
            </w:r>
          </w:p>
        </w:tc>
      </w:tr>
      <w:tr w14:paraId="163B5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6FB925">
            <w:pPr>
              <w:pStyle w:val="31"/>
              <w:kinsoku w:val="0"/>
              <w:overflowPunct w:val="0"/>
              <w:spacing w:line="360" w:lineRule="auto"/>
              <w:jc w:val="center"/>
              <w:rPr>
                <w:rFonts w:hint="default"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10.</w:t>
            </w:r>
            <w:r>
              <w:rPr>
                <w:rFonts w:hint="eastAsia"/>
                <w:color w:val="auto"/>
                <w:sz w:val="24"/>
                <w:szCs w:val="24"/>
                <w:highlight w:val="none"/>
                <w:u w:val="none"/>
                <w:lang w:val="en-US" w:eastAsia="zh-CN"/>
              </w:rPr>
              <w:t>2</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19E11C">
            <w:pPr>
              <w:pStyle w:val="31"/>
              <w:kinsoku w:val="0"/>
              <w:overflowPunct w:val="0"/>
              <w:spacing w:line="360" w:lineRule="auto"/>
              <w:jc w:val="both"/>
              <w:rPr>
                <w:rFonts w:hint="default" w:ascii="宋体" w:hAnsi="宋体" w:eastAsia="宋体"/>
                <w:color w:val="auto"/>
                <w:sz w:val="24"/>
                <w:szCs w:val="24"/>
                <w:highlight w:val="none"/>
                <w:u w:val="none"/>
              </w:rPr>
            </w:pPr>
            <w:r>
              <w:rPr>
                <w:rFonts w:hint="default" w:ascii="宋体" w:hAnsi="宋体" w:eastAsia="宋体"/>
                <w:color w:val="auto"/>
                <w:sz w:val="24"/>
                <w:szCs w:val="24"/>
                <w:highlight w:val="none"/>
                <w:u w:val="none"/>
              </w:rPr>
              <w:t>其他要求</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6B447D">
            <w:pPr>
              <w:spacing w:line="360" w:lineRule="auto"/>
              <w:jc w:val="both"/>
              <w:rPr>
                <w:rFonts w:hint="eastAsia" w:eastAsia="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各投标人递交投标资料参与投标，均视为接受及认同招标合同及招标人（业主单位）制发的各项相关建设管理办法。如中标人不按合同履约及未遵守招标人（业主单位）制发的各项相关建设管理办法，业主方有权依据相关管理办法要求中标人承担相应责任，中标人应无条件接受。</w:t>
            </w:r>
          </w:p>
        </w:tc>
      </w:tr>
      <w:tr w14:paraId="4F79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91B0EE">
            <w:pPr>
              <w:pStyle w:val="31"/>
              <w:kinsoku w:val="0"/>
              <w:overflowPunct w:val="0"/>
              <w:spacing w:line="360" w:lineRule="auto"/>
              <w:jc w:val="center"/>
              <w:rPr>
                <w:rFonts w:hint="default"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10.</w:t>
            </w:r>
            <w:r>
              <w:rPr>
                <w:rFonts w:hint="eastAsia"/>
                <w:color w:val="auto"/>
                <w:sz w:val="24"/>
                <w:szCs w:val="24"/>
                <w:highlight w:val="none"/>
                <w:u w:val="none"/>
                <w:lang w:val="en-US" w:eastAsia="zh-CN"/>
              </w:rPr>
              <w:t>3</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6435DD">
            <w:pPr>
              <w:pStyle w:val="31"/>
              <w:kinsoku w:val="0"/>
              <w:overflowPunct w:val="0"/>
              <w:spacing w:line="360" w:lineRule="auto"/>
              <w:jc w:val="both"/>
              <w:rPr>
                <w:rFonts w:hint="default" w:ascii="宋体" w:hAnsi="宋体" w:eastAsia="宋体"/>
                <w:color w:val="auto"/>
                <w:sz w:val="24"/>
                <w:szCs w:val="24"/>
                <w:highlight w:val="none"/>
                <w:u w:val="none"/>
              </w:rPr>
            </w:pPr>
            <w:r>
              <w:rPr>
                <w:rFonts w:hint="default" w:ascii="宋体" w:hAnsi="宋体" w:eastAsia="宋体"/>
                <w:color w:val="auto"/>
                <w:sz w:val="24"/>
                <w:szCs w:val="24"/>
                <w:highlight w:val="none"/>
                <w:u w:val="none"/>
              </w:rPr>
              <w:t>补交纸质投标文件</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E38643">
            <w:pPr>
              <w:spacing w:line="360" w:lineRule="auto"/>
              <w:jc w:val="both"/>
              <w:rPr>
                <w:rFonts w:hint="eastAsia" w:eastAsia="宋体"/>
                <w:color w:val="auto"/>
                <w:sz w:val="24"/>
                <w:szCs w:val="24"/>
                <w:highlight w:val="none"/>
                <w:u w:val="none"/>
                <w:lang w:val="en-US" w:eastAsia="zh-CN"/>
              </w:rPr>
            </w:pPr>
            <w:r>
              <w:rPr>
                <w:rFonts w:hint="eastAsia" w:eastAsia="宋体"/>
                <w:b w:val="0"/>
                <w:bCs w:val="0"/>
                <w:color w:val="auto"/>
                <w:sz w:val="24"/>
                <w:szCs w:val="24"/>
                <w:highlight w:val="none"/>
                <w:u w:val="none"/>
                <w:lang w:val="en-US" w:eastAsia="zh-CN"/>
              </w:rPr>
              <w:t>中标单位领取中标通知书时，补送一正二副与交易平台网上递交的电子投标文件一致的书面投标文件（加盖公章）及一份与书面投标文件一致的用“Microsoft Word ”或“PDF”格式制作的电子文件（光盘）给招标人。</w:t>
            </w:r>
            <w:r>
              <w:rPr>
                <w:rFonts w:hint="eastAsia" w:ascii="宋体" w:hAnsi="宋体" w:eastAsia="宋体" w:cs="宋体"/>
                <w:b w:val="0"/>
                <w:bCs w:val="0"/>
                <w:color w:val="auto"/>
                <w:sz w:val="24"/>
                <w:szCs w:val="24"/>
                <w:highlight w:val="none"/>
                <w:u w:val="none"/>
                <w:lang w:val="en-US" w:eastAsia="zh-CN"/>
              </w:rPr>
              <w:t>。</w:t>
            </w:r>
          </w:p>
        </w:tc>
      </w:tr>
      <w:tr w14:paraId="36F4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C64F87">
            <w:pPr>
              <w:pStyle w:val="31"/>
              <w:kinsoku w:val="0"/>
              <w:overflowPunct w:val="0"/>
              <w:spacing w:line="360" w:lineRule="auto"/>
              <w:jc w:val="center"/>
              <w:rPr>
                <w:rFonts w:hint="default"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10.</w:t>
            </w:r>
            <w:r>
              <w:rPr>
                <w:rFonts w:hint="eastAsia"/>
                <w:color w:val="auto"/>
                <w:sz w:val="24"/>
                <w:szCs w:val="24"/>
                <w:highlight w:val="none"/>
                <w:u w:val="none"/>
                <w:lang w:val="en-US" w:eastAsia="zh-CN"/>
              </w:rPr>
              <w:t>4</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8F5CD1">
            <w:pPr>
              <w:pStyle w:val="31"/>
              <w:kinsoku w:val="0"/>
              <w:overflowPunct w:val="0"/>
              <w:spacing w:line="360" w:lineRule="auto"/>
              <w:jc w:val="both"/>
              <w:rPr>
                <w:rFonts w:hint="default" w:ascii="宋体" w:hAnsi="宋体" w:eastAsia="宋体"/>
                <w:color w:val="auto"/>
                <w:sz w:val="24"/>
                <w:szCs w:val="24"/>
                <w:highlight w:val="none"/>
                <w:u w:val="none"/>
              </w:rPr>
            </w:pPr>
            <w:r>
              <w:rPr>
                <w:rFonts w:hint="default" w:ascii="宋体" w:hAnsi="宋体" w:eastAsia="宋体"/>
                <w:color w:val="auto"/>
                <w:sz w:val="24"/>
                <w:szCs w:val="24"/>
                <w:highlight w:val="none"/>
                <w:u w:val="none"/>
              </w:rPr>
              <w:t>定标及中标原则</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425B28">
            <w:pPr>
              <w:spacing w:line="360" w:lineRule="auto"/>
              <w:jc w:val="both"/>
              <w:rPr>
                <w:rFonts w:hint="eastAsia" w:eastAsia="宋体"/>
                <w:color w:val="auto"/>
                <w:sz w:val="24"/>
                <w:szCs w:val="24"/>
                <w:highlight w:val="none"/>
                <w:u w:val="none"/>
                <w:lang w:val="en-US" w:eastAsia="zh-CN"/>
              </w:rPr>
            </w:pPr>
            <w:r>
              <w:rPr>
                <w:rFonts w:hint="eastAsia" w:eastAsia="宋体"/>
                <w:color w:val="auto"/>
                <w:sz w:val="24"/>
                <w:szCs w:val="24"/>
                <w:highlight w:val="none"/>
                <w:u w:val="none"/>
                <w:lang w:val="en-US" w:eastAsia="zh-CN"/>
              </w:rPr>
              <w:t>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tc>
      </w:tr>
      <w:tr w14:paraId="4B3DE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BDEA7">
            <w:pPr>
              <w:pStyle w:val="31"/>
              <w:kinsoku w:val="0"/>
              <w:overflowPunct w:val="0"/>
              <w:spacing w:line="360" w:lineRule="auto"/>
              <w:jc w:val="center"/>
              <w:rPr>
                <w:rFonts w:hint="default" w:eastAsia="宋体"/>
                <w:color w:val="auto"/>
                <w:sz w:val="24"/>
                <w:szCs w:val="24"/>
                <w:highlight w:val="none"/>
                <w:u w:val="none"/>
                <w:lang w:val="en-US" w:eastAsia="zh-CN"/>
              </w:rPr>
            </w:pPr>
            <w:r>
              <w:rPr>
                <w:rFonts w:hint="eastAsia"/>
                <w:color w:val="auto"/>
                <w:sz w:val="24"/>
                <w:szCs w:val="24"/>
                <w:highlight w:val="none"/>
                <w:u w:val="none"/>
                <w:lang w:val="en-US" w:eastAsia="zh-CN"/>
              </w:rPr>
              <w:t>10.5</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05E71D">
            <w:pPr>
              <w:spacing w:line="360" w:lineRule="auto"/>
              <w:jc w:val="center"/>
              <w:rPr>
                <w:rFonts w:hint="default" w:ascii="宋体" w:hAnsi="宋体" w:eastAsia="宋体"/>
                <w:color w:val="auto"/>
                <w:sz w:val="24"/>
                <w:szCs w:val="24"/>
                <w:highlight w:val="none"/>
                <w:u w:val="none"/>
              </w:rPr>
            </w:pPr>
            <w:r>
              <w:rPr>
                <w:rFonts w:hint="eastAsia" w:ascii="宋体" w:hAnsi="宋体" w:eastAsia="宋体" w:cs="宋体"/>
                <w:color w:val="auto"/>
                <w:szCs w:val="21"/>
                <w:highlight w:val="none"/>
                <w:u w:val="none"/>
                <w:lang w:val="en-US" w:eastAsia="zh-CN"/>
              </w:rPr>
              <w:t>招标代理服务费</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2669D7">
            <w:pPr>
              <w:spacing w:line="360" w:lineRule="auto"/>
              <w:rPr>
                <w:rFonts w:hint="eastAsia" w:eastAsia="宋体"/>
                <w:color w:val="auto"/>
                <w:sz w:val="24"/>
                <w:szCs w:val="24"/>
                <w:highlight w:val="none"/>
                <w:u w:val="none"/>
                <w:lang w:val="en-US" w:eastAsia="zh-CN"/>
              </w:rPr>
            </w:pPr>
            <w:r>
              <w:rPr>
                <w:rFonts w:hint="eastAsia" w:ascii="宋体" w:hAnsi="宋体" w:eastAsia="宋体" w:cs="宋体"/>
                <w:color w:val="auto"/>
                <w:szCs w:val="21"/>
                <w:highlight w:val="none"/>
                <w:u w:val="single"/>
              </w:rPr>
              <w:t>中标人在领取中标通知书前一次性支付给招标代理机构。应向招标代理单位支付招标代理费，招标代理费以中标价为基数按《国家计委关于印发&lt;招标代理服务收费管理暂行办法&gt;的通知(计价格[2002]1980号)》下浮</w:t>
            </w:r>
            <w:r>
              <w:rPr>
                <w:rFonts w:hint="eastAsia" w:ascii="宋体" w:hAnsi="宋体" w:eastAsia="宋体" w:cs="宋体"/>
                <w:color w:val="auto"/>
                <w:szCs w:val="21"/>
                <w:highlight w:val="none"/>
                <w:u w:val="single"/>
                <w:lang w:val="en-US" w:eastAsia="zh-CN"/>
              </w:rPr>
              <w:t>57</w:t>
            </w:r>
            <w:r>
              <w:rPr>
                <w:rFonts w:hint="eastAsia" w:ascii="宋体" w:hAnsi="宋体" w:eastAsia="宋体" w:cs="宋体"/>
                <w:color w:val="auto"/>
                <w:szCs w:val="21"/>
                <w:highlight w:val="none"/>
                <w:u w:val="single"/>
              </w:rPr>
              <w:t>%计算。</w:t>
            </w:r>
          </w:p>
        </w:tc>
      </w:tr>
      <w:tr w14:paraId="3814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1DEEDE">
            <w:pPr>
              <w:spacing w:line="360" w:lineRule="auto"/>
              <w:jc w:val="center"/>
              <w:rPr>
                <w:rFonts w:hint="eastAsia"/>
                <w:color w:val="auto"/>
                <w:sz w:val="24"/>
                <w:szCs w:val="24"/>
                <w:highlight w:val="none"/>
                <w:u w:val="none"/>
                <w:lang w:val="en-US" w:eastAsia="zh-CN"/>
              </w:rPr>
            </w:pPr>
            <w:r>
              <w:rPr>
                <w:rFonts w:hint="eastAsia" w:ascii="宋体" w:hAnsi="宋体" w:eastAsia="宋体" w:cs="宋体"/>
                <w:color w:val="auto"/>
                <w:szCs w:val="21"/>
                <w:highlight w:val="none"/>
                <w:u w:val="single"/>
              </w:rPr>
              <w:t>10.</w:t>
            </w:r>
            <w:r>
              <w:rPr>
                <w:rFonts w:hint="eastAsia" w:ascii="宋体" w:hAnsi="宋体" w:eastAsia="宋体" w:cs="宋体"/>
                <w:color w:val="auto"/>
                <w:szCs w:val="21"/>
                <w:highlight w:val="none"/>
                <w:u w:val="single"/>
                <w:lang w:val="en-US" w:eastAsia="zh-CN"/>
              </w:rPr>
              <w:t>6</w:t>
            </w:r>
          </w:p>
        </w:tc>
        <w:tc>
          <w:tcPr>
            <w:tcW w:w="183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729EE1">
            <w:pPr>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single"/>
              </w:rPr>
              <w:t>专业及监理人数要求</w:t>
            </w:r>
          </w:p>
        </w:tc>
        <w:tc>
          <w:tcPr>
            <w:tcW w:w="62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431FB3A">
            <w:pPr>
              <w:ind w:left="1"/>
              <w:jc w:val="center"/>
              <w:rPr>
                <w:rFonts w:hint="eastAsia" w:ascii="宋体" w:hAnsi="宋体" w:eastAsia="宋体" w:cs="宋体"/>
                <w:color w:val="auto"/>
                <w:szCs w:val="21"/>
                <w:highlight w:val="none"/>
              </w:rPr>
            </w:pPr>
            <w:r>
              <w:rPr>
                <w:rFonts w:ascii="宋体" w:hAnsi="宋体" w:eastAsia="宋体" w:cs="宋体"/>
                <w:color w:val="auto"/>
                <w:szCs w:val="21"/>
                <w:highlight w:val="none"/>
              </w:rPr>
              <w:t>《项目监理人员组成配备要求表》</w:t>
            </w: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60"/>
              <w:gridCol w:w="3936"/>
            </w:tblGrid>
            <w:tr w14:paraId="4FF55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9" w:type="pct"/>
                  <w:tcBorders>
                    <w:top w:val="single" w:color="auto" w:sz="4" w:space="0"/>
                    <w:left w:val="single" w:color="auto" w:sz="4" w:space="0"/>
                    <w:bottom w:val="single" w:color="auto" w:sz="4" w:space="0"/>
                    <w:right w:val="single" w:color="auto" w:sz="4" w:space="0"/>
                  </w:tcBorders>
                  <w:noWrap w:val="0"/>
                  <w:vAlign w:val="center"/>
                </w:tcPr>
                <w:p w14:paraId="1BC30BB3">
                  <w:pPr>
                    <w:keepNext w:val="0"/>
                    <w:keepLines w:val="0"/>
                    <w:widowControl w:val="0"/>
                    <w:suppressLineNumbers w:val="0"/>
                    <w:spacing w:before="0" w:beforeAutospacing="0" w:after="0" w:afterAutospacing="0"/>
                    <w:ind w:left="1"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岗位</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6D0BC0C1">
                  <w:pPr>
                    <w:keepNext w:val="0"/>
                    <w:keepLines w:val="0"/>
                    <w:widowControl w:val="0"/>
                    <w:suppressLineNumbers w:val="0"/>
                    <w:spacing w:before="0" w:beforeAutospacing="0" w:after="0" w:afterAutospacing="0"/>
                    <w:ind w:left="1"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人员要求</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3EF99719">
                  <w:pPr>
                    <w:keepNext w:val="0"/>
                    <w:keepLines w:val="0"/>
                    <w:widowControl w:val="0"/>
                    <w:suppressLineNumbers w:val="0"/>
                    <w:spacing w:before="0" w:beforeAutospacing="0" w:after="0" w:afterAutospacing="0"/>
                    <w:ind w:left="1"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持证上岗要求</w:t>
                  </w:r>
                </w:p>
              </w:tc>
            </w:tr>
            <w:tr w14:paraId="56F4D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6D66AB64">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rPr>
                    <w:t>总监理工程师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71489D94">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rPr>
                    <w:t>1名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5120A457">
                  <w:pPr>
                    <w:ind w:left="1" w:leftChars="0"/>
                    <w:jc w:val="left"/>
                    <w:rPr>
                      <w:rFonts w:hint="eastAsia" w:ascii="宋体" w:hAnsi="宋体" w:eastAsia="宋体" w:cs="宋体"/>
                      <w:color w:val="auto"/>
                      <w:kern w:val="2"/>
                      <w:sz w:val="24"/>
                      <w:szCs w:val="24"/>
                      <w:highlight w:val="none"/>
                    </w:rPr>
                  </w:pPr>
                  <w:r>
                    <w:rPr>
                      <w:rFonts w:hint="eastAsia" w:ascii="宋体" w:hAnsi="宋体" w:cs="宋体"/>
                      <w:sz w:val="24"/>
                      <w:szCs w:val="24"/>
                      <w:highlight w:val="none"/>
                    </w:rPr>
                    <w:t>应具有有效的中国水利工程协会颁发的水利工程建设监理工程师资格证书，专业为水工建筑，执业单位为本投标单位；或者具有有效的中华人民共和国水利部颁发的监理工程师注册证书，注册专业为水利工程施工监理，执业单位为本投标单位</w:t>
                  </w:r>
                  <w:r>
                    <w:rPr>
                      <w:rFonts w:hint="eastAsia" w:ascii="宋体" w:hAnsi="宋体" w:cs="宋体"/>
                      <w:sz w:val="24"/>
                      <w:szCs w:val="24"/>
                      <w:highlight w:val="none"/>
                      <w:lang w:val="en-US" w:eastAsia="zh-CN"/>
                    </w:rPr>
                    <w:t>；</w:t>
                  </w:r>
                  <w:r>
                    <w:rPr>
                      <w:rFonts w:hint="eastAsia" w:ascii="宋体" w:hAnsi="宋体" w:eastAsia="宋体" w:cs="宋体"/>
                      <w:color w:val="000000" w:themeColor="text1"/>
                      <w:sz w:val="24"/>
                      <w:szCs w:val="24"/>
                      <w:highlight w:val="none"/>
                      <w14:textFill>
                        <w14:solidFill>
                          <w14:schemeClr w14:val="tx1"/>
                        </w14:solidFill>
                      </w14:textFill>
                    </w:rPr>
                    <w:t>须具有工程类高级工程师（或以上）职称</w:t>
                  </w:r>
                  <w:r>
                    <w:rPr>
                      <w:rFonts w:hint="eastAsia" w:ascii="宋体" w:hAnsi="宋体" w:cs="宋体"/>
                      <w:sz w:val="24"/>
                      <w:szCs w:val="24"/>
                      <w:highlight w:val="none"/>
                    </w:rPr>
                    <w:t>。</w:t>
                  </w:r>
                </w:p>
              </w:tc>
            </w:tr>
            <w:tr w14:paraId="6867F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5630E1B7">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rPr>
                    <w:t>专业监理工程师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2DF5A3D7">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名</w:t>
                  </w:r>
                </w:p>
              </w:tc>
              <w:tc>
                <w:tcPr>
                  <w:tcW w:w="3274" w:type="pct"/>
                  <w:tcBorders>
                    <w:top w:val="single" w:color="auto" w:sz="4" w:space="0"/>
                    <w:left w:val="single" w:color="auto" w:sz="4" w:space="0"/>
                    <w:bottom w:val="single" w:color="auto" w:sz="4" w:space="0"/>
                    <w:right w:val="single" w:color="auto" w:sz="4" w:space="0"/>
                  </w:tcBorders>
                  <w:noWrap w:val="0"/>
                  <w:vAlign w:val="top"/>
                </w:tcPr>
                <w:p w14:paraId="0BA26792">
                  <w:pPr>
                    <w:ind w:left="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水利工程施工监理（或水工建筑）专业监理工程师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名</w:t>
                  </w:r>
                  <w:r>
                    <w:rPr>
                      <w:rFonts w:hint="eastAsia" w:ascii="宋体" w:hAnsi="宋体" w:eastAsia="宋体" w:cs="宋体"/>
                      <w:color w:val="auto"/>
                      <w:sz w:val="24"/>
                      <w:szCs w:val="24"/>
                      <w:highlight w:val="none"/>
                      <w:lang w:eastAsia="zh-CN"/>
                    </w:rPr>
                    <w:t>。</w:t>
                  </w:r>
                </w:p>
                <w:p w14:paraId="484C3EB0">
                  <w:pPr>
                    <w:ind w:left="1" w:leftChars="0"/>
                    <w:rPr>
                      <w:rFonts w:hint="eastAsia" w:ascii="宋体" w:hAnsi="宋体" w:cs="宋体"/>
                      <w:sz w:val="24"/>
                      <w:szCs w:val="24"/>
                      <w:highlight w:val="none"/>
                    </w:rPr>
                  </w:pPr>
                  <w:r>
                    <w:rPr>
                      <w:rFonts w:hint="eastAsia" w:ascii="宋体" w:hAnsi="宋体" w:cs="宋体"/>
                      <w:sz w:val="24"/>
                      <w:szCs w:val="24"/>
                      <w:highlight w:val="none"/>
                    </w:rPr>
                    <w:t>（专业以注册监理工程师注册执业证书为准)。</w:t>
                  </w:r>
                </w:p>
                <w:p w14:paraId="06D1A4FC">
                  <w:pPr>
                    <w:ind w:left="1" w:leftChars="0"/>
                    <w:rPr>
                      <w:rFonts w:hint="eastAsia" w:ascii="宋体" w:hAnsi="宋体" w:eastAsia="宋体" w:cs="宋体"/>
                      <w:color w:val="auto"/>
                      <w:kern w:val="2"/>
                      <w:sz w:val="24"/>
                      <w:szCs w:val="24"/>
                      <w:highlight w:val="none"/>
                      <w:u w:val="single"/>
                    </w:rPr>
                  </w:pPr>
                  <w:r>
                    <w:rPr>
                      <w:rFonts w:hint="eastAsia" w:ascii="宋体" w:hAnsi="宋体" w:cs="宋体"/>
                      <w:sz w:val="24"/>
                      <w:szCs w:val="24"/>
                      <w:highlight w:val="none"/>
                    </w:rPr>
                    <w:t>根据项目进度专业需求及甲方要求驻工地。</w:t>
                  </w:r>
                </w:p>
              </w:tc>
            </w:tr>
            <w:tr w14:paraId="59BB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4"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461539FA">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rPr>
                    <w:t>安全监理员或注册安全工程师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1989D7EC">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rPr>
                    <w:t>1名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02AF6EE1">
                  <w:pPr>
                    <w:ind w:left="1" w:leftChars="0"/>
                    <w:jc w:val="both"/>
                    <w:rPr>
                      <w:rFonts w:hint="eastAsia" w:ascii="宋体" w:hAnsi="宋体" w:eastAsia="宋体" w:cs="宋体"/>
                      <w:color w:val="auto"/>
                      <w:kern w:val="2"/>
                      <w:sz w:val="24"/>
                      <w:szCs w:val="24"/>
                      <w:highlight w:val="none"/>
                    </w:rPr>
                  </w:pPr>
                  <w:r>
                    <w:rPr>
                      <w:rFonts w:hint="eastAsia" w:ascii="宋体" w:hAnsi="宋体" w:cs="宋体"/>
                      <w:sz w:val="24"/>
                      <w:szCs w:val="24"/>
                      <w:highlight w:val="none"/>
                    </w:rPr>
                    <w:t>取得安全员证书或注册安全工程师资格证书和注册证。要求施工期常驻工地。</w:t>
                  </w:r>
                </w:p>
              </w:tc>
            </w:tr>
            <w:tr w14:paraId="41D4D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369DA136">
                  <w:pPr>
                    <w:ind w:left="1" w:leftChars="0"/>
                    <w:jc w:val="center"/>
                    <w:rPr>
                      <w:rFonts w:hint="eastAsia" w:ascii="宋体" w:hAnsi="宋体" w:eastAsia="宋体" w:cs="宋体"/>
                      <w:color w:val="auto"/>
                      <w:kern w:val="2"/>
                      <w:sz w:val="24"/>
                      <w:szCs w:val="24"/>
                      <w:highlight w:val="none"/>
                    </w:rPr>
                  </w:pPr>
                  <w:r>
                    <w:rPr>
                      <w:rFonts w:ascii="宋体" w:hAnsi="宋体" w:cs="宋体"/>
                      <w:sz w:val="24"/>
                      <w:szCs w:val="24"/>
                      <w:highlight w:val="none"/>
                    </w:rPr>
                    <w:t>造价工程</w:t>
                  </w:r>
                  <w:r>
                    <w:rPr>
                      <w:rFonts w:hint="eastAsia" w:ascii="宋体" w:hAnsi="宋体" w:cs="宋体"/>
                      <w:sz w:val="24"/>
                      <w:szCs w:val="24"/>
                      <w:highlight w:val="none"/>
                    </w:rPr>
                    <w:t>师</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3A92B74C">
                  <w:pPr>
                    <w:ind w:left="1" w:leftChars="0"/>
                    <w:jc w:val="center"/>
                    <w:rPr>
                      <w:rFonts w:hint="eastAsia" w:ascii="宋体" w:hAnsi="宋体" w:eastAsia="宋体" w:cs="宋体"/>
                      <w:color w:val="auto"/>
                      <w:kern w:val="2"/>
                      <w:sz w:val="24"/>
                      <w:szCs w:val="24"/>
                      <w:highlight w:val="none"/>
                    </w:rPr>
                  </w:pPr>
                  <w:r>
                    <w:rPr>
                      <w:rFonts w:ascii="宋体" w:hAnsi="宋体" w:cs="宋体"/>
                      <w:sz w:val="24"/>
                      <w:szCs w:val="24"/>
                      <w:highlight w:val="none"/>
                    </w:rPr>
                    <w:t>1名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2CDA26B4">
                  <w:pPr>
                    <w:ind w:left="1" w:leftChars="0"/>
                    <w:jc w:val="both"/>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具备</w:t>
                  </w:r>
                  <w:r>
                    <w:rPr>
                      <w:rFonts w:hint="eastAsia" w:ascii="宋体" w:hAnsi="宋体" w:cs="宋体"/>
                      <w:color w:val="auto"/>
                      <w:sz w:val="24"/>
                      <w:szCs w:val="24"/>
                      <w:highlight w:val="none"/>
                      <w:lang w:val="en-US" w:eastAsia="zh-CN"/>
                    </w:rPr>
                    <w:t>国家注册造价工程师或</w:t>
                  </w:r>
                  <w:r>
                    <w:rPr>
                      <w:rFonts w:hint="eastAsia" w:ascii="宋体" w:hAnsi="宋体" w:eastAsia="宋体" w:cs="宋体"/>
                      <w:color w:val="auto"/>
                      <w:sz w:val="24"/>
                      <w:szCs w:val="24"/>
                      <w:highlight w:val="none"/>
                    </w:rPr>
                    <w:t>中华人民共和国一级造价工程师注册证书，注册专业为水利工程，证书需在有效期内，</w:t>
                  </w:r>
                  <w:r>
                    <w:rPr>
                      <w:rFonts w:hint="eastAsia" w:ascii="宋体" w:hAnsi="宋体" w:eastAsia="宋体" w:cs="宋体"/>
                      <w:color w:val="auto"/>
                      <w:sz w:val="24"/>
                      <w:szCs w:val="24"/>
                      <w:highlight w:val="none"/>
                      <w:u w:val="none"/>
                    </w:rPr>
                    <w:t>执业</w:t>
                  </w:r>
                  <w:r>
                    <w:rPr>
                      <w:rFonts w:hint="eastAsia" w:ascii="宋体" w:hAnsi="宋体" w:eastAsia="宋体" w:cs="宋体"/>
                      <w:color w:val="auto"/>
                      <w:sz w:val="24"/>
                      <w:szCs w:val="24"/>
                      <w:highlight w:val="none"/>
                    </w:rPr>
                    <w:t>单位为本投标单位。</w:t>
                  </w:r>
                </w:p>
              </w:tc>
            </w:tr>
            <w:tr w14:paraId="1E56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255B4EAA">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rPr>
                    <w:t>监理员</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7F32DA79">
                  <w:pPr>
                    <w:ind w:left="1" w:leftChars="0"/>
                    <w:jc w:val="center"/>
                    <w:rPr>
                      <w:rFonts w:hint="eastAsia" w:ascii="宋体" w:hAnsi="宋体" w:eastAsia="宋体" w:cs="宋体"/>
                      <w:color w:val="auto"/>
                      <w:kern w:val="2"/>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名</w:t>
                  </w:r>
                </w:p>
              </w:tc>
              <w:tc>
                <w:tcPr>
                  <w:tcW w:w="3274" w:type="pct"/>
                  <w:tcBorders>
                    <w:top w:val="single" w:color="auto" w:sz="4" w:space="0"/>
                    <w:left w:val="single" w:color="auto" w:sz="4" w:space="0"/>
                    <w:bottom w:val="single" w:color="auto" w:sz="4" w:space="0"/>
                    <w:right w:val="single" w:color="auto" w:sz="4" w:space="0"/>
                  </w:tcBorders>
                  <w:noWrap w:val="0"/>
                  <w:vAlign w:val="center"/>
                </w:tcPr>
                <w:p w14:paraId="50EE4DBF">
                  <w:pPr>
                    <w:ind w:left="1" w:leftChars="0"/>
                    <w:jc w:val="both"/>
                    <w:rPr>
                      <w:rFonts w:hint="eastAsia" w:ascii="宋体" w:hAnsi="宋体" w:eastAsia="宋体" w:cs="宋体"/>
                      <w:color w:val="auto"/>
                      <w:kern w:val="2"/>
                      <w:sz w:val="24"/>
                      <w:szCs w:val="24"/>
                      <w:highlight w:val="none"/>
                    </w:rPr>
                  </w:pPr>
                  <w:r>
                    <w:rPr>
                      <w:rFonts w:hint="eastAsia" w:ascii="宋体" w:hAnsi="宋体" w:cs="宋体"/>
                      <w:sz w:val="24"/>
                      <w:szCs w:val="24"/>
                      <w:highlight w:val="none"/>
                    </w:rPr>
                    <w:t>具备监理员证或注册监理工程师证，整个施工期常驻工地。</w:t>
                  </w:r>
                </w:p>
              </w:tc>
            </w:tr>
            <w:tr w14:paraId="2860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09" w:type="pct"/>
                  <w:tcBorders>
                    <w:top w:val="single" w:color="auto" w:sz="4" w:space="0"/>
                    <w:left w:val="single" w:color="auto" w:sz="4" w:space="0"/>
                    <w:bottom w:val="single" w:color="auto" w:sz="4" w:space="0"/>
                    <w:right w:val="single" w:color="auto" w:sz="4" w:space="0"/>
                  </w:tcBorders>
                  <w:noWrap w:val="0"/>
                  <w:vAlign w:val="center"/>
                </w:tcPr>
                <w:p w14:paraId="396ED2C1">
                  <w:pPr>
                    <w:keepNext w:val="0"/>
                    <w:keepLines w:val="0"/>
                    <w:widowControl w:val="0"/>
                    <w:suppressLineNumbers w:val="0"/>
                    <w:spacing w:before="0" w:beforeAutospacing="0" w:after="0" w:afterAutospacing="0"/>
                    <w:ind w:left="1" w:right="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总计</w:t>
                  </w:r>
                </w:p>
              </w:tc>
              <w:tc>
                <w:tcPr>
                  <w:tcW w:w="3990" w:type="pct"/>
                  <w:gridSpan w:val="2"/>
                  <w:tcBorders>
                    <w:top w:val="single" w:color="auto" w:sz="4" w:space="0"/>
                    <w:left w:val="single" w:color="auto" w:sz="4" w:space="0"/>
                    <w:bottom w:val="single" w:color="auto" w:sz="4" w:space="0"/>
                    <w:right w:val="single" w:color="auto" w:sz="4" w:space="0"/>
                  </w:tcBorders>
                  <w:noWrap w:val="0"/>
                  <w:vAlign w:val="center"/>
                </w:tcPr>
                <w:p w14:paraId="115D332E">
                  <w:pPr>
                    <w:keepNext w:val="0"/>
                    <w:keepLines w:val="0"/>
                    <w:widowControl w:val="0"/>
                    <w:suppressLineNumbers w:val="0"/>
                    <w:spacing w:before="0" w:beforeAutospacing="0" w:after="0" w:afterAutospacing="0"/>
                    <w:ind w:left="1" w:right="0"/>
                    <w:jc w:val="center"/>
                    <w:rPr>
                      <w:rFonts w:hint="eastAsia" w:ascii="宋体" w:hAnsi="宋体" w:eastAsia="宋体" w:cs="宋体"/>
                      <w:color w:val="auto"/>
                      <w:kern w:val="2"/>
                      <w:sz w:val="24"/>
                      <w:szCs w:val="24"/>
                      <w:highlight w:val="none"/>
                    </w:rPr>
                  </w:pPr>
                  <w:r>
                    <w:rPr>
                      <w:rFonts w:hint="eastAsia" w:ascii="宋体" w:hAnsi="宋体" w:cs="宋体"/>
                      <w:color w:val="auto"/>
                      <w:kern w:val="2"/>
                      <w:sz w:val="24"/>
                      <w:szCs w:val="24"/>
                      <w:highlight w:val="none"/>
                      <w:lang w:val="en-US" w:eastAsia="zh-CN" w:bidi="ar"/>
                    </w:rPr>
                    <w:t>8</w:t>
                  </w:r>
                  <w:r>
                    <w:rPr>
                      <w:rFonts w:hint="eastAsia" w:ascii="宋体" w:hAnsi="宋体" w:eastAsia="宋体" w:cs="宋体"/>
                      <w:color w:val="auto"/>
                      <w:kern w:val="2"/>
                      <w:sz w:val="24"/>
                      <w:szCs w:val="24"/>
                      <w:highlight w:val="none"/>
                      <w:lang w:val="en-US" w:eastAsia="zh-CN" w:bidi="ar"/>
                    </w:rPr>
                    <w:t>名</w:t>
                  </w:r>
                </w:p>
              </w:tc>
            </w:tr>
          </w:tbl>
          <w:p w14:paraId="5394EBAE">
            <w:pPr>
              <w:spacing w:line="360" w:lineRule="auto"/>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注：</w:t>
            </w:r>
          </w:p>
          <w:p w14:paraId="3736BED8">
            <w:pPr>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none"/>
                <w:lang w:val="en-US" w:eastAsia="zh-CN"/>
              </w:rPr>
              <w:t>1、</w:t>
            </w:r>
            <w:r>
              <w:rPr>
                <w:rFonts w:hint="eastAsia" w:ascii="宋体" w:hAnsi="宋体"/>
                <w:color w:val="auto"/>
                <w:kern w:val="2"/>
                <w:highlight w:val="none"/>
                <w:u w:val="none"/>
              </w:rPr>
              <w:t>本工程项目监理机构</w:t>
            </w:r>
            <w:r>
              <w:rPr>
                <w:rFonts w:hint="eastAsia" w:ascii="宋体" w:hAnsi="宋体"/>
                <w:color w:val="auto"/>
                <w:kern w:val="2"/>
                <w:highlight w:val="none"/>
                <w:u w:val="none"/>
                <w:lang w:eastAsia="zh-CN"/>
              </w:rPr>
              <w:t>（</w:t>
            </w:r>
            <w:r>
              <w:rPr>
                <w:rFonts w:hint="eastAsia" w:ascii="宋体" w:hAnsi="宋体"/>
                <w:color w:val="auto"/>
                <w:kern w:val="2"/>
                <w:highlight w:val="none"/>
                <w:u w:val="none"/>
                <w:lang w:val="en-US" w:eastAsia="zh-CN"/>
              </w:rPr>
              <w:t>除总监按国家相关规定以外</w:t>
            </w:r>
            <w:r>
              <w:rPr>
                <w:rFonts w:hint="eastAsia" w:ascii="宋体" w:hAnsi="宋体"/>
                <w:color w:val="auto"/>
                <w:kern w:val="2"/>
                <w:highlight w:val="none"/>
                <w:u w:val="none"/>
                <w:lang w:eastAsia="zh-CN"/>
              </w:rPr>
              <w:t>）</w:t>
            </w:r>
            <w:r>
              <w:rPr>
                <w:rFonts w:hint="eastAsia" w:ascii="宋体" w:hAnsi="宋体"/>
                <w:color w:val="auto"/>
                <w:kern w:val="2"/>
                <w:highlight w:val="none"/>
                <w:u w:val="none"/>
              </w:rPr>
              <w:t>的所有人员均须专职</w:t>
            </w:r>
            <w:r>
              <w:rPr>
                <w:rFonts w:hint="eastAsia" w:ascii="宋体" w:hAnsi="宋体"/>
                <w:color w:val="auto"/>
                <w:kern w:val="2"/>
                <w:highlight w:val="none"/>
                <w:u w:val="none"/>
                <w:lang w:eastAsia="zh-CN"/>
              </w:rPr>
              <w:t>。</w:t>
            </w:r>
            <w:r>
              <w:rPr>
                <w:rFonts w:hint="eastAsia" w:ascii="宋体" w:hAnsi="宋体"/>
                <w:color w:val="auto"/>
                <w:kern w:val="2"/>
                <w:highlight w:val="none"/>
                <w:u w:val="none"/>
                <w:lang w:val="en-US" w:eastAsia="zh-CN"/>
              </w:rPr>
              <w:t>上述人员除总监理工程师外，其余人员要求仅做为评分时使用。项目实施过程中，投标人根据工程实际进度需要，分阶段安排人员的进场。</w:t>
            </w:r>
          </w:p>
        </w:tc>
      </w:tr>
    </w:tbl>
    <w:p w14:paraId="4ABAD782">
      <w:pPr>
        <w:rPr>
          <w:rFonts w:hint="default"/>
          <w:color w:val="auto"/>
          <w:sz w:val="24"/>
          <w:szCs w:val="24"/>
          <w:highlight w:val="none"/>
        </w:rPr>
      </w:pPr>
    </w:p>
    <w:p w14:paraId="42CE2691">
      <w:pPr>
        <w:pStyle w:val="6"/>
        <w:outlineLvl w:val="9"/>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bookmarkStart w:id="9" w:name="bookmark20"/>
      <w:bookmarkEnd w:id="9"/>
    </w:p>
    <w:p w14:paraId="3E3B626B">
      <w:pPr>
        <w:pStyle w:val="6"/>
        <w:jc w:val="center"/>
        <w:rPr>
          <w:rFonts w:hint="default"/>
          <w:color w:val="auto"/>
          <w:sz w:val="32"/>
          <w:szCs w:val="24"/>
          <w:highlight w:val="none"/>
        </w:rPr>
      </w:pPr>
      <w:bookmarkStart w:id="10" w:name="_Toc17451101"/>
      <w:bookmarkStart w:id="11" w:name="_Toc17451623"/>
      <w:bookmarkStart w:id="12" w:name="_Toc17454922"/>
      <w:bookmarkStart w:id="13" w:name="_Toc17454871"/>
      <w:bookmarkStart w:id="14" w:name="_Toc17556931"/>
      <w:bookmarkStart w:id="15" w:name="_Toc17452664"/>
      <w:bookmarkStart w:id="16" w:name="_Toc262229161"/>
      <w:bookmarkStart w:id="17" w:name="_Toc32198"/>
      <w:bookmarkStart w:id="18" w:name="_Toc17451578"/>
      <w:bookmarkStart w:id="19" w:name="_Toc17556876"/>
      <w:r>
        <w:rPr>
          <w:rFonts w:hint="default"/>
          <w:color w:val="auto"/>
          <w:sz w:val="32"/>
          <w:szCs w:val="24"/>
          <w:highlight w:val="none"/>
        </w:rPr>
        <w:t>投标须知修改表</w:t>
      </w:r>
      <w:bookmarkEnd w:id="10"/>
      <w:bookmarkEnd w:id="11"/>
      <w:bookmarkEnd w:id="12"/>
      <w:bookmarkEnd w:id="13"/>
      <w:bookmarkEnd w:id="14"/>
      <w:bookmarkEnd w:id="15"/>
      <w:bookmarkEnd w:id="16"/>
      <w:bookmarkEnd w:id="17"/>
      <w:bookmarkEnd w:id="18"/>
      <w:bookmarkEnd w:id="19"/>
    </w:p>
    <w:p w14:paraId="0248E55B">
      <w:pPr>
        <w:pStyle w:val="2"/>
        <w:spacing w:line="360" w:lineRule="auto"/>
        <w:rPr>
          <w:rFonts w:hint="default" w:ascii="宋体" w:hAnsi="宋体" w:eastAsia="宋体"/>
          <w:b/>
          <w:color w:val="auto"/>
          <w:sz w:val="24"/>
          <w:szCs w:val="24"/>
          <w:highlight w:val="none"/>
          <w:lang w:eastAsia="zh-CN"/>
        </w:rPr>
      </w:pPr>
      <w:r>
        <w:rPr>
          <w:rFonts w:hint="default" w:ascii="宋体" w:hAnsi="宋体" w:eastAsia="宋体"/>
          <w:b/>
          <w:color w:val="auto"/>
          <w:sz w:val="24"/>
          <w:szCs w:val="24"/>
          <w:highlight w:val="none"/>
        </w:rPr>
        <w:t>本投标须知使</w:t>
      </w:r>
      <w:r>
        <w:rPr>
          <w:rFonts w:hint="default" w:ascii="宋体" w:hAnsi="宋体" w:eastAsia="宋体" w:cs="Times New Roman"/>
          <w:b/>
          <w:color w:val="auto"/>
          <w:sz w:val="24"/>
          <w:szCs w:val="24"/>
          <w:highlight w:val="none"/>
        </w:rPr>
        <w:t>用</w:t>
      </w:r>
      <w:r>
        <w:rPr>
          <w:rFonts w:hint="eastAsia" w:ascii="宋体" w:hAnsi="宋体" w:eastAsia="宋体" w:cs="Times New Roman"/>
          <w:b/>
          <w:color w:val="auto"/>
          <w:sz w:val="24"/>
          <w:szCs w:val="24"/>
          <w:highlight w:val="none"/>
          <w:lang w:eastAsia="zh-CN"/>
        </w:rPr>
        <w:t>SWZB2024-06</w:t>
      </w:r>
      <w:r>
        <w:rPr>
          <w:rFonts w:hint="default" w:ascii="宋体" w:hAnsi="宋体" w:eastAsia="宋体" w:cs="Times New Roman"/>
          <w:b/>
          <w:color w:val="auto"/>
          <w:sz w:val="24"/>
          <w:szCs w:val="24"/>
          <w:highlight w:val="none"/>
        </w:rPr>
        <w:t>招标</w:t>
      </w:r>
      <w:r>
        <w:rPr>
          <w:rFonts w:hint="default" w:ascii="宋体" w:hAnsi="宋体" w:eastAsia="宋体"/>
          <w:b/>
          <w:color w:val="auto"/>
          <w:sz w:val="24"/>
          <w:szCs w:val="24"/>
          <w:highlight w:val="none"/>
        </w:rPr>
        <w:t>文件范本的投标须知通用条款，与该通用条款不同之处，均在本表中列明，并以现文为准，原文不再有效。</w:t>
      </w:r>
    </w:p>
    <w:p w14:paraId="7C361085">
      <w:pPr>
        <w:spacing w:line="351" w:lineRule="auto"/>
        <w:ind w:firstLine="537" w:firstLineChars="224"/>
        <w:rPr>
          <w:rFonts w:hint="default" w:ascii="宋体" w:hAnsi="宋体" w:eastAsia="宋体"/>
          <w:color w:val="auto"/>
          <w:sz w:val="24"/>
          <w:szCs w:val="24"/>
          <w:highlight w:val="none"/>
        </w:rPr>
      </w:pPr>
    </w:p>
    <w:p w14:paraId="3D745B8C">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条款号：3.1             修改类型：修改</w:t>
      </w:r>
    </w:p>
    <w:p w14:paraId="19E1D523">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原文：3.1 投标文件的组成</w:t>
      </w:r>
    </w:p>
    <w:p w14:paraId="4AA21BE0">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2E991CF3">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05A98323">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（2）法定代表人身份证明或授权委托书；</w:t>
      </w:r>
    </w:p>
    <w:p w14:paraId="70686C3E">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（3）联合体协议书；</w:t>
      </w:r>
    </w:p>
    <w:p w14:paraId="077B475A">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（4）投标保证金；</w:t>
      </w:r>
    </w:p>
    <w:p w14:paraId="19BF2938">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（5）监理报酬清单；</w:t>
      </w:r>
    </w:p>
    <w:p w14:paraId="39F64A46">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（6）资格审查资料；</w:t>
      </w:r>
    </w:p>
    <w:p w14:paraId="7B3935E8">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（7）监理大纲；</w:t>
      </w:r>
    </w:p>
    <w:p w14:paraId="3FC960BE">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（8）投标人须知前附表规定的其他资料。投标人在评标过程中作出的符合法律法规和招标文件规定的澄清确认，构成投标文件的组成部分。</w:t>
      </w:r>
    </w:p>
    <w:p w14:paraId="7B42FC10">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现文：3.1 投标文件的组成</w:t>
      </w:r>
    </w:p>
    <w:p w14:paraId="407A11C8">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 投标文件应包括下列内容：</w:t>
      </w:r>
    </w:p>
    <w:p w14:paraId="124484B2">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（1）投标函及投标函附录</w:t>
      </w:r>
    </w:p>
    <w:p w14:paraId="5A1E5CAD">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（2）法定代表人身份证明 </w:t>
      </w:r>
    </w:p>
    <w:p w14:paraId="1EB2A28F">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default"/>
          <w:color w:val="auto"/>
          <w:sz w:val="24"/>
          <w:szCs w:val="24"/>
          <w:highlight w:val="none"/>
        </w:rPr>
        <w:t>授权委托书（适用于有委托代理人的情况）</w:t>
      </w:r>
    </w:p>
    <w:p w14:paraId="43889790">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）投标保证金 </w:t>
      </w:r>
    </w:p>
    <w:p w14:paraId="775563C1">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）资格审查资料 </w:t>
      </w:r>
    </w:p>
    <w:p w14:paraId="40545FFD">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）监理大纲 </w:t>
      </w:r>
    </w:p>
    <w:p w14:paraId="5266947D">
      <w:pPr>
        <w:pBdr>
          <w:bottom w:val="single" w:color="auto" w:sz="6" w:space="1"/>
        </w:pBdr>
        <w:spacing w:line="360" w:lineRule="auto"/>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）其他资料</w:t>
      </w:r>
    </w:p>
    <w:p w14:paraId="2B258ABA">
      <w:pP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3.2.1</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1CE1617D">
      <w:pPr>
        <w:pBdr>
          <w:bottom w:val="single" w:color="auto" w:sz="6" w:space="1"/>
        </w:pBdr>
        <w:spacing w:line="351" w:lineRule="auto"/>
        <w:ind w:firstLine="537" w:firstLineChars="224"/>
        <w:rPr>
          <w:rFonts w:hint="default" w:ascii="宋体" w:hAnsi="宋体" w:eastAsia="宋体"/>
          <w:color w:val="auto"/>
          <w:sz w:val="24"/>
          <w:szCs w:val="24"/>
          <w:highlight w:val="none"/>
          <w:lang w:val="en-US" w:eastAsia="zh-CN"/>
        </w:rPr>
      </w:pPr>
      <w:r>
        <w:rPr>
          <w:rFonts w:hint="eastAsia" w:ascii="宋体" w:hAnsi="宋体"/>
          <w:b w:val="0"/>
          <w:bCs w:val="0"/>
          <w:color w:val="auto"/>
          <w:sz w:val="24"/>
          <w:szCs w:val="24"/>
          <w:highlight w:val="none"/>
          <w:lang w:val="en-US" w:eastAsia="zh-CN"/>
        </w:rPr>
        <w:t>原文：</w:t>
      </w:r>
      <w:r>
        <w:rPr>
          <w:rFonts w:hint="eastAsia" w:ascii="宋体" w:hAnsi="宋体"/>
          <w:color w:val="auto"/>
          <w:sz w:val="24"/>
          <w:szCs w:val="24"/>
          <w:highlight w:val="none"/>
          <w:lang w:val="en-US" w:eastAsia="zh-CN"/>
        </w:rPr>
        <w:t>投标报价应包括国家规定的增值税税金，除投标人须知前附表另有规定外，增值税税金按一般计税方法计算。投标人应按第六章“投标文件格式”的要求在投标函中进行报价并填写监理报酬清单。</w:t>
      </w:r>
    </w:p>
    <w:p w14:paraId="647503F6">
      <w:pPr>
        <w:pBdr>
          <w:bottom w:val="single" w:color="auto" w:sz="6" w:space="1"/>
        </w:pBdr>
        <w:spacing w:line="351" w:lineRule="auto"/>
        <w:ind w:firstLine="537" w:firstLineChars="224"/>
        <w:rPr>
          <w:rFonts w:hint="default" w:ascii="宋体" w:hAnsi="宋体" w:eastAsia="宋体"/>
          <w:b w:val="0"/>
          <w:bCs w:val="0"/>
          <w:color w:val="auto"/>
          <w:sz w:val="24"/>
          <w:szCs w:val="24"/>
          <w:highlight w:val="none"/>
        </w:rPr>
      </w:pPr>
      <w:r>
        <w:rPr>
          <w:rFonts w:hint="default" w:ascii="宋体" w:hAnsi="宋体" w:eastAsia="宋体"/>
          <w:b w:val="0"/>
          <w:bCs w:val="0"/>
          <w:color w:val="auto"/>
          <w:sz w:val="24"/>
          <w:szCs w:val="24"/>
          <w:highlight w:val="none"/>
        </w:rPr>
        <w:t>现文：3.2.1 投标报价应包括国家规定的增值税税金，除投标人须知前附表另有规定外，增值税税金按一般计税方法计算。投标人应按第六章“投标文件格式”的要求在投标函及投标函附录中进行报价。</w:t>
      </w:r>
    </w:p>
    <w:p w14:paraId="358943D5">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3.2.3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16D848D2">
      <w:pPr>
        <w:pBdr>
          <w:bottom w:val="single" w:color="auto" w:sz="6" w:space="1"/>
        </w:pBdr>
        <w:spacing w:line="351" w:lineRule="auto"/>
        <w:ind w:firstLine="537" w:firstLineChars="224"/>
        <w:rPr>
          <w:rFonts w:hint="eastAsia" w:ascii="宋体" w:hAnsi="宋体" w:eastAsia="宋体"/>
          <w:color w:val="auto"/>
          <w:sz w:val="24"/>
          <w:szCs w:val="24"/>
          <w:highlight w:val="none"/>
          <w:lang w:val="en-US" w:eastAsia="zh-CN"/>
        </w:rPr>
      </w:pPr>
      <w:r>
        <w:rPr>
          <w:rFonts w:hint="eastAsia" w:ascii="宋体" w:hAnsi="宋体"/>
          <w:b w:val="0"/>
          <w:bCs w:val="0"/>
          <w:color w:val="auto"/>
          <w:sz w:val="24"/>
          <w:szCs w:val="24"/>
          <w:highlight w:val="none"/>
          <w:lang w:val="en-US" w:eastAsia="zh-CN"/>
        </w:rPr>
        <w:t>原文：</w:t>
      </w:r>
      <w:r>
        <w:rPr>
          <w:rFonts w:hint="eastAsia" w:ascii="宋体" w:hAnsi="宋体"/>
          <w:color w:val="auto"/>
          <w:sz w:val="24"/>
          <w:szCs w:val="24"/>
          <w:highlight w:val="none"/>
          <w:lang w:val="en-US" w:eastAsia="zh-CN"/>
        </w:rPr>
        <w:t>本项目的报价方式见投标人须知前附表。投标人在投标截止时间前修改投标函中的投标报价总额，应同时修改投标文件“监理报酬清单”中的相应报价。此修改须符合本章第4.3款的有关要求。</w:t>
      </w:r>
    </w:p>
    <w:p w14:paraId="4B249DC1">
      <w:pPr>
        <w:pBdr>
          <w:bottom w:val="single" w:color="auto" w:sz="6" w:space="1"/>
        </w:pBdr>
        <w:spacing w:line="351" w:lineRule="auto"/>
        <w:ind w:firstLine="537" w:firstLineChars="224"/>
        <w:rPr>
          <w:rFonts w:hint="default" w:ascii="宋体" w:hAnsi="宋体" w:eastAsia="宋体"/>
          <w:color w:val="auto"/>
          <w:sz w:val="24"/>
          <w:szCs w:val="24"/>
          <w:highlight w:val="none"/>
        </w:rPr>
      </w:pPr>
      <w:r>
        <w:rPr>
          <w:rFonts w:hint="default" w:ascii="宋体" w:hAnsi="宋体" w:eastAsia="宋体"/>
          <w:b w:val="0"/>
          <w:bCs w:val="0"/>
          <w:color w:val="auto"/>
          <w:sz w:val="24"/>
          <w:szCs w:val="24"/>
          <w:highlight w:val="none"/>
          <w:u w:val="none"/>
        </w:rPr>
        <w:t>现文：</w:t>
      </w:r>
      <w:r>
        <w:rPr>
          <w:rFonts w:hint="eastAsia" w:ascii="宋体" w:hAnsi="宋体" w:eastAsia="宋体" w:cs="宋体"/>
          <w:color w:val="auto"/>
          <w:sz w:val="24"/>
          <w:szCs w:val="24"/>
          <w:highlight w:val="none"/>
          <w:u w:val="none"/>
        </w:rPr>
        <w:t>本项目的报价方式见投标人须知前附表。投标人在投标截止时间前修改投标函</w:t>
      </w:r>
      <w:r>
        <w:rPr>
          <w:rFonts w:hint="eastAsia" w:ascii="宋体" w:hAnsi="宋体" w:eastAsia="宋体" w:cs="宋体"/>
          <w:b w:val="0"/>
          <w:bCs w:val="0"/>
          <w:color w:val="auto"/>
          <w:sz w:val="24"/>
          <w:szCs w:val="24"/>
          <w:highlight w:val="none"/>
          <w:u w:val="none"/>
          <w:lang w:val="en-US" w:eastAsia="zh-CN"/>
        </w:rPr>
        <w:t>及投标函附录</w:t>
      </w:r>
      <w:r>
        <w:rPr>
          <w:rFonts w:hint="eastAsia" w:ascii="宋体" w:hAnsi="宋体" w:eastAsia="宋体" w:cs="宋体"/>
          <w:color w:val="auto"/>
          <w:sz w:val="24"/>
          <w:szCs w:val="24"/>
          <w:highlight w:val="none"/>
          <w:u w:val="none"/>
        </w:rPr>
        <w:t>中的投标报价总额，应同时修改投标文件“</w:t>
      </w:r>
      <w:r>
        <w:rPr>
          <w:rFonts w:hint="eastAsia" w:ascii="宋体" w:hAnsi="宋体" w:eastAsia="宋体" w:cs="宋体"/>
          <w:b w:val="0"/>
          <w:bCs w:val="0"/>
          <w:strike w:val="0"/>
          <w:szCs w:val="21"/>
          <w:highlight w:val="none"/>
          <w:lang w:val="en-US" w:eastAsia="zh-CN"/>
        </w:rPr>
        <w:t>投标函附录</w:t>
      </w:r>
      <w:r>
        <w:rPr>
          <w:rFonts w:hint="eastAsia" w:ascii="宋体" w:hAnsi="宋体" w:eastAsia="宋体" w:cs="宋体"/>
          <w:color w:val="auto"/>
          <w:sz w:val="24"/>
          <w:szCs w:val="24"/>
          <w:highlight w:val="none"/>
          <w:u w:val="none"/>
        </w:rPr>
        <w:t>”中的相应报价。此修改须符合本章第4.3款的有关要求</w:t>
      </w:r>
      <w:r>
        <w:rPr>
          <w:rFonts w:hint="default" w:cs="Times New Roman"/>
          <w:color w:val="auto"/>
          <w:sz w:val="24"/>
          <w:szCs w:val="24"/>
          <w:highlight w:val="none"/>
          <w:u w:val="none"/>
        </w:rPr>
        <w:t>。</w:t>
      </w:r>
    </w:p>
    <w:p w14:paraId="7ADA84FD">
      <w:pPr>
        <w:spacing w:line="360" w:lineRule="auto"/>
        <w:ind w:firstLine="482" w:firstLineChars="200"/>
        <w:rPr>
          <w:rFonts w:ascii="宋体" w:hAnsi="宋体" w:cs="宋体"/>
          <w:b/>
          <w:bCs/>
          <w:highlight w:val="none"/>
        </w:rPr>
      </w:pPr>
      <w:r>
        <w:rPr>
          <w:rFonts w:hint="eastAsia" w:ascii="宋体" w:hAnsi="宋体" w:cs="宋体"/>
          <w:b/>
          <w:bCs/>
          <w:highlight w:val="none"/>
        </w:rPr>
        <w:t>条款号：3.5            修改类型：修改</w:t>
      </w:r>
    </w:p>
    <w:p w14:paraId="18965D77">
      <w:pPr>
        <w:spacing w:line="360" w:lineRule="auto"/>
        <w:ind w:firstLine="480" w:firstLineChars="200"/>
        <w:rPr>
          <w:rFonts w:ascii="宋体" w:hAnsi="宋体" w:cs="宋体"/>
          <w:highlight w:val="none"/>
        </w:rPr>
      </w:pPr>
      <w:r>
        <w:rPr>
          <w:rFonts w:hint="eastAsia" w:ascii="宋体" w:hAnsi="宋体" w:cs="宋体"/>
          <w:bCs/>
          <w:highlight w:val="none"/>
        </w:rPr>
        <w:t>原文：</w:t>
      </w:r>
      <w:r>
        <w:rPr>
          <w:rFonts w:hint="eastAsia" w:ascii="宋体" w:hAnsi="宋体" w:cs="宋体"/>
          <w:highlight w:val="none"/>
        </w:rPr>
        <w:t>3.5 资格审查资料</w:t>
      </w:r>
    </w:p>
    <w:p w14:paraId="15C453CF">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除投标人须知前附表另有规定外，投标人应按下列规定提供资格审查资料，以证明其满足本章第 1.4 款规定的资质、财务、业绩、信誉等要求。</w:t>
      </w:r>
    </w:p>
    <w:p w14:paraId="279087C3">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3.5.1 “投标人基本情况表”应附投标人营业执照、投标人监理资质证书副本等材料的扫描件。</w:t>
      </w:r>
    </w:p>
    <w:p w14:paraId="0F69B59C">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3.5.2 “近年完成的类似监理项目情况表”应附中标通知书和（或）合同协议书、委托人出具的证明文件；具体时间要求见投标人须知前附表，每张表格只填写一个项目，并标明序号。</w:t>
      </w:r>
    </w:p>
    <w:p w14:paraId="67C80C81">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 xml:space="preserve">3.5.3 </w:t>
      </w:r>
      <w:r>
        <w:rPr>
          <w:rFonts w:hint="default" w:cs="Times New Roman"/>
          <w:color w:val="auto"/>
          <w:sz w:val="24"/>
          <w:szCs w:val="24"/>
          <w:highlight w:val="none"/>
        </w:rPr>
        <w:t>“拟委任的主要人员汇总表”应填报满足本章第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w:t>
      </w:r>
      <w:r>
        <w:rPr>
          <w:rFonts w:hint="default" w:cs="Times New Roman"/>
          <w:color w:val="auto"/>
          <w:sz w:val="24"/>
          <w:szCs w:val="24"/>
          <w:highlight w:val="none"/>
          <w:lang w:eastAsia="zh-CN"/>
        </w:rPr>
        <w:t>（若有）</w:t>
      </w:r>
      <w:r>
        <w:rPr>
          <w:rFonts w:hint="default" w:cs="Times New Roman"/>
          <w:color w:val="auto"/>
          <w:sz w:val="24"/>
          <w:szCs w:val="24"/>
          <w:highlight w:val="none"/>
        </w:rPr>
        <w:t>；其他主要人员应附身份证、学历证、职称证、有关证书和社保缴费证明</w:t>
      </w:r>
      <w:r>
        <w:rPr>
          <w:rFonts w:hint="default" w:cs="Times New Roman"/>
          <w:color w:val="auto"/>
          <w:sz w:val="24"/>
          <w:szCs w:val="24"/>
          <w:highlight w:val="none"/>
          <w:lang w:eastAsia="zh-CN"/>
        </w:rPr>
        <w:t>（若有）</w:t>
      </w:r>
      <w:r>
        <w:rPr>
          <w:rFonts w:hint="default" w:cs="Times New Roman"/>
          <w:color w:val="auto"/>
          <w:sz w:val="24"/>
          <w:szCs w:val="24"/>
          <w:highlight w:val="none"/>
        </w:rPr>
        <w:t>。</w:t>
      </w:r>
      <w:r>
        <w:rPr>
          <w:rFonts w:hint="eastAsia" w:cs="Times New Roman"/>
          <w:color w:val="auto"/>
          <w:sz w:val="24"/>
          <w:szCs w:val="24"/>
          <w:highlight w:val="none"/>
          <w:lang w:eastAsia="zh-CN"/>
        </w:rPr>
        <w:t>（注：以上人员社保要求：具有离投标截止时间最近</w:t>
      </w:r>
      <w:r>
        <w:rPr>
          <w:rFonts w:hint="eastAsia" w:cs="Times New Roman"/>
          <w:color w:val="auto"/>
          <w:sz w:val="24"/>
          <w:szCs w:val="24"/>
          <w:highlight w:val="none"/>
          <w:lang w:val="en-US" w:eastAsia="zh-CN"/>
        </w:rPr>
        <w:t>的至少1</w:t>
      </w:r>
      <w:r>
        <w:rPr>
          <w:rFonts w:hint="eastAsia" w:cs="Times New Roman"/>
          <w:color w:val="auto"/>
          <w:sz w:val="24"/>
          <w:szCs w:val="24"/>
          <w:highlight w:val="none"/>
          <w:lang w:eastAsia="zh-CN"/>
        </w:rPr>
        <w:t>个月在本单位缴纳的社保证明文件。）</w:t>
      </w:r>
    </w:p>
    <w:p w14:paraId="7499AEB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3.5.4 投标人须知前附表规定接受联合体投标的，本章第3.5.1 项至第3.5.3项规定的表格和资料应包括联合体各方相关情况。</w:t>
      </w:r>
    </w:p>
    <w:p w14:paraId="6DDCED15">
      <w:pPr>
        <w:spacing w:line="360" w:lineRule="auto"/>
        <w:ind w:firstLine="480" w:firstLineChars="200"/>
        <w:rPr>
          <w:rFonts w:ascii="宋体" w:hAnsi="宋体" w:cs="宋体"/>
          <w:highlight w:val="none"/>
        </w:rPr>
      </w:pPr>
      <w:r>
        <w:rPr>
          <w:rFonts w:hint="eastAsia" w:ascii="宋体" w:hAnsi="宋体" w:cs="宋体"/>
          <w:highlight w:val="none"/>
        </w:rPr>
        <w:t>现文：3.5 资格审查资料</w:t>
      </w:r>
    </w:p>
    <w:p w14:paraId="41297946">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除投标人须知前附表另有规定外，投标人应按下列规定提供资格审查资料，以证明其满足本章第 1.4 款规定的</w:t>
      </w:r>
      <w:r>
        <w:rPr>
          <w:rFonts w:hint="eastAsia" w:cs="宋体"/>
          <w:sz w:val="24"/>
          <w:highlight w:val="none"/>
          <w:u w:val="single"/>
        </w:rPr>
        <w:t>资质、信誉等要求</w:t>
      </w:r>
      <w:r>
        <w:rPr>
          <w:rFonts w:hint="eastAsia" w:cs="宋体"/>
          <w:sz w:val="24"/>
          <w:highlight w:val="none"/>
        </w:rPr>
        <w:t>。</w:t>
      </w:r>
    </w:p>
    <w:p w14:paraId="408A1CB9">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 xml:space="preserve">3.5.1 </w:t>
      </w:r>
      <w:r>
        <w:rPr>
          <w:rFonts w:hint="eastAsia" w:cs="宋体"/>
          <w:sz w:val="24"/>
          <w:highlight w:val="none"/>
          <w:u w:val="single"/>
        </w:rPr>
        <w:t>附投标人营业执照、投标人监理资质证书副本等材料的扫描件或电子证照</w:t>
      </w:r>
      <w:r>
        <w:rPr>
          <w:rFonts w:hint="eastAsia" w:cs="宋体"/>
          <w:sz w:val="24"/>
          <w:highlight w:val="none"/>
          <w:u w:val="single"/>
          <w:lang w:eastAsia="zh-CN"/>
        </w:rPr>
        <w:t>。</w:t>
      </w:r>
    </w:p>
    <w:p w14:paraId="7EF2A06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 xml:space="preserve">3.5.2 </w:t>
      </w:r>
      <w:r>
        <w:rPr>
          <w:rFonts w:hint="eastAsia" w:cs="宋体"/>
          <w:sz w:val="24"/>
          <w:highlight w:val="none"/>
          <w:u w:val="single"/>
        </w:rPr>
        <w:t>总监理工程师应附身份证、学历证、职称证、注册监理工程师执业证书</w:t>
      </w:r>
      <w:r>
        <w:rPr>
          <w:rFonts w:hint="eastAsia" w:cs="宋体"/>
          <w:sz w:val="24"/>
          <w:highlight w:val="none"/>
          <w:u w:val="single"/>
          <w:lang w:eastAsia="zh-CN"/>
        </w:rPr>
        <w:t>（</w:t>
      </w:r>
      <w:r>
        <w:rPr>
          <w:rFonts w:hint="eastAsia" w:cs="宋体"/>
          <w:sz w:val="24"/>
          <w:highlight w:val="none"/>
          <w:u w:val="single"/>
          <w:lang w:val="en-US" w:eastAsia="zh-CN"/>
        </w:rPr>
        <w:t>或监理工程师资格证书</w:t>
      </w:r>
      <w:r>
        <w:rPr>
          <w:rFonts w:hint="eastAsia" w:cs="宋体"/>
          <w:sz w:val="24"/>
          <w:highlight w:val="none"/>
          <w:u w:val="single"/>
          <w:lang w:eastAsia="zh-CN"/>
        </w:rPr>
        <w:t>）</w:t>
      </w:r>
      <w:r>
        <w:rPr>
          <w:rFonts w:hint="eastAsia" w:cs="宋体"/>
          <w:sz w:val="24"/>
          <w:highlight w:val="none"/>
          <w:u w:val="single"/>
        </w:rPr>
        <w:t>和社保缴费证明扫描件。（注：以上人员社保要求：近一个月（指202</w:t>
      </w:r>
      <w:r>
        <w:rPr>
          <w:rFonts w:hint="eastAsia" w:cs="宋体"/>
          <w:sz w:val="24"/>
          <w:highlight w:val="none"/>
          <w:u w:val="single"/>
          <w:lang w:val="en-US" w:eastAsia="zh-CN"/>
        </w:rPr>
        <w:t>6</w:t>
      </w:r>
      <w:r>
        <w:rPr>
          <w:rFonts w:hint="eastAsia" w:cs="宋体"/>
          <w:sz w:val="24"/>
          <w:highlight w:val="none"/>
          <w:u w:val="single"/>
        </w:rPr>
        <w:t>年</w:t>
      </w:r>
      <w:r>
        <w:rPr>
          <w:rFonts w:hint="eastAsia" w:cs="宋体"/>
          <w:sz w:val="24"/>
          <w:highlight w:val="none"/>
          <w:u w:val="single"/>
          <w:lang w:val="en-US" w:eastAsia="zh-CN"/>
        </w:rPr>
        <w:t>2</w:t>
      </w:r>
      <w:r>
        <w:rPr>
          <w:rFonts w:hint="eastAsia" w:cs="宋体"/>
          <w:sz w:val="24"/>
          <w:highlight w:val="none"/>
          <w:u w:val="single"/>
        </w:rPr>
        <w:t>月）在本投标单位购买社保缴纳证明材料(须加盖社保部门或税务部门印章)（已退休人员提供退休证。）</w:t>
      </w:r>
    </w:p>
    <w:p w14:paraId="6A799FAF">
      <w:pPr>
        <w:pStyle w:val="3"/>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cs="宋体"/>
          <w:sz w:val="24"/>
          <w:highlight w:val="none"/>
        </w:rPr>
      </w:pPr>
      <w:r>
        <w:rPr>
          <w:rFonts w:hint="eastAsia" w:cs="宋体"/>
          <w:sz w:val="24"/>
          <w:highlight w:val="none"/>
        </w:rPr>
        <w:t xml:space="preserve">3.5.3 </w:t>
      </w:r>
      <w:r>
        <w:rPr>
          <w:rFonts w:hint="eastAsia" w:cs="宋体"/>
          <w:sz w:val="24"/>
          <w:highlight w:val="none"/>
          <w:u w:val="single"/>
        </w:rPr>
        <w:t>本项目不接受联合体投标</w:t>
      </w:r>
      <w:r>
        <w:rPr>
          <w:rFonts w:hint="eastAsia" w:cs="宋体"/>
          <w:sz w:val="24"/>
          <w:highlight w:val="none"/>
        </w:rPr>
        <w:t>。</w:t>
      </w:r>
    </w:p>
    <w:p w14:paraId="476B9951">
      <w:pPr>
        <w:pStyle w:val="3"/>
        <w:pBdr>
          <w:bottom w:val="single" w:color="auto" w:sz="4" w:space="0"/>
        </w:pBdr>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sz w:val="24"/>
          <w:highlight w:val="none"/>
        </w:rPr>
      </w:pPr>
      <w:r>
        <w:rPr>
          <w:rFonts w:hint="eastAsia" w:cs="宋体"/>
          <w:sz w:val="24"/>
          <w:highlight w:val="none"/>
        </w:rPr>
        <w:t xml:space="preserve">3.5.4 </w:t>
      </w:r>
      <w:r>
        <w:rPr>
          <w:rFonts w:hint="eastAsia" w:cs="宋体"/>
          <w:sz w:val="24"/>
          <w:highlight w:val="none"/>
          <w:u w:val="single"/>
        </w:rPr>
        <w:t>其他详见招标公告要求。</w:t>
      </w:r>
    </w:p>
    <w:p w14:paraId="71D08ECC">
      <w:pPr>
        <w:spacing w:line="351" w:lineRule="auto"/>
        <w:ind w:firstLine="537" w:firstLineChars="224"/>
        <w:rPr>
          <w:rFonts w:hint="eastAsia" w:ascii="宋体" w:hAnsi="宋体" w:eastAsia="宋体"/>
          <w:color w:val="auto"/>
          <w:sz w:val="24"/>
          <w:szCs w:val="24"/>
          <w:highlight w:val="none"/>
          <w:lang w:val="en-US" w:eastAsia="zh-CN"/>
        </w:rPr>
      </w:pPr>
      <w:r>
        <w:rPr>
          <w:rFonts w:hint="default" w:ascii="宋体" w:hAnsi="宋体" w:eastAsia="宋体"/>
          <w:color w:val="auto"/>
          <w:sz w:val="24"/>
          <w:szCs w:val="24"/>
          <w:highlight w:val="none"/>
        </w:rPr>
        <w:t>条款号：</w:t>
      </w:r>
      <w:r>
        <w:rPr>
          <w:rFonts w:hint="eastAsia" w:ascii="宋体" w:hAnsi="宋体"/>
          <w:color w:val="auto"/>
          <w:sz w:val="24"/>
          <w:szCs w:val="24"/>
          <w:highlight w:val="none"/>
          <w:lang w:val="en-US" w:eastAsia="zh-CN"/>
        </w:rPr>
        <w:t>3.7.3</w:t>
      </w:r>
      <w:r>
        <w:rPr>
          <w:rFonts w:hint="default" w:ascii="宋体" w:hAnsi="宋体" w:eastAsia="宋体"/>
          <w:color w:val="auto"/>
          <w:sz w:val="24"/>
          <w:szCs w:val="24"/>
          <w:highlight w:val="none"/>
        </w:rPr>
        <w:t xml:space="preserve">             修改类型：</w:t>
      </w:r>
      <w:r>
        <w:rPr>
          <w:rFonts w:hint="eastAsia" w:ascii="宋体" w:hAnsi="宋体"/>
          <w:color w:val="auto"/>
          <w:sz w:val="24"/>
          <w:szCs w:val="24"/>
          <w:highlight w:val="none"/>
          <w:lang w:val="en-US" w:eastAsia="zh-CN"/>
        </w:rPr>
        <w:t>修改</w:t>
      </w:r>
    </w:p>
    <w:p w14:paraId="47B99433">
      <w:pPr>
        <w:pBdr>
          <w:bottom w:val="single" w:color="auto" w:sz="6" w:space="1"/>
        </w:pBdr>
        <w:spacing w:line="351" w:lineRule="auto"/>
        <w:ind w:firstLine="537" w:firstLineChars="224"/>
        <w:rPr>
          <w:rFonts w:hint="default" w:ascii="宋体" w:hAnsi="宋体"/>
          <w:color w:val="auto"/>
          <w:sz w:val="24"/>
          <w:szCs w:val="24"/>
          <w:highlight w:val="none"/>
          <w:lang w:val="en-US" w:eastAsia="zh-CN"/>
        </w:rPr>
      </w:pPr>
      <w:r>
        <w:rPr>
          <w:rFonts w:hint="eastAsia" w:ascii="宋体" w:hAnsi="宋体"/>
          <w:b w:val="0"/>
          <w:bCs w:val="0"/>
          <w:color w:val="auto"/>
          <w:sz w:val="24"/>
          <w:szCs w:val="24"/>
          <w:highlight w:val="none"/>
          <w:lang w:val="en-US" w:eastAsia="zh-CN"/>
        </w:rPr>
        <w:t>原文：</w:t>
      </w:r>
      <w:r>
        <w:rPr>
          <w:rFonts w:hint="default" w:cs="Times New Roman"/>
          <w:color w:val="auto"/>
          <w:sz w:val="24"/>
          <w:szCs w:val="24"/>
          <w:highlight w:val="none"/>
        </w:rPr>
        <w:t>投标文件全部采用电子文档，投标文件所附证书证件均为</w:t>
      </w:r>
      <w:r>
        <w:rPr>
          <w:rFonts w:hint="eastAsia" w:cs="Times New Roman"/>
          <w:color w:val="auto"/>
          <w:sz w:val="24"/>
          <w:szCs w:val="24"/>
          <w:highlight w:val="none"/>
          <w:lang w:val="en-US" w:eastAsia="zh-CN"/>
        </w:rPr>
        <w:t>原件</w:t>
      </w:r>
      <w:r>
        <w:rPr>
          <w:rFonts w:hint="default" w:cs="Times New Roman"/>
          <w:color w:val="auto"/>
          <w:sz w:val="24"/>
          <w:szCs w:val="24"/>
          <w:highlight w:val="none"/>
        </w:rPr>
        <w:t>扫描件</w:t>
      </w:r>
      <w:r>
        <w:rPr>
          <w:rFonts w:hint="default" w:cs="Times New Roman"/>
          <w:color w:val="auto"/>
          <w:sz w:val="24"/>
          <w:szCs w:val="24"/>
          <w:highlight w:val="none"/>
          <w:lang w:eastAsia="zh-CN"/>
        </w:rPr>
        <w:t>或电子证书</w:t>
      </w:r>
      <w:r>
        <w:rPr>
          <w:rFonts w:hint="default" w:cs="Times New Roman"/>
          <w:color w:val="auto"/>
          <w:sz w:val="24"/>
          <w:szCs w:val="24"/>
          <w:highlight w:val="none"/>
        </w:rPr>
        <w:t>，并采用单位数字证书，按招标文件要求在相应位置加盖电子印章。投标文件中需个人签字或盖章的，应加盖个人电子印章或在线下完成后扫描上传</w:t>
      </w:r>
      <w:r>
        <w:rPr>
          <w:rFonts w:hint="eastAsia"/>
          <w:color w:val="auto"/>
          <w:kern w:val="2"/>
          <w:sz w:val="24"/>
          <w:szCs w:val="24"/>
          <w:highlight w:val="none"/>
          <w:lang w:val="en-US" w:eastAsia="zh-CN"/>
        </w:rPr>
        <w:t>（</w:t>
      </w:r>
      <w:r>
        <w:rPr>
          <w:rFonts w:hint="default" w:ascii="Calibri" w:hAnsi="Calibri" w:eastAsia="宋体" w:cs="Times New Roman"/>
          <w:color w:val="auto"/>
          <w:kern w:val="2"/>
          <w:sz w:val="24"/>
          <w:szCs w:val="24"/>
          <w:highlight w:val="none"/>
          <w:lang w:val="en-US" w:eastAsia="zh-CN" w:bidi="ar-SA"/>
        </w:rPr>
        <w:t>可靠的电子签名与手写签名或者盖章具有同等的法律效力</w:t>
      </w:r>
      <w:r>
        <w:rPr>
          <w:rFonts w:hint="eastAsia"/>
          <w:color w:val="auto"/>
          <w:kern w:val="2"/>
          <w:sz w:val="24"/>
          <w:szCs w:val="24"/>
          <w:highlight w:val="none"/>
          <w:lang w:val="en-US" w:eastAsia="zh-CN"/>
        </w:rPr>
        <w:t>）</w:t>
      </w:r>
      <w:r>
        <w:rPr>
          <w:rFonts w:hint="default" w:cs="Times New Roman"/>
          <w:color w:val="auto"/>
          <w:sz w:val="24"/>
          <w:szCs w:val="24"/>
          <w:highlight w:val="none"/>
        </w:rPr>
        <w:t>。按照</w:t>
      </w:r>
      <w:r>
        <w:rPr>
          <w:rFonts w:hint="eastAsia" w:cs="Times New Roman"/>
          <w:color w:val="auto"/>
          <w:sz w:val="24"/>
          <w:szCs w:val="24"/>
          <w:highlight w:val="none"/>
          <w:lang w:eastAsia="zh-CN"/>
        </w:rPr>
        <w:t>广州交易集团有限公司（广州公共资源交易中心）</w:t>
      </w:r>
      <w:r>
        <w:rPr>
          <w:rFonts w:hint="default" w:cs="Times New Roman"/>
          <w:color w:val="auto"/>
          <w:sz w:val="24"/>
          <w:szCs w:val="24"/>
          <w:highlight w:val="none"/>
          <w:lang w:eastAsia="zh-CN"/>
        </w:rPr>
        <w:t>网站关于全流程电子化项目的相关指南进行操作</w:t>
      </w:r>
      <w:r>
        <w:rPr>
          <w:rFonts w:hint="eastAsia" w:cs="Times New Roman"/>
          <w:color w:val="auto"/>
          <w:sz w:val="24"/>
          <w:szCs w:val="24"/>
          <w:highlight w:val="none"/>
          <w:lang w:eastAsia="zh-CN"/>
        </w:rPr>
        <w:t>。</w:t>
      </w:r>
    </w:p>
    <w:p w14:paraId="2B792884">
      <w:pPr>
        <w:pBdr>
          <w:bottom w:val="single" w:color="auto" w:sz="6" w:space="1"/>
        </w:pBdr>
        <w:spacing w:line="351" w:lineRule="auto"/>
        <w:ind w:firstLine="537" w:firstLineChars="224"/>
        <w:rPr>
          <w:rFonts w:hint="default" w:ascii="宋体" w:hAnsi="宋体" w:eastAsia="宋体"/>
          <w:color w:val="auto"/>
          <w:sz w:val="24"/>
          <w:szCs w:val="24"/>
          <w:highlight w:val="none"/>
          <w:u w:val="none"/>
          <w:lang w:val="en-US" w:eastAsia="zh-CN"/>
        </w:rPr>
      </w:pPr>
      <w:r>
        <w:rPr>
          <w:rFonts w:hint="eastAsia" w:ascii="宋体" w:hAnsi="宋体"/>
          <w:b w:val="0"/>
          <w:bCs w:val="0"/>
          <w:color w:val="auto"/>
          <w:sz w:val="24"/>
          <w:szCs w:val="24"/>
          <w:highlight w:val="none"/>
          <w:u w:val="none"/>
          <w:lang w:val="en-US" w:eastAsia="zh-CN"/>
        </w:rPr>
        <w:t>现文：</w:t>
      </w:r>
      <w:r>
        <w:rPr>
          <w:rFonts w:hint="default" w:cs="Times New Roman"/>
          <w:color w:val="auto"/>
          <w:sz w:val="24"/>
          <w:szCs w:val="24"/>
          <w:highlight w:val="none"/>
          <w:u w:val="none"/>
        </w:rPr>
        <w:t>投标文件全部采用电子文档，投标文件所附证书证件均为</w:t>
      </w:r>
      <w:r>
        <w:rPr>
          <w:rFonts w:hint="eastAsia" w:cs="Times New Roman"/>
          <w:b w:val="0"/>
          <w:bCs w:val="0"/>
          <w:color w:val="auto"/>
          <w:sz w:val="24"/>
          <w:szCs w:val="24"/>
          <w:highlight w:val="none"/>
          <w:u w:val="none"/>
          <w:lang w:val="en-US" w:eastAsia="zh-CN"/>
        </w:rPr>
        <w:t>清晰</w:t>
      </w:r>
      <w:r>
        <w:rPr>
          <w:rFonts w:hint="default" w:cs="Times New Roman"/>
          <w:color w:val="auto"/>
          <w:sz w:val="24"/>
          <w:szCs w:val="24"/>
          <w:highlight w:val="none"/>
          <w:u w:val="none"/>
        </w:rPr>
        <w:t>扫描件</w:t>
      </w:r>
      <w:r>
        <w:rPr>
          <w:rFonts w:hint="default" w:cs="Times New Roman"/>
          <w:color w:val="auto"/>
          <w:sz w:val="24"/>
          <w:szCs w:val="24"/>
          <w:highlight w:val="none"/>
          <w:u w:val="none"/>
          <w:lang w:eastAsia="zh-CN"/>
        </w:rPr>
        <w:t>或电子证书</w:t>
      </w:r>
      <w:r>
        <w:rPr>
          <w:rFonts w:hint="default" w:cs="Times New Roman"/>
          <w:color w:val="auto"/>
          <w:sz w:val="24"/>
          <w:szCs w:val="24"/>
          <w:highlight w:val="none"/>
          <w:u w:val="none"/>
        </w:rPr>
        <w:t>，并采用单位数字证书，按招标文件要求加盖电子印章。投标文件中需个人签字或盖章的，应加盖个人电子印章或在线下完成后扫描上传</w:t>
      </w:r>
      <w:r>
        <w:rPr>
          <w:rFonts w:hint="eastAsia"/>
          <w:color w:val="auto"/>
          <w:kern w:val="2"/>
          <w:sz w:val="24"/>
          <w:szCs w:val="24"/>
          <w:highlight w:val="none"/>
          <w:u w:val="none"/>
          <w:lang w:val="en-US" w:eastAsia="zh-CN"/>
        </w:rPr>
        <w:t>（</w:t>
      </w:r>
      <w:r>
        <w:rPr>
          <w:rFonts w:hint="default" w:ascii="Calibri" w:hAnsi="Calibri" w:eastAsia="宋体" w:cs="Times New Roman"/>
          <w:color w:val="auto"/>
          <w:kern w:val="2"/>
          <w:sz w:val="24"/>
          <w:szCs w:val="24"/>
          <w:highlight w:val="none"/>
          <w:u w:val="none"/>
          <w:lang w:val="en-US" w:eastAsia="zh-CN" w:bidi="ar-SA"/>
        </w:rPr>
        <w:t>可靠的电子签名与手写签名或者盖章具有同等的法律效力</w:t>
      </w:r>
      <w:r>
        <w:rPr>
          <w:rFonts w:hint="eastAsia"/>
          <w:color w:val="auto"/>
          <w:kern w:val="2"/>
          <w:sz w:val="24"/>
          <w:szCs w:val="24"/>
          <w:highlight w:val="none"/>
          <w:u w:val="none"/>
          <w:lang w:val="en-US" w:eastAsia="zh-CN"/>
        </w:rPr>
        <w:t>）</w:t>
      </w:r>
      <w:r>
        <w:rPr>
          <w:rFonts w:hint="default" w:cs="Times New Roman"/>
          <w:color w:val="auto"/>
          <w:sz w:val="24"/>
          <w:szCs w:val="24"/>
          <w:highlight w:val="none"/>
          <w:u w:val="none"/>
        </w:rPr>
        <w:t>。按照</w:t>
      </w:r>
      <w:r>
        <w:rPr>
          <w:rFonts w:hint="eastAsia" w:cs="Times New Roman"/>
          <w:color w:val="auto"/>
          <w:sz w:val="24"/>
          <w:szCs w:val="24"/>
          <w:highlight w:val="none"/>
          <w:u w:val="none"/>
          <w:lang w:eastAsia="zh-CN"/>
        </w:rPr>
        <w:t>广州交易集团有限公司（广州公共资源交易中心）</w:t>
      </w:r>
      <w:r>
        <w:rPr>
          <w:rFonts w:hint="default" w:cs="Times New Roman"/>
          <w:color w:val="auto"/>
          <w:sz w:val="24"/>
          <w:szCs w:val="24"/>
          <w:highlight w:val="none"/>
          <w:u w:val="none"/>
          <w:lang w:eastAsia="zh-CN"/>
        </w:rPr>
        <w:t>网站关于全流程电子化项目的相关指南进行操作</w:t>
      </w:r>
      <w:r>
        <w:rPr>
          <w:rFonts w:hint="eastAsia" w:cs="Times New Roman"/>
          <w:color w:val="auto"/>
          <w:sz w:val="24"/>
          <w:szCs w:val="24"/>
          <w:highlight w:val="none"/>
          <w:u w:val="none"/>
          <w:lang w:eastAsia="zh-CN"/>
        </w:rPr>
        <w:t>。</w:t>
      </w:r>
    </w:p>
    <w:p w14:paraId="1D60806A">
      <w:pPr>
        <w:spacing w:line="360" w:lineRule="auto"/>
        <w:ind w:firstLine="540" w:firstLineChars="224"/>
        <w:rPr>
          <w:rFonts w:ascii="宋体" w:hAnsi="宋体"/>
          <w:b/>
          <w:highlight w:val="none"/>
        </w:rPr>
      </w:pPr>
      <w:r>
        <w:rPr>
          <w:rFonts w:ascii="宋体" w:hAnsi="宋体"/>
          <w:b/>
          <w:highlight w:val="none"/>
        </w:rPr>
        <w:t>条款号：3.7.4         修改类型：删除</w:t>
      </w:r>
    </w:p>
    <w:p w14:paraId="00EFCB9C">
      <w:pPr>
        <w:pBdr>
          <w:bottom w:val="single" w:color="auto" w:sz="6" w:space="1"/>
        </w:pBdr>
        <w:spacing w:line="351" w:lineRule="auto"/>
        <w:ind w:firstLine="537" w:firstLineChars="224"/>
        <w:rPr>
          <w:rFonts w:hint="eastAsia" w:ascii="宋体" w:hAnsi="宋体" w:eastAsia="宋体" w:cs="宋体"/>
          <w:color w:val="auto"/>
          <w:sz w:val="24"/>
          <w:szCs w:val="24"/>
          <w:highlight w:val="none"/>
          <w:u w:val="none"/>
          <w:lang w:val="en-US" w:eastAsia="zh-CN"/>
        </w:rPr>
      </w:pPr>
      <w:r>
        <w:rPr>
          <w:rFonts w:hint="eastAsia" w:ascii="宋体" w:hAnsi="宋体" w:eastAsia="宋体" w:cs="宋体"/>
          <w:highlight w:val="none"/>
        </w:rPr>
        <w:t>原文：3.7.4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r>
        <w:rPr>
          <w:rFonts w:hint="eastAsia" w:ascii="宋体" w:hAnsi="宋体" w:eastAsia="宋体" w:cs="宋体"/>
          <w:strike w:val="0"/>
          <w:color w:val="auto"/>
          <w:sz w:val="24"/>
          <w:szCs w:val="24"/>
          <w:highlight w:val="none"/>
        </w:rPr>
        <w:t>。</w:t>
      </w:r>
    </w:p>
    <w:p w14:paraId="01BAEEEE">
      <w:pPr>
        <w:pStyle w:val="3"/>
        <w:rPr>
          <w:rFonts w:hint="default"/>
          <w:highlight w:val="none"/>
        </w:rPr>
      </w:pPr>
    </w:p>
    <w:p w14:paraId="322E9EE5">
      <w:pPr>
        <w:spacing w:line="351"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注：以上修改，仅限于本范本中有可供选择条款的情形。</w:t>
      </w:r>
    </w:p>
    <w:p w14:paraId="65E860AE">
      <w:pPr>
        <w:spacing w:line="351" w:lineRule="auto"/>
        <w:rPr>
          <w:rFonts w:hint="default" w:ascii="宋体" w:hAnsi="宋体" w:eastAsia="宋体"/>
          <w:color w:val="auto"/>
          <w:sz w:val="24"/>
          <w:szCs w:val="24"/>
          <w:highlight w:val="none"/>
        </w:rPr>
      </w:pPr>
      <w:r>
        <w:rPr>
          <w:rFonts w:hint="default" w:ascii="宋体" w:hAnsi="宋体" w:eastAsia="宋体"/>
          <w:color w:val="auto"/>
          <w:sz w:val="24"/>
          <w:szCs w:val="24"/>
          <w:highlight w:val="none"/>
        </w:rPr>
        <w:t>（以下无正文）</w:t>
      </w:r>
    </w:p>
    <w:p w14:paraId="128DEB2F">
      <w:pPr>
        <w:pStyle w:val="6"/>
        <w:outlineLvl w:val="9"/>
        <w:rPr>
          <w:rFonts w:hint="default" w:cs="宋体"/>
          <w:color w:val="auto"/>
          <w:sz w:val="24"/>
          <w:szCs w:val="24"/>
          <w:highlight w:val="none"/>
        </w:rPr>
        <w:sectPr>
          <w:pgSz w:w="11905" w:h="16838"/>
          <w:pgMar w:top="1417" w:right="1128" w:bottom="1417" w:left="1417" w:header="992" w:footer="992" w:gutter="0"/>
          <w:lnNumType w:countBy="0" w:distance="360"/>
          <w:pgNumType w:fmt="decimal"/>
          <w:cols w:space="720" w:num="1"/>
        </w:sectPr>
      </w:pPr>
    </w:p>
    <w:p w14:paraId="14FBD81B">
      <w:pPr>
        <w:pStyle w:val="6"/>
        <w:spacing w:before="120" w:after="120"/>
        <w:rPr>
          <w:rFonts w:cs="宋体"/>
          <w:b w:val="0"/>
          <w:highlight w:val="none"/>
        </w:rPr>
      </w:pPr>
      <w:bookmarkStart w:id="20" w:name="_Toc16248"/>
      <w:r>
        <w:rPr>
          <w:rFonts w:cs="宋体"/>
          <w:highlight w:val="none"/>
        </w:rPr>
        <w:t>1.总则</w:t>
      </w:r>
      <w:bookmarkEnd w:id="20"/>
    </w:p>
    <w:p w14:paraId="1C01558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21" w:name="bookmark21"/>
      <w:bookmarkEnd w:id="21"/>
      <w:bookmarkStart w:id="22" w:name="_Toc21335"/>
      <w:r>
        <w:rPr>
          <w:sz w:val="24"/>
          <w:highlight w:val="none"/>
        </w:rPr>
        <w:t>1.1 招标项目概况</w:t>
      </w:r>
      <w:bookmarkEnd w:id="22"/>
    </w:p>
    <w:p w14:paraId="1E19FF0B">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1.1.1 根据《中华人民共和国招标投标法》、《中华人民共和国招标投标法实施条例》等有关法律、法规和规章的规定，本招标项目已具备招标条件，现对监理进行招标。</w:t>
      </w:r>
    </w:p>
    <w:p w14:paraId="617A07EB">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1.1.2 招标人：见投标人须知前附表。</w:t>
      </w:r>
    </w:p>
    <w:p w14:paraId="0D501D2E">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1.1.3 招标代理机构：见投标人须知前附表。</w:t>
      </w:r>
    </w:p>
    <w:p w14:paraId="35CFBA3A">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1.1.4 招标项目名称：见投标人须知前附表。</w:t>
      </w:r>
    </w:p>
    <w:p w14:paraId="42C23B01">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1.1.5 项目建设地点：见投标人须知前附表。</w:t>
      </w:r>
    </w:p>
    <w:p w14:paraId="2FF77DDD">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1.1.6 项目建设规模：见投标人须知前附表。</w:t>
      </w:r>
    </w:p>
    <w:p w14:paraId="35D65C55">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1.1.7 工程项目施工预计开工日期和建设周期：见投标人须知前附表。</w:t>
      </w:r>
    </w:p>
    <w:p w14:paraId="683AD473">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1.1.8 建筑安装工程费/工程概算：见投标人须知前附表。</w:t>
      </w:r>
    </w:p>
    <w:p w14:paraId="15BC53E5">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23" w:name="bookmark22"/>
      <w:bookmarkEnd w:id="23"/>
      <w:bookmarkStart w:id="24" w:name="_Toc17099"/>
      <w:r>
        <w:rPr>
          <w:sz w:val="24"/>
          <w:highlight w:val="none"/>
        </w:rPr>
        <w:t>1.2 招标项目的资金来源和落实情况</w:t>
      </w:r>
      <w:bookmarkEnd w:id="24"/>
    </w:p>
    <w:p w14:paraId="1C59DB29">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1.2.1 资金来源及比例：见投标人须知前附表。</w:t>
      </w:r>
    </w:p>
    <w:p w14:paraId="17055218">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1.2.2 资金落实情况：见投标人须知前附表。</w:t>
      </w:r>
    </w:p>
    <w:p w14:paraId="208B2D1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25" w:name="bookmark23"/>
      <w:bookmarkEnd w:id="25"/>
      <w:bookmarkStart w:id="26" w:name="_Toc4457"/>
      <w:r>
        <w:rPr>
          <w:sz w:val="24"/>
          <w:highlight w:val="none"/>
        </w:rPr>
        <w:t>1.3 招标范围、监理服务期限和质量标准</w:t>
      </w:r>
      <w:bookmarkEnd w:id="26"/>
    </w:p>
    <w:p w14:paraId="34CAB8B4">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1.3.1 招标范围：见投标人须知前附表。</w:t>
      </w:r>
    </w:p>
    <w:p w14:paraId="3B5D1BE8">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1.3.2 监理服务期限：见投标人须知前附表。</w:t>
      </w:r>
    </w:p>
    <w:p w14:paraId="1A90C755">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1.3.3 质量标准：见投标人须知前附表。</w:t>
      </w:r>
    </w:p>
    <w:p w14:paraId="4DAF5F6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27" w:name="bookmark24"/>
      <w:bookmarkEnd w:id="27"/>
      <w:bookmarkStart w:id="28" w:name="_Toc13328"/>
      <w:r>
        <w:rPr>
          <w:sz w:val="24"/>
          <w:highlight w:val="none"/>
        </w:rPr>
        <w:t>1.4 投标人资格要求</w:t>
      </w:r>
      <w:bookmarkEnd w:id="28"/>
    </w:p>
    <w:p w14:paraId="5A554349">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1.4.1 投标人应具备承担本招标项目资质条件、能力和信誉：</w:t>
      </w:r>
    </w:p>
    <w:p w14:paraId="5A236865">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（1）资质要求：见投标人须知前附表；</w:t>
      </w:r>
    </w:p>
    <w:p w14:paraId="231FBF4C">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（2）财务要求：见投标人须知前附表；</w:t>
      </w:r>
    </w:p>
    <w:p w14:paraId="25AC8D09">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（3）业绩要求：见投标人须知前附表；</w:t>
      </w:r>
    </w:p>
    <w:p w14:paraId="78FD3281">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（4）信誉要求：见投标人须知前附表；</w:t>
      </w:r>
    </w:p>
    <w:p w14:paraId="20EC0923">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（5）总监理工程师的资格要求：应当具备工程注册监理工程师执业资格，具体要求见投标人须知前附表；</w:t>
      </w:r>
    </w:p>
    <w:p w14:paraId="77448E23">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（6）其他主要人员要求：见投标人须知前附表。</w:t>
      </w:r>
    </w:p>
    <w:p w14:paraId="1D09E3AC">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（7）试验检测仪器设备要求：见投标人须知前附表。</w:t>
      </w:r>
    </w:p>
    <w:p w14:paraId="35B84762">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sz w:val="24"/>
          <w:highlight w:val="none"/>
        </w:rPr>
      </w:pPr>
      <w:r>
        <w:rPr>
          <w:sz w:val="24"/>
          <w:highlight w:val="none"/>
        </w:rPr>
        <w:t>（8）其他要求：见投标人须知前附表。需要提交的相关证明材料见本章第 3.5 款的规定。</w:t>
      </w:r>
    </w:p>
    <w:p w14:paraId="59466CF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1.4.2 投标人须知前附表规定接受联合体投标的，联合体除应符合本章第 1.4.1 项和投标人须知前附表的要求外，还应遵守以下规定：</w:t>
      </w:r>
    </w:p>
    <w:p w14:paraId="3B3339A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（1）联合体各方应按招标文件提供的格式签订联合体协议书，明确联合体</w:t>
      </w:r>
      <w:r>
        <w:rPr>
          <w:spacing w:val="-2"/>
          <w:sz w:val="24"/>
          <w:highlight w:val="none"/>
        </w:rPr>
        <w:t>主办方</w:t>
      </w:r>
      <w:r>
        <w:rPr>
          <w:sz w:val="24"/>
          <w:highlight w:val="none"/>
        </w:rPr>
        <w:t>和各方权利义务，并承诺就中标项目向招标人承担连带责任；</w:t>
      </w:r>
    </w:p>
    <w:p w14:paraId="5829EED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（2）由同一专业的单位组成的联合体，按照资质等级较低的单位确定资质等级；</w:t>
      </w:r>
    </w:p>
    <w:p w14:paraId="1A16867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（3）联合体各方不得再以自己名义单独或参加其他联合体在本招标项目中投标，否则各相关投标均无效。</w:t>
      </w:r>
    </w:p>
    <w:p w14:paraId="25EE981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1.4.3 投标人不得存在下列情形之一：</w:t>
      </w:r>
    </w:p>
    <w:p w14:paraId="5CCEC25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（1）为招标人不具有独立法人资格的附属机构（单位）；</w:t>
      </w:r>
    </w:p>
    <w:p w14:paraId="0ACE742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（2）与招标人存在利害关系且可能影响招标公正性；</w:t>
      </w:r>
    </w:p>
    <w:p w14:paraId="401849D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（3）与本招标项目的其他投标人为同一个单位负责人；</w:t>
      </w:r>
    </w:p>
    <w:p w14:paraId="57A3F03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（4）与本招标项目的其他投标人存在控股、管理关系；</w:t>
      </w:r>
    </w:p>
    <w:p w14:paraId="53D59F4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（5）为本招标项目的代建人；</w:t>
      </w:r>
    </w:p>
    <w:p w14:paraId="5F88611C">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（6）为本招标项目的招标代理机构；</w:t>
      </w:r>
    </w:p>
    <w:p w14:paraId="008A266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（7）与本招标项目的代建人或招标代理机构同为一个法定代表人；</w:t>
      </w:r>
    </w:p>
    <w:p w14:paraId="4749F27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（8）与本招标项目的代建人或招标代理机构存在控股或参股关系；</w:t>
      </w:r>
    </w:p>
    <w:p w14:paraId="69D7478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（9）与本招标项目的检测机构、建设、施工单位以及建筑材料、建筑构配件和设备供应商有隶属关系或者其他利害关系有隶属关系或者其他利害关系；</w:t>
      </w:r>
    </w:p>
    <w:p w14:paraId="63A49BC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（10）被依法暂停或者取消投标资格；</w:t>
      </w:r>
    </w:p>
    <w:p w14:paraId="76C01B4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（11）被依法暂停或取消投标资格的；</w:t>
      </w:r>
      <w:r>
        <w:rPr>
          <w:rFonts w:hint="eastAsia"/>
          <w:sz w:val="24"/>
          <w:highlight w:val="none"/>
        </w:rPr>
        <w:t>(</w:t>
      </w:r>
      <w:r>
        <w:rPr>
          <w:sz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sz w:val="24"/>
          <w:highlight w:val="none"/>
        </w:rPr>
        <w:t>)</w:t>
      </w:r>
      <w:r>
        <w:rPr>
          <w:sz w:val="24"/>
          <w:highlight w:val="none"/>
        </w:rPr>
        <w:t>；</w:t>
      </w:r>
    </w:p>
    <w:p w14:paraId="44A0F9D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（12）被责令停产停业、暂扣或者吊销许可证、暂扣或者吊销执照的（本项事实应当以根据《中华人民共和国行政处罚法》依法作出并已经生效的行政处罚决定为认定依据。）；</w:t>
      </w:r>
    </w:p>
    <w:p w14:paraId="16F266B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（13）进入清算程序，或被宣布破产，或其他丧失履约能力的情形；</w:t>
      </w:r>
    </w:p>
    <w:p w14:paraId="7BEA44B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4AD2C5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w:t>
      </w:r>
      <w:r>
        <w:rPr>
          <w:rFonts w:hint="eastAsia"/>
          <w:sz w:val="24"/>
          <w:highlight w:val="none"/>
        </w:rPr>
        <w:t>5</w:t>
      </w:r>
      <w:r>
        <w:rPr>
          <w:sz w:val="24"/>
          <w:highlight w:val="none"/>
        </w:rPr>
        <w:t>）法律法规规定的其他情形。</w:t>
      </w:r>
    </w:p>
    <w:p w14:paraId="7EB77621">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29" w:name="bookmark25"/>
      <w:bookmarkEnd w:id="29"/>
      <w:bookmarkStart w:id="30" w:name="_Toc12360"/>
      <w:r>
        <w:rPr>
          <w:sz w:val="24"/>
          <w:highlight w:val="none"/>
        </w:rPr>
        <w:t>1.5 费用承担</w:t>
      </w:r>
      <w:bookmarkEnd w:id="30"/>
    </w:p>
    <w:p w14:paraId="0CA69EF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投标人准备和参加投标活动发生的费用自理。</w:t>
      </w:r>
    </w:p>
    <w:p w14:paraId="5B8191E5">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31" w:name="bookmark26"/>
      <w:bookmarkEnd w:id="31"/>
      <w:bookmarkStart w:id="32" w:name="_Toc8195"/>
      <w:r>
        <w:rPr>
          <w:sz w:val="24"/>
          <w:highlight w:val="none"/>
        </w:rPr>
        <w:t>1.6 保密</w:t>
      </w:r>
      <w:bookmarkEnd w:id="32"/>
    </w:p>
    <w:p w14:paraId="7C9409A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参与招标投标活动的各方应对招标文件和投标文件中的商业和技术等秘密保密，否则应承 担相应的法律责任。</w:t>
      </w:r>
    </w:p>
    <w:p w14:paraId="40018FC7">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33" w:name="bookmark27"/>
      <w:bookmarkEnd w:id="33"/>
      <w:bookmarkStart w:id="34" w:name="_Toc12511"/>
      <w:r>
        <w:rPr>
          <w:sz w:val="24"/>
          <w:highlight w:val="none"/>
        </w:rPr>
        <w:t>1.7 语言文字</w:t>
      </w:r>
      <w:bookmarkEnd w:id="34"/>
    </w:p>
    <w:p w14:paraId="56228F9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招标投标文件使用的语言文字为中文。专用术语使用外文的，应附有中文注释。</w:t>
      </w:r>
    </w:p>
    <w:p w14:paraId="2FAD2B4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35" w:name="bookmark28"/>
      <w:bookmarkEnd w:id="35"/>
      <w:bookmarkStart w:id="36" w:name="_Toc30360"/>
      <w:r>
        <w:rPr>
          <w:sz w:val="24"/>
          <w:highlight w:val="none"/>
        </w:rPr>
        <w:t>1.8 计量单位</w:t>
      </w:r>
      <w:bookmarkEnd w:id="36"/>
    </w:p>
    <w:p w14:paraId="59510FE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所有计量均采用中华人民共和国法定计量单位。</w:t>
      </w:r>
    </w:p>
    <w:p w14:paraId="65637535">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37" w:name="bookmark29"/>
      <w:bookmarkEnd w:id="37"/>
      <w:bookmarkStart w:id="38" w:name="_Toc13105"/>
      <w:r>
        <w:rPr>
          <w:sz w:val="24"/>
          <w:highlight w:val="none"/>
        </w:rPr>
        <w:t>1.9 踏勘现场</w:t>
      </w:r>
      <w:bookmarkEnd w:id="38"/>
    </w:p>
    <w:p w14:paraId="719296C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1.9.1 投标人须知前附表规定组织踏勘现场的，招标人按投标人须知前附表规定的时间、地 点组织投标人踏勘项目现场。部分投标人未按时参加踏勘现场的，不影响踏勘现场的正常进行。</w:t>
      </w:r>
    </w:p>
    <w:p w14:paraId="7454B0F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1.9.2 投标人踏勘现场发生的费用自理。</w:t>
      </w:r>
    </w:p>
    <w:p w14:paraId="09AAA8F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1.9.3 除招标人的原因外，投标人自行负责在踏勘现场中所发生的人员伤亡和财产损失。</w:t>
      </w:r>
    </w:p>
    <w:p w14:paraId="700A8AB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1.9.4 招标人在踏勘现场中介绍的工程场地和相关的周边环境情况，供投标人在编制投标文 件时参考，招标人不对投标人据此作出的判断和决策负责。</w:t>
      </w:r>
    </w:p>
    <w:p w14:paraId="2ED19817">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39" w:name="bookmark30"/>
      <w:bookmarkEnd w:id="39"/>
      <w:bookmarkStart w:id="40" w:name="_Toc12293"/>
      <w:r>
        <w:rPr>
          <w:sz w:val="24"/>
          <w:highlight w:val="none"/>
        </w:rPr>
        <w:t>1.10 投标预备会</w:t>
      </w:r>
      <w:bookmarkEnd w:id="40"/>
    </w:p>
    <w:p w14:paraId="714BEC6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1.10.1 投标人须知前附表规定召开投标预备会的，招标人按投标人须知前附表规定的时间和地点召开投标预备会，澄清投标人提出的问题。</w:t>
      </w:r>
    </w:p>
    <w:p w14:paraId="72857E1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1.10.2 投标人应按投标人须知前附表规定的时间和形式将提出的问题送达招标人，以便招标人在会议期间澄清。</w:t>
      </w:r>
    </w:p>
    <w:p w14:paraId="466400E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sz w:val="24"/>
          <w:highlight w:val="none"/>
        </w:rPr>
      </w:pPr>
      <w:r>
        <w:rPr>
          <w:sz w:val="24"/>
          <w:highlight w:val="none"/>
        </w:rPr>
        <w:t>1.10.3 投标预备会后，招标人将对投标人所提问题的澄清，以投标人须知前附表规定的形式通知所有潜在投标人。该澄清内容为招标文件的组成部分。</w:t>
      </w:r>
    </w:p>
    <w:p w14:paraId="684F1FEE">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41" w:name="bookmark31"/>
      <w:bookmarkEnd w:id="41"/>
      <w:bookmarkStart w:id="42" w:name="_Toc19938"/>
      <w:r>
        <w:rPr>
          <w:sz w:val="24"/>
          <w:highlight w:val="none"/>
        </w:rPr>
        <w:t>1.11 分包</w:t>
      </w:r>
      <w:bookmarkEnd w:id="42"/>
    </w:p>
    <w:p w14:paraId="2E9F658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本项目严禁分包。</w:t>
      </w:r>
    </w:p>
    <w:p w14:paraId="3945B46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4"/>
          <w:highlight w:val="none"/>
        </w:rPr>
      </w:pPr>
      <w:bookmarkStart w:id="43" w:name="bookmark32"/>
      <w:bookmarkEnd w:id="43"/>
      <w:bookmarkStart w:id="44" w:name="_Toc29362"/>
      <w:r>
        <w:rPr>
          <w:sz w:val="24"/>
          <w:highlight w:val="none"/>
        </w:rPr>
        <w:t>1.12 响应和偏差</w:t>
      </w:r>
      <w:bookmarkEnd w:id="44"/>
    </w:p>
    <w:p w14:paraId="5A7320F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1.12.1 投标文件应当对招标文件的实质性要求和条件作出满足性或更有利于招标人的响应，否则，投标人的投标将被否决。实质性要求和条件见投标人须知前附表。</w:t>
      </w:r>
    </w:p>
    <w:p w14:paraId="71DE779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1.12.2 投标人应根据招标文件的要求提供投标监理大纲等内容以对招标文件作出响应。</w:t>
      </w:r>
    </w:p>
    <w:p w14:paraId="0FE023A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1.12.3 投标人须知前附表允许投标文件偏离招标文件某些要求的，偏差应当符合招标文件规定的偏差范围和幅度。</w:t>
      </w:r>
    </w:p>
    <w:p w14:paraId="0C8D26E7">
      <w:pPr>
        <w:pStyle w:val="6"/>
        <w:spacing w:before="120" w:after="120"/>
        <w:rPr>
          <w:rFonts w:cs="宋体"/>
          <w:highlight w:val="none"/>
        </w:rPr>
      </w:pPr>
      <w:bookmarkStart w:id="45" w:name="bookmark33"/>
      <w:bookmarkEnd w:id="45"/>
      <w:bookmarkStart w:id="46" w:name="_Toc5819"/>
      <w:r>
        <w:rPr>
          <w:rFonts w:cs="宋体"/>
          <w:highlight w:val="none"/>
        </w:rPr>
        <w:t>2.招标文件</w:t>
      </w:r>
      <w:bookmarkEnd w:id="46"/>
    </w:p>
    <w:p w14:paraId="4899879E">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sz w:val="24"/>
          <w:highlight w:val="none"/>
        </w:rPr>
      </w:pPr>
      <w:bookmarkStart w:id="47" w:name="bookmark34"/>
      <w:bookmarkEnd w:id="47"/>
      <w:bookmarkStart w:id="48" w:name="_Toc2597"/>
      <w:r>
        <w:rPr>
          <w:sz w:val="24"/>
          <w:highlight w:val="none"/>
        </w:rPr>
        <w:t>2.1 招标文件的组成</w:t>
      </w:r>
      <w:bookmarkEnd w:id="48"/>
    </w:p>
    <w:p w14:paraId="5AACBE8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本招标文件包括：</w:t>
      </w:r>
    </w:p>
    <w:p w14:paraId="1A273FB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（1）招标公告；</w:t>
      </w:r>
    </w:p>
    <w:p w14:paraId="0BAE0CF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（2）投标人须知；</w:t>
      </w:r>
    </w:p>
    <w:p w14:paraId="0CFCC13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（3）评标办法；</w:t>
      </w:r>
    </w:p>
    <w:p w14:paraId="4965811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（4）合同条款及格式；</w:t>
      </w:r>
    </w:p>
    <w:p w14:paraId="60C7607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（5）委托人要求；</w:t>
      </w:r>
    </w:p>
    <w:p w14:paraId="3319EB3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（6）投标文件格式；</w:t>
      </w:r>
    </w:p>
    <w:p w14:paraId="2561A36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（7）投标人须知前附表规定的其他资料。</w:t>
      </w:r>
    </w:p>
    <w:p w14:paraId="6783BA7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根据本章第1.10款、第2.2款和第2.3款对招标文件所作的澄清、修改，构成招标文件的组成部分。</w:t>
      </w:r>
    </w:p>
    <w:p w14:paraId="428F864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49" w:name="bookmark38"/>
      <w:bookmarkEnd w:id="49"/>
      <w:bookmarkStart w:id="50" w:name="bookmark35"/>
      <w:bookmarkEnd w:id="50"/>
      <w:bookmarkStart w:id="51" w:name="_Toc3209"/>
      <w:r>
        <w:rPr>
          <w:sz w:val="24"/>
          <w:highlight w:val="none"/>
        </w:rPr>
        <w:t>2.2  招标文件的答疑</w:t>
      </w:r>
      <w:bookmarkEnd w:id="51"/>
    </w:p>
    <w:p w14:paraId="56A9985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2.2.1  投标人应仔细阅读和检查招标文件的全部内容。如有疑问，应按投标人须知前附表规定的时间和形式将提出的问题送达招标人，要求招标人对招标文件予以澄清。</w:t>
      </w:r>
    </w:p>
    <w:p w14:paraId="4937FF7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2.2.2</w:t>
      </w:r>
      <w:r>
        <w:rPr>
          <w:rFonts w:hint="eastAsia"/>
          <w:sz w:val="24"/>
          <w:highlight w:val="none"/>
        </w:rPr>
        <w:t xml:space="preserve">  </w:t>
      </w:r>
      <w:r>
        <w:rPr>
          <w:sz w:val="24"/>
          <w:highlight w:val="none"/>
        </w:rPr>
        <w:t>招标答疑采用网上答疑方式进行。投标人若对招标文件有疑问的，通过</w:t>
      </w:r>
      <w:r>
        <w:rPr>
          <w:rFonts w:hint="eastAsia"/>
          <w:sz w:val="24"/>
          <w:highlight w:val="none"/>
        </w:rPr>
        <w:t>广州交易集团有限公司（广州公共资源交易中心）</w:t>
      </w:r>
      <w:r>
        <w:rPr>
          <w:sz w:val="24"/>
          <w:highlight w:val="none"/>
        </w:rPr>
        <w:t>网站提交，应按照</w:t>
      </w:r>
      <w:r>
        <w:rPr>
          <w:rFonts w:hint="eastAsia"/>
          <w:sz w:val="24"/>
          <w:highlight w:val="none"/>
        </w:rPr>
        <w:t>广州交易集团有限公司（广州公共资源交易中心）</w:t>
      </w:r>
      <w:r>
        <w:rPr>
          <w:sz w:val="24"/>
          <w:highlight w:val="none"/>
        </w:rPr>
        <w:t>网站关于全流程电子化项目的相关指南进行操作。提问一律不得署名。</w:t>
      </w:r>
    </w:p>
    <w:p w14:paraId="5E99D12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2.2.3  招标答疑会会议纪要将在提交投标文件截止时间 15 日前在</w:t>
      </w:r>
      <w:r>
        <w:rPr>
          <w:rFonts w:hint="eastAsia"/>
          <w:sz w:val="24"/>
          <w:highlight w:val="none"/>
        </w:rPr>
        <w:t>广州交易集团有限公司（广州公共资源交易中心）</w:t>
      </w:r>
      <w:r>
        <w:rPr>
          <w:sz w:val="24"/>
          <w:highlight w:val="none"/>
        </w:rPr>
        <w:t>网站“项目答疑纪要”专区公开发布。答疑纪要一经在</w:t>
      </w:r>
      <w:r>
        <w:rPr>
          <w:rFonts w:hint="eastAsia"/>
          <w:sz w:val="24"/>
          <w:highlight w:val="none"/>
        </w:rPr>
        <w:t>广州交易集团有限公司（广州公共资源交易中心）</w:t>
      </w:r>
      <w:r>
        <w:rPr>
          <w:sz w:val="24"/>
          <w:highlight w:val="none"/>
        </w:rPr>
        <w:t>网站发布，视作已发放给所有投标人。</w:t>
      </w:r>
    </w:p>
    <w:p w14:paraId="6B5EB61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2.2.4  招标答疑会会议纪要是招标文件的组成部分，对投标人起约束作用。</w:t>
      </w:r>
    </w:p>
    <w:p w14:paraId="21DFC51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2.2.5  若招标答疑会会议纪要与招标文件有矛盾时，以</w:t>
      </w:r>
      <w:r>
        <w:rPr>
          <w:rFonts w:hint="eastAsia"/>
          <w:sz w:val="24"/>
          <w:highlight w:val="none"/>
        </w:rPr>
        <w:t>广州交易集团有限公司（广州公共资源交易中心）</w:t>
      </w:r>
      <w:r>
        <w:rPr>
          <w:sz w:val="24"/>
          <w:highlight w:val="none"/>
        </w:rPr>
        <w:t>网站最后发布的答疑纪要为准。</w:t>
      </w:r>
    </w:p>
    <w:p w14:paraId="0F0CBA8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sz w:val="24"/>
          <w:highlight w:val="none"/>
        </w:rPr>
      </w:pPr>
      <w:bookmarkStart w:id="52" w:name="_Toc15850"/>
      <w:r>
        <w:rPr>
          <w:sz w:val="24"/>
          <w:highlight w:val="none"/>
        </w:rPr>
        <w:t>2.3  招标文件的澄清与修改</w:t>
      </w:r>
      <w:bookmarkEnd w:id="52"/>
    </w:p>
    <w:p w14:paraId="4724432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2.3.1  招标文件发出后，在提交投标文件截止时间15日前，招标人可对招标文件进行必要的澄清或修改。</w:t>
      </w:r>
    </w:p>
    <w:p w14:paraId="6050000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2.3.2  招标文件的澄清或修改将在</w:t>
      </w:r>
      <w:r>
        <w:rPr>
          <w:rFonts w:hint="eastAsia"/>
          <w:sz w:val="24"/>
          <w:highlight w:val="none"/>
        </w:rPr>
        <w:t>广州交易集团有限公司（广州公共资源交易中心）</w:t>
      </w:r>
      <w:r>
        <w:rPr>
          <w:sz w:val="24"/>
          <w:highlight w:val="none"/>
        </w:rPr>
        <w:t>网站“项目答疑纪要”专区公开发布。招标文件的澄清或修改一经在</w:t>
      </w:r>
      <w:r>
        <w:rPr>
          <w:rFonts w:hint="eastAsia"/>
          <w:sz w:val="24"/>
          <w:highlight w:val="none"/>
        </w:rPr>
        <w:t>广州交易集团有限公司（广州公共资源交易中心）</w:t>
      </w:r>
      <w:r>
        <w:rPr>
          <w:sz w:val="24"/>
          <w:highlight w:val="none"/>
        </w:rPr>
        <w:t>网站发布，视作已发放给所有投标人，以</w:t>
      </w:r>
      <w:r>
        <w:rPr>
          <w:rFonts w:hint="eastAsia"/>
          <w:sz w:val="24"/>
          <w:highlight w:val="none"/>
        </w:rPr>
        <w:t>广州交易集团有限公司（广州公共资源交易中心）</w:t>
      </w:r>
      <w:r>
        <w:rPr>
          <w:sz w:val="24"/>
          <w:highlight w:val="none"/>
        </w:rPr>
        <w:t>网站发布时间作为送达时间。</w:t>
      </w:r>
    </w:p>
    <w:p w14:paraId="5B8F6A4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2.3.3  招标文件的澄清或修改是招标文件的组成部分，对投标人起约束作用。</w:t>
      </w:r>
    </w:p>
    <w:p w14:paraId="1A2F36D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2.3.4  招标文件的澄清或修改均以</w:t>
      </w:r>
      <w:r>
        <w:rPr>
          <w:rFonts w:hint="eastAsia"/>
          <w:sz w:val="24"/>
          <w:highlight w:val="none"/>
        </w:rPr>
        <w:t>广州交易集团有限公司（广州公共资源交易中心）</w:t>
      </w:r>
      <w:r>
        <w:rPr>
          <w:sz w:val="24"/>
          <w:highlight w:val="none"/>
        </w:rPr>
        <w:t>网站发布的内容为准。当招标文件的澄清、修改、补充等在同一内容的表述不一致时，以</w:t>
      </w:r>
      <w:r>
        <w:rPr>
          <w:rFonts w:hint="eastAsia"/>
          <w:sz w:val="24"/>
          <w:highlight w:val="none"/>
        </w:rPr>
        <w:t>广州交易集团有限公司（广州公共资源交易中心）</w:t>
      </w:r>
      <w:r>
        <w:rPr>
          <w:sz w:val="24"/>
          <w:highlight w:val="none"/>
        </w:rPr>
        <w:t>网站最后发布的内容为准。</w:t>
      </w:r>
    </w:p>
    <w:p w14:paraId="5234EAB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spacing w:val="-11"/>
          <w:sz w:val="24"/>
          <w:highlight w:val="none"/>
        </w:rPr>
        <w:t>，即表示投标时间不延长。</w:t>
      </w:r>
    </w:p>
    <w:p w14:paraId="362B6537">
      <w:pPr>
        <w:pStyle w:val="6"/>
        <w:spacing w:before="120" w:after="120"/>
        <w:rPr>
          <w:rFonts w:cs="宋体"/>
          <w:highlight w:val="none"/>
        </w:rPr>
      </w:pPr>
      <w:bookmarkStart w:id="53" w:name="_Toc21710"/>
      <w:r>
        <w:rPr>
          <w:rFonts w:cs="宋体"/>
          <w:highlight w:val="none"/>
        </w:rPr>
        <w:t>3.投标文件</w:t>
      </w:r>
      <w:bookmarkEnd w:id="53"/>
    </w:p>
    <w:p w14:paraId="1142D4D9">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54" w:name="bookmark39"/>
      <w:bookmarkEnd w:id="54"/>
      <w:bookmarkStart w:id="55" w:name="_Toc20731"/>
      <w:r>
        <w:rPr>
          <w:rFonts w:cs="宋体"/>
          <w:sz w:val="24"/>
          <w:highlight w:val="none"/>
        </w:rPr>
        <w:t>3.1 投标文件的组成</w:t>
      </w:r>
      <w:bookmarkEnd w:id="55"/>
    </w:p>
    <w:p w14:paraId="49C8268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3.1.1 投标文件应包括下列内容：</w:t>
      </w:r>
    </w:p>
    <w:p w14:paraId="7EAB566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（1）投标函及投标函附录；</w:t>
      </w:r>
    </w:p>
    <w:p w14:paraId="59CFF1E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（2）法定代表人身份证明；</w:t>
      </w:r>
    </w:p>
    <w:p w14:paraId="15D3C34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lang w:val="en-US" w:eastAsia="zh-CN"/>
        </w:rPr>
        <w:t>3</w:t>
      </w:r>
      <w:r>
        <w:rPr>
          <w:sz w:val="24"/>
          <w:highlight w:val="none"/>
        </w:rPr>
        <w:t>）</w:t>
      </w:r>
      <w:r>
        <w:rPr>
          <w:rFonts w:hint="default"/>
          <w:color w:val="auto"/>
          <w:sz w:val="24"/>
          <w:szCs w:val="24"/>
          <w:highlight w:val="none"/>
        </w:rPr>
        <w:t>授权委托书（适用于有委托代理人的情况）</w:t>
      </w:r>
      <w:r>
        <w:rPr>
          <w:sz w:val="24"/>
          <w:highlight w:val="none"/>
        </w:rPr>
        <w:t>；</w:t>
      </w:r>
    </w:p>
    <w:p w14:paraId="19E6E1E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lang w:val="en-US" w:eastAsia="zh-CN"/>
        </w:rPr>
        <w:t>4</w:t>
      </w:r>
      <w:r>
        <w:rPr>
          <w:sz w:val="24"/>
          <w:highlight w:val="none"/>
        </w:rPr>
        <w:t>）投标保证金；</w:t>
      </w:r>
    </w:p>
    <w:p w14:paraId="7B01E00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lang w:val="en-US" w:eastAsia="zh-CN"/>
        </w:rPr>
        <w:t>5</w:t>
      </w:r>
      <w:r>
        <w:rPr>
          <w:sz w:val="24"/>
          <w:highlight w:val="none"/>
        </w:rPr>
        <w:t>）资格审查资料；</w:t>
      </w:r>
    </w:p>
    <w:p w14:paraId="77FB95F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lang w:val="en-US" w:eastAsia="zh-CN"/>
        </w:rPr>
        <w:t>6</w:t>
      </w:r>
      <w:r>
        <w:rPr>
          <w:sz w:val="24"/>
          <w:highlight w:val="none"/>
        </w:rPr>
        <w:t>）监理大纲；</w:t>
      </w:r>
    </w:p>
    <w:p w14:paraId="1713050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lang w:val="en-US" w:eastAsia="zh-CN"/>
        </w:rPr>
        <w:t>7</w:t>
      </w:r>
      <w:r>
        <w:rPr>
          <w:sz w:val="24"/>
          <w:highlight w:val="none"/>
        </w:rPr>
        <w:t>）投标人须知前附表规定的其他资料。投标人在评标过程中作出的符合法律法规和招标文件规定的澄清确认，构成投标文件的组成部分。</w:t>
      </w:r>
    </w:p>
    <w:p w14:paraId="6AFE9E6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3.1.2 投标人须知前附表规定不接受联合体投标的，或投标人没有组成联合体的，投标文件不包括本章第 3.1.1（3）目所指的联合体协议书。</w:t>
      </w:r>
    </w:p>
    <w:p w14:paraId="32E5A67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3.1.3 投标人须知前附表未要求提交投标保证金的，投标文件不包括本章第 3.1.1（4）目所指的投标保证金。</w:t>
      </w:r>
    </w:p>
    <w:p w14:paraId="66027283">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56" w:name="bookmark40"/>
      <w:bookmarkEnd w:id="56"/>
      <w:bookmarkStart w:id="57" w:name="_Toc5145"/>
      <w:r>
        <w:rPr>
          <w:rFonts w:cs="宋体"/>
          <w:sz w:val="24"/>
          <w:highlight w:val="none"/>
        </w:rPr>
        <w:t>3.2 投标报价</w:t>
      </w:r>
      <w:bookmarkEnd w:id="57"/>
    </w:p>
    <w:p w14:paraId="2B90D24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3.2.1 </w:t>
      </w:r>
      <w:r>
        <w:rPr>
          <w:rFonts w:hint="default" w:ascii="宋体" w:hAnsi="宋体" w:eastAsia="宋体"/>
          <w:b w:val="0"/>
          <w:bCs w:val="0"/>
          <w:color w:val="auto"/>
          <w:sz w:val="24"/>
          <w:szCs w:val="24"/>
          <w:highlight w:val="none"/>
        </w:rPr>
        <w:t>投标报价应包括国家规定的增值税税金，除投标人须知前附表另有规定外，增值税税金按一般计税方法计算。投标人应按第六章“投标文件格式”的要求在投标函及投标函附录中进行报价</w:t>
      </w:r>
      <w:r>
        <w:rPr>
          <w:sz w:val="24"/>
          <w:highlight w:val="none"/>
        </w:rPr>
        <w:t>。</w:t>
      </w:r>
    </w:p>
    <w:p w14:paraId="37ED3AD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3.2.2 投标人应充分了解该项目的总体情况以及影响投标报价的其他要素。</w:t>
      </w:r>
    </w:p>
    <w:p w14:paraId="654188D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3.2.3 </w:t>
      </w:r>
      <w:r>
        <w:rPr>
          <w:rFonts w:hint="eastAsia"/>
          <w:sz w:val="24"/>
          <w:highlight w:val="none"/>
        </w:rPr>
        <w:t>本项目的报价方式见投标人须知前附表。投标人在投标截止时间前修改投标函及投标函附录中的投标报价总额，应同时修改投标文件“投标函附录”中的相应报价。此修改须符合本章第4.3款的有关要求</w:t>
      </w:r>
      <w:r>
        <w:rPr>
          <w:sz w:val="24"/>
          <w:highlight w:val="none"/>
        </w:rPr>
        <w:t>。</w:t>
      </w:r>
    </w:p>
    <w:p w14:paraId="5FD0C4BC">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3.2.4 招标人设有最高投标限价的，投标人的投标报价不得超过最高投标限价，最高投标限价在投标人须知前附表中载明。</w:t>
      </w:r>
    </w:p>
    <w:p w14:paraId="430D837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3.2.5 投标报价的其他要求见投标人须知前附表。</w:t>
      </w:r>
    </w:p>
    <w:p w14:paraId="07BF89DA">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58" w:name="bookmark41"/>
      <w:bookmarkEnd w:id="58"/>
      <w:bookmarkStart w:id="59" w:name="_Toc30013"/>
      <w:r>
        <w:rPr>
          <w:rFonts w:cs="宋体"/>
          <w:sz w:val="24"/>
          <w:highlight w:val="none"/>
        </w:rPr>
        <w:t>3.3 投标有效期</w:t>
      </w:r>
      <w:bookmarkEnd w:id="59"/>
    </w:p>
    <w:p w14:paraId="230B749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3.3.1 除投标人须知前附表另有规定外，投标有效期为 90 天。</w:t>
      </w:r>
    </w:p>
    <w:p w14:paraId="227CF49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3.3.2 在投标有效期内，投标人撤销投标文件的，应承担招标文件和法律规定的责任。</w:t>
      </w:r>
    </w:p>
    <w:p w14:paraId="0862B42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3.3.3 出现特殊情况需要延长投标有效期的，招标人以书面形式通知所有投标人延长投标有效期。投标人应予以书面答复，同意延长的，应相应延长其投标保证金的有效期，但不得要求 或被允许修改其投标文件；投标人拒绝延长的，其投标失效，但投标人有权收回其投标保证金 及以现金或者支票形式递交的投标保证金的银行同期存款利息。</w:t>
      </w:r>
    </w:p>
    <w:p w14:paraId="4AC95321">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60" w:name="bookmark42"/>
      <w:bookmarkEnd w:id="60"/>
      <w:bookmarkStart w:id="61" w:name="_Toc7684"/>
      <w:r>
        <w:rPr>
          <w:rFonts w:cs="宋体"/>
          <w:sz w:val="24"/>
          <w:highlight w:val="none"/>
        </w:rPr>
        <w:t>3.4  投标保证金</w:t>
      </w:r>
      <w:bookmarkEnd w:id="61"/>
    </w:p>
    <w:p w14:paraId="12D14B6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联合体投标的，其投标保证金可以由主办方递交，并应符合投标人须知前附表的规定。</w:t>
      </w:r>
    </w:p>
    <w:p w14:paraId="3674AAD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3.4.2 开标时投标人没有按要求提交投标保证金的，其投标文件将被否决。</w:t>
      </w:r>
    </w:p>
    <w:p w14:paraId="5944082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3.4.3 中标候选人以外的投标人的投标保证金将尽快退还，最迟不超过中标通知书发出之日起五日内；中标人和其他中标候选人的投标保证金，在书面合同订立之日起五日内予以退还。</w:t>
      </w:r>
    </w:p>
    <w:p w14:paraId="1231114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3.4.4 有下列情形之一的，投标保证金将不予退还：</w:t>
      </w:r>
    </w:p>
    <w:p w14:paraId="6B3CA92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1</w:t>
      </w:r>
      <w:r>
        <w:rPr>
          <w:sz w:val="24"/>
          <w:highlight w:val="none"/>
        </w:rPr>
        <w:t>) 投标人在规定的投标有效期内撤销其投标文件；</w:t>
      </w:r>
    </w:p>
    <w:p w14:paraId="5FF5287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2</w:t>
      </w:r>
      <w:r>
        <w:rPr>
          <w:sz w:val="24"/>
          <w:highlight w:val="none"/>
        </w:rPr>
        <w:t>) 中标人在收到中标通知书后，无正当理由不与招标人订立合同，在签订合同时向招标 人提出附加条件，或者不按照招标文件要求提交履约保证金。</w:t>
      </w:r>
    </w:p>
    <w:p w14:paraId="127DE6C0">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62" w:name="bookmark43"/>
      <w:bookmarkEnd w:id="62"/>
      <w:bookmarkStart w:id="63" w:name="bookmark44"/>
      <w:bookmarkEnd w:id="63"/>
      <w:bookmarkStart w:id="64" w:name="_Toc7177"/>
      <w:r>
        <w:rPr>
          <w:rFonts w:cs="宋体"/>
          <w:sz w:val="24"/>
          <w:highlight w:val="none"/>
        </w:rPr>
        <w:t>3.5 资格审查资料</w:t>
      </w:r>
      <w:bookmarkEnd w:id="64"/>
    </w:p>
    <w:p w14:paraId="546156A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sz w:val="24"/>
          <w:highlight w:val="none"/>
        </w:rPr>
      </w:pPr>
      <w:r>
        <w:rPr>
          <w:rFonts w:hint="eastAsia"/>
          <w:sz w:val="24"/>
          <w:highlight w:val="none"/>
        </w:rPr>
        <w:t>除投标人须知前附表另有规定外，投标人应按下列规定提供资格审查资料，以证明其满足本章第 1.4 款规定的资质、信誉等要求。</w:t>
      </w:r>
    </w:p>
    <w:p w14:paraId="2F41EA8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sz w:val="24"/>
          <w:highlight w:val="none"/>
        </w:rPr>
      </w:pPr>
      <w:r>
        <w:rPr>
          <w:rFonts w:hint="eastAsia"/>
          <w:sz w:val="24"/>
          <w:highlight w:val="none"/>
        </w:rPr>
        <w:t>3.5.1 附投标人营业执照、投标人监理资质证书副本等材料的扫描件或电子证照。</w:t>
      </w:r>
    </w:p>
    <w:p w14:paraId="397846F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sz w:val="24"/>
          <w:highlight w:val="none"/>
        </w:rPr>
      </w:pPr>
      <w:r>
        <w:rPr>
          <w:rFonts w:hint="eastAsia"/>
          <w:sz w:val="24"/>
          <w:highlight w:val="none"/>
        </w:rPr>
        <w:t>3.5.2 总监理工程师应附身份证、学历证、职称证、注册监理工程师执业证书（或监理工程师资格证书）和社保缴费证明扫描件。（注：以上人员社保要求：近一个月（指2026年</w:t>
      </w:r>
      <w:r>
        <w:rPr>
          <w:rFonts w:hint="eastAsia"/>
          <w:sz w:val="24"/>
          <w:highlight w:val="none"/>
          <w:lang w:val="en-US" w:eastAsia="zh-CN"/>
        </w:rPr>
        <w:t>2</w:t>
      </w:r>
      <w:r>
        <w:rPr>
          <w:rFonts w:hint="eastAsia"/>
          <w:sz w:val="24"/>
          <w:highlight w:val="none"/>
        </w:rPr>
        <w:t>月）在本投标单位购买社保缴纳证明材料(须加盖社保部门或税务部门印章)（已退休人员提供退休证。）</w:t>
      </w:r>
    </w:p>
    <w:p w14:paraId="5CC4364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sz w:val="24"/>
          <w:highlight w:val="none"/>
        </w:rPr>
      </w:pPr>
      <w:r>
        <w:rPr>
          <w:rFonts w:hint="eastAsia"/>
          <w:sz w:val="24"/>
          <w:highlight w:val="none"/>
        </w:rPr>
        <w:t>3.5.3 本项目不接受联合体投标。</w:t>
      </w:r>
    </w:p>
    <w:p w14:paraId="4F7F92A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rFonts w:hint="eastAsia"/>
          <w:sz w:val="24"/>
          <w:highlight w:val="none"/>
        </w:rPr>
        <w:t>3.5.4 其他详见招标公告要求</w:t>
      </w:r>
      <w:r>
        <w:rPr>
          <w:sz w:val="24"/>
          <w:highlight w:val="none"/>
        </w:rPr>
        <w:t>。</w:t>
      </w:r>
    </w:p>
    <w:p w14:paraId="0B9B0FB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65" w:name="bookmark45"/>
      <w:bookmarkEnd w:id="65"/>
      <w:bookmarkStart w:id="66" w:name="_Toc25118"/>
      <w:r>
        <w:rPr>
          <w:rFonts w:cs="宋体"/>
          <w:sz w:val="24"/>
          <w:highlight w:val="none"/>
        </w:rPr>
        <w:t>3.6 备选投标方案</w:t>
      </w:r>
      <w:bookmarkEnd w:id="66"/>
    </w:p>
    <w:p w14:paraId="2FF382B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3.6.1 除投标人须知前附表规定允许外，投标人不得递交备选投标方案，否则其投标将被否决。</w:t>
      </w:r>
    </w:p>
    <w:p w14:paraId="34915B6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22A3F38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3.6.3 投标人提供两个或两个以上投标报价，或者在投标文件中提供一个报价，但同时提供两个或两个以上监理方案的，视为提供备选方案。</w:t>
      </w:r>
    </w:p>
    <w:p w14:paraId="4C8972A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67" w:name="bookmark46"/>
      <w:bookmarkEnd w:id="67"/>
      <w:bookmarkStart w:id="68" w:name="_Toc5084"/>
      <w:r>
        <w:rPr>
          <w:rFonts w:cs="宋体"/>
          <w:sz w:val="24"/>
          <w:highlight w:val="none"/>
        </w:rPr>
        <w:t>3.7 投标文件的编制</w:t>
      </w:r>
      <w:bookmarkEnd w:id="68"/>
    </w:p>
    <w:p w14:paraId="57CE2D1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563C3E7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3.7.2  投标文件应当对招标文件有关监理服务期限、投标有效期、委托人要求、招标范围等实质性内容作出响应。</w:t>
      </w:r>
    </w:p>
    <w:p w14:paraId="4828DC1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3.7.3  </w:t>
      </w:r>
      <w:r>
        <w:rPr>
          <w:rFonts w:hint="eastAsia"/>
          <w:sz w:val="24"/>
          <w:highlight w:val="none"/>
        </w:rPr>
        <w:t>投标文件全部采用电子文档，投标文件所附证书证件均为清晰扫描件或电子证书，并采用单位数字证书，按招标文件要求加盖电子印章。投标文件中需个人签字或盖章的，应加盖个人电子印章或在线下完成后扫描上传（可靠的电子签名与手写签名或者盖章具有同等的法律效力）。按照广州交易集团有限公司（广州公共资源交易中心）网站关于全流程电子化项目的相关指南进行操作</w:t>
      </w:r>
      <w:r>
        <w:rPr>
          <w:sz w:val="24"/>
          <w:highlight w:val="none"/>
        </w:rPr>
        <w:t>。</w:t>
      </w:r>
    </w:p>
    <w:p w14:paraId="4BA8B4D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3.7.4  投标文件应按照</w:t>
      </w:r>
      <w:r>
        <w:rPr>
          <w:rFonts w:hint="eastAsia"/>
          <w:sz w:val="24"/>
          <w:highlight w:val="none"/>
        </w:rPr>
        <w:t>广州交易集团有限公司（广州公共资源交易中心）</w:t>
      </w:r>
      <w:r>
        <w:rPr>
          <w:sz w:val="24"/>
          <w:highlight w:val="none"/>
        </w:rPr>
        <w:t>网站关于全流程电子化项目的相关指南进行编制。如因不按上述编排要求编制而所引起系统无法检索、读取相关信息时，其后果将由投标人自行承担。</w:t>
      </w:r>
    </w:p>
    <w:p w14:paraId="5606B2E7">
      <w:pPr>
        <w:pStyle w:val="6"/>
        <w:spacing w:before="120" w:after="120"/>
        <w:rPr>
          <w:rFonts w:cs="宋体"/>
          <w:highlight w:val="none"/>
        </w:rPr>
      </w:pPr>
      <w:bookmarkStart w:id="69" w:name="bookmark47"/>
      <w:bookmarkEnd w:id="69"/>
      <w:bookmarkStart w:id="70" w:name="_Toc25949"/>
      <w:r>
        <w:rPr>
          <w:rFonts w:cs="宋体"/>
          <w:highlight w:val="none"/>
        </w:rPr>
        <w:t>4.投标</w:t>
      </w:r>
      <w:bookmarkEnd w:id="70"/>
    </w:p>
    <w:p w14:paraId="7C43A755">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71" w:name="bookmark48"/>
      <w:bookmarkEnd w:id="71"/>
      <w:bookmarkStart w:id="72" w:name="_Toc9375"/>
      <w:r>
        <w:rPr>
          <w:rFonts w:cs="宋体"/>
          <w:sz w:val="24"/>
          <w:highlight w:val="none"/>
        </w:rPr>
        <w:t>4.1  投标文件的加密</w:t>
      </w:r>
      <w:bookmarkEnd w:id="72"/>
    </w:p>
    <w:p w14:paraId="7D23843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73" w:name="bookmark49"/>
      <w:bookmarkEnd w:id="73"/>
      <w:r>
        <w:rPr>
          <w:sz w:val="24"/>
          <w:highlight w:val="none"/>
        </w:rPr>
        <w:t xml:space="preserve">4.1.1 </w:t>
      </w:r>
      <w:r>
        <w:rPr>
          <w:rFonts w:hint="eastAsia"/>
          <w:sz w:val="24"/>
          <w:highlight w:val="none"/>
        </w:rPr>
        <w:t xml:space="preserve"> </w:t>
      </w:r>
      <w:r>
        <w:rPr>
          <w:sz w:val="24"/>
          <w:highlight w:val="none"/>
        </w:rPr>
        <w:t>递交的电子投标文件（不含备用光盘）必须进行加密。按照</w:t>
      </w:r>
      <w:r>
        <w:rPr>
          <w:rFonts w:hint="eastAsia"/>
          <w:sz w:val="24"/>
          <w:highlight w:val="none"/>
        </w:rPr>
        <w:t>广州交易集团有限公司（广州公共资源交易中心）</w:t>
      </w:r>
      <w:r>
        <w:rPr>
          <w:sz w:val="24"/>
          <w:highlight w:val="none"/>
        </w:rPr>
        <w:t>网站关于全流程电子化项目的相关指南进行操作。</w:t>
      </w:r>
    </w:p>
    <w:p w14:paraId="0FFF792C">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4.1.2  未按要求加密的投标文件，</w:t>
      </w:r>
      <w:r>
        <w:rPr>
          <w:rFonts w:hint="eastAsia"/>
          <w:sz w:val="24"/>
          <w:highlight w:val="none"/>
        </w:rPr>
        <w:t>广州交易集团有限公司（广州公共资源交易中心）</w:t>
      </w:r>
      <w:r>
        <w:rPr>
          <w:sz w:val="24"/>
          <w:highlight w:val="none"/>
        </w:rPr>
        <w:t>网站交易平台将予以拒收。</w:t>
      </w:r>
    </w:p>
    <w:p w14:paraId="48849B96">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74" w:name="_Toc21435"/>
      <w:r>
        <w:rPr>
          <w:rFonts w:cs="宋体"/>
          <w:sz w:val="24"/>
          <w:highlight w:val="none"/>
        </w:rPr>
        <w:t>4.2  投标文件的递交</w:t>
      </w:r>
      <w:bookmarkEnd w:id="74"/>
    </w:p>
    <w:p w14:paraId="6B5E5B1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75" w:name="bookmark50"/>
      <w:bookmarkEnd w:id="75"/>
      <w:r>
        <w:rPr>
          <w:sz w:val="24"/>
          <w:highlight w:val="none"/>
        </w:rPr>
        <w:t>4.2.1  投标人应在投标人须知前附表规定的投标截止时间前，通过</w:t>
      </w:r>
      <w:r>
        <w:rPr>
          <w:rFonts w:hint="eastAsia"/>
          <w:sz w:val="24"/>
          <w:highlight w:val="none"/>
        </w:rPr>
        <w:t>广州交易集团有限公司（广州公共资源交易中心）</w:t>
      </w:r>
      <w:r>
        <w:rPr>
          <w:sz w:val="24"/>
          <w:highlight w:val="none"/>
        </w:rPr>
        <w:t>网站交易平台递交电子投标文件。</w:t>
      </w:r>
    </w:p>
    <w:p w14:paraId="46BACCB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4.2.2  投标人完成电子投标文件上传后，</w:t>
      </w:r>
      <w:r>
        <w:rPr>
          <w:rFonts w:hint="eastAsia"/>
          <w:sz w:val="24"/>
          <w:highlight w:val="none"/>
        </w:rPr>
        <w:t>广州交易集团有限公司（广州公共资源交易中心）</w:t>
      </w:r>
      <w:r>
        <w:rPr>
          <w:sz w:val="24"/>
          <w:highlight w:val="none"/>
        </w:rPr>
        <w:t>网站交易平台即时向投标人发出递交回执通知。递交时间以递交回执通知载明的传输完成时间为准。</w:t>
      </w:r>
    </w:p>
    <w:p w14:paraId="6DD4C03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4.2.3  逾期送达的电子投标文件，</w:t>
      </w:r>
      <w:r>
        <w:rPr>
          <w:rFonts w:hint="eastAsia"/>
          <w:sz w:val="24"/>
          <w:highlight w:val="none"/>
        </w:rPr>
        <w:t>广州交易集团有限公司（广州公共资源交易中心）</w:t>
      </w:r>
      <w:r>
        <w:rPr>
          <w:sz w:val="24"/>
          <w:highlight w:val="none"/>
        </w:rPr>
        <w:t>网站交易平台将予以拒收。</w:t>
      </w:r>
    </w:p>
    <w:p w14:paraId="73F22A9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4.2.4  投标截止前，招标人拒绝接收符合条件的投标文件，投标人可向招标监督机构投诉。</w:t>
      </w:r>
      <w:bookmarkStart w:id="76" w:name="_bookmark83"/>
      <w:bookmarkEnd w:id="76"/>
    </w:p>
    <w:p w14:paraId="6405D179">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77" w:name="_Toc10029"/>
      <w:r>
        <w:rPr>
          <w:rFonts w:cs="宋体"/>
          <w:sz w:val="24"/>
          <w:highlight w:val="none"/>
        </w:rPr>
        <w:t>4.3  投标文件的修改与撤回</w:t>
      </w:r>
      <w:bookmarkEnd w:id="77"/>
    </w:p>
    <w:p w14:paraId="2ED4644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4.3.1  在规定的投标截止时间前， 投标人可以修改或撤回已递交的投标文件， 但应以书面形式通知招标人。</w:t>
      </w:r>
    </w:p>
    <w:p w14:paraId="598F23EC">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4.3.2  投标人修改或撤回已递交投标文件,需在交易平台发出修改或撤回通知，并按要求加盖电子印章。电子招标投标交易平台收到通知后，即时向投标人发出确认回执通知。</w:t>
      </w:r>
    </w:p>
    <w:p w14:paraId="6287721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4.3.3  修改后再次递交的，按第4.2项的规定执行。</w:t>
      </w:r>
    </w:p>
    <w:p w14:paraId="478DE91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4.3.4  在投标截止时间之后，投标人不得补充、修改和更换投标文件。</w:t>
      </w:r>
    </w:p>
    <w:p w14:paraId="3063AE46">
      <w:pPr>
        <w:pStyle w:val="6"/>
        <w:spacing w:before="120" w:after="120"/>
        <w:rPr>
          <w:rFonts w:cs="宋体"/>
          <w:highlight w:val="none"/>
        </w:rPr>
      </w:pPr>
      <w:bookmarkStart w:id="78" w:name="bookmark51"/>
      <w:bookmarkEnd w:id="78"/>
      <w:bookmarkStart w:id="79" w:name="_Toc21556"/>
      <w:r>
        <w:rPr>
          <w:rFonts w:cs="宋体"/>
          <w:highlight w:val="none"/>
        </w:rPr>
        <w:t>5.开标</w:t>
      </w:r>
      <w:bookmarkEnd w:id="79"/>
    </w:p>
    <w:p w14:paraId="6525A0FE">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0" w:name="bookmark52"/>
      <w:bookmarkEnd w:id="80"/>
      <w:bookmarkStart w:id="81" w:name="bookmark53"/>
      <w:bookmarkEnd w:id="81"/>
      <w:bookmarkStart w:id="82" w:name="_Toc14844"/>
      <w:r>
        <w:rPr>
          <w:rFonts w:cs="宋体"/>
          <w:sz w:val="24"/>
          <w:highlight w:val="none"/>
        </w:rPr>
        <w:t>5.1 开标时间和地点</w:t>
      </w:r>
      <w:bookmarkEnd w:id="82"/>
    </w:p>
    <w:p w14:paraId="07F8F9A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83" w:name="bookmark54"/>
      <w:bookmarkEnd w:id="83"/>
      <w:r>
        <w:rPr>
          <w:sz w:val="24"/>
          <w:highlight w:val="none"/>
        </w:rPr>
        <w:t>5.1.1  招标人按投标须知前附表规定的时间和地点公开开标。截标后，开标开始时间因故推迟的，相关评标信息仍以原定的开标开始时间的信息为准。</w:t>
      </w:r>
    </w:p>
    <w:p w14:paraId="19AC74E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77ED9E0A">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4" w:name="_Toc22847"/>
      <w:r>
        <w:rPr>
          <w:rFonts w:cs="宋体"/>
          <w:sz w:val="24"/>
          <w:highlight w:val="none"/>
        </w:rPr>
        <w:t>5.2 开标程序</w:t>
      </w:r>
      <w:bookmarkEnd w:id="84"/>
    </w:p>
    <w:p w14:paraId="3EFA503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85" w:name="bookmark55"/>
      <w:bookmarkEnd w:id="85"/>
      <w:r>
        <w:rPr>
          <w:sz w:val="24"/>
          <w:highlight w:val="none"/>
        </w:rPr>
        <w:t>5.2.1   在投标截止时间后</w:t>
      </w:r>
      <w:r>
        <w:rPr>
          <w:sz w:val="24"/>
          <w:highlight w:val="none"/>
          <w:u w:val="single"/>
        </w:rPr>
        <w:t>半小时</w:t>
      </w:r>
      <w:r>
        <w:rPr>
          <w:sz w:val="24"/>
          <w:highlight w:val="none"/>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6E69741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5.2.2  按开标记录表规定的内容进行唱标。</w:t>
      </w:r>
    </w:p>
    <w:p w14:paraId="16C59E9C">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5.2.3  投标人代表、招标人代表、监标人、记录人等有关人员在开标记录上签字确认；若有关人员不签字的，不影响开标程序。</w:t>
      </w:r>
    </w:p>
    <w:p w14:paraId="34BF3A6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5.2.4  开标结束。</w:t>
      </w:r>
    </w:p>
    <w:p w14:paraId="25757B1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1CD61B0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5.2.6  开标时，两个（含两个）以上的投标人加密打包投标文件电脑机器特征码一致的，不参与下一程序，并由评标委员会否决其投标。</w:t>
      </w:r>
    </w:p>
    <w:p w14:paraId="32669C0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86" w:name="_Toc1043"/>
      <w:r>
        <w:rPr>
          <w:rFonts w:cs="宋体"/>
          <w:sz w:val="24"/>
          <w:highlight w:val="none"/>
        </w:rPr>
        <w:t>5.3  开标异议</w:t>
      </w:r>
      <w:bookmarkEnd w:id="86"/>
    </w:p>
    <w:p w14:paraId="4AAF5A4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5.3.1  参加现场开标的投标人对开标结果有异议的，应当在开标现场提出，招标人应当当场作出答复，并制作记录。</w:t>
      </w:r>
    </w:p>
    <w:p w14:paraId="46B704F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 答复是招标人真实意思表示。未答复的，开标程序不得结束。</w:t>
      </w:r>
    </w:p>
    <w:p w14:paraId="6F0BC08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5.3.3  投标人未参加开标或在规定的时间内未提出异议的，视为对开标无异议。</w:t>
      </w:r>
    </w:p>
    <w:p w14:paraId="417A0F7E">
      <w:pPr>
        <w:pStyle w:val="6"/>
        <w:spacing w:before="120" w:after="120"/>
        <w:rPr>
          <w:rFonts w:ascii="Microsoft JhengHei" w:hAnsi="Microsoft JhengHei" w:eastAsia="Microsoft JhengHei"/>
          <w:b w:val="0"/>
          <w:sz w:val="30"/>
          <w:highlight w:val="none"/>
        </w:rPr>
      </w:pPr>
      <w:bookmarkStart w:id="87" w:name="bookmark56"/>
      <w:bookmarkEnd w:id="87"/>
      <w:bookmarkStart w:id="88" w:name="_Toc14961"/>
      <w:r>
        <w:rPr>
          <w:rFonts w:cs="宋体"/>
          <w:highlight w:val="none"/>
        </w:rPr>
        <w:t>6.评标</w:t>
      </w:r>
      <w:bookmarkEnd w:id="88"/>
    </w:p>
    <w:p w14:paraId="481B61F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89" w:name="bookmark57"/>
      <w:bookmarkEnd w:id="89"/>
      <w:bookmarkStart w:id="90" w:name="_Toc16566"/>
      <w:r>
        <w:rPr>
          <w:rFonts w:cs="宋体"/>
          <w:sz w:val="24"/>
          <w:highlight w:val="none"/>
        </w:rPr>
        <w:t>6.1  评标委员会</w:t>
      </w:r>
      <w:bookmarkEnd w:id="90"/>
    </w:p>
    <w:p w14:paraId="4A70137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 xml:space="preserve">6.1.1 </w:t>
      </w:r>
      <w:r>
        <w:rPr>
          <w:rFonts w:cs="宋体"/>
          <w:sz w:val="24"/>
          <w:highlight w:val="none"/>
        </w:rPr>
        <w:t>评标由招标人依法组建的评标委员会负责。评标委员会由有关技术、经济等方面的专家和招标人代表组成，专家从</w:t>
      </w:r>
      <w:r>
        <w:rPr>
          <w:rFonts w:cs="宋体"/>
          <w:sz w:val="24"/>
          <w:highlight w:val="none"/>
          <w:u w:val="single"/>
        </w:rPr>
        <w:t>广东省综合评标评审专家库</w:t>
      </w:r>
      <w:r>
        <w:rPr>
          <w:rFonts w:cs="宋体"/>
          <w:sz w:val="24"/>
          <w:highlight w:val="none"/>
        </w:rPr>
        <w:t>中抽取。评标委员会成员人数以及技术、经济等方面专家的确定方式见投标人须知前附表</w:t>
      </w:r>
      <w:r>
        <w:rPr>
          <w:sz w:val="24"/>
          <w:highlight w:val="none"/>
        </w:rPr>
        <w:t>。</w:t>
      </w:r>
    </w:p>
    <w:p w14:paraId="7E3946E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6.1.2 评标委员会成员有下列情形之一的，应当回避：</w:t>
      </w:r>
    </w:p>
    <w:p w14:paraId="6C3F87C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（1）投标人或投标人主要负责人的近亲属；</w:t>
      </w:r>
    </w:p>
    <w:p w14:paraId="384A2BD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（2）项目主管部门或者行政监督部门的人员；</w:t>
      </w:r>
    </w:p>
    <w:p w14:paraId="349314F3">
      <w:pPr>
        <w:spacing w:line="360" w:lineRule="auto"/>
        <w:ind w:firstLine="480" w:firstLineChars="200"/>
        <w:rPr>
          <w:highlight w:val="none"/>
        </w:rPr>
      </w:pPr>
      <w:r>
        <w:rPr>
          <w:rFonts w:hint="eastAsia"/>
          <w:highlight w:val="none"/>
        </w:rPr>
        <w:t>（3）招标人或投标人的工作人员、退休或离职未满3年的人员；</w:t>
      </w:r>
    </w:p>
    <w:p w14:paraId="4B202F4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4</w:t>
      </w:r>
      <w:r>
        <w:rPr>
          <w:sz w:val="24"/>
          <w:highlight w:val="none"/>
        </w:rPr>
        <w:t>）与投标人有经济利益关系，可能影响对投标公正评审的；</w:t>
      </w:r>
    </w:p>
    <w:p w14:paraId="5E95B50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5</w:t>
      </w:r>
      <w:r>
        <w:rPr>
          <w:sz w:val="24"/>
          <w:highlight w:val="none"/>
        </w:rPr>
        <w:t>）曾因在招标、评标以及其他与招标投标有关活动中从事违法行为而受过行政处罚或刑事处罚的；</w:t>
      </w:r>
    </w:p>
    <w:p w14:paraId="0F76919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w:t>
      </w:r>
      <w:r>
        <w:rPr>
          <w:rFonts w:hint="eastAsia"/>
          <w:sz w:val="24"/>
          <w:highlight w:val="none"/>
        </w:rPr>
        <w:t>6</w:t>
      </w:r>
      <w:r>
        <w:rPr>
          <w:sz w:val="24"/>
          <w:highlight w:val="none"/>
        </w:rPr>
        <w:t>）与投标人有其他利害关系。</w:t>
      </w:r>
    </w:p>
    <w:p w14:paraId="57A0D66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30DC3500">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91" w:name="bookmark58"/>
      <w:bookmarkEnd w:id="91"/>
      <w:bookmarkStart w:id="92" w:name="_Toc2040"/>
      <w:r>
        <w:rPr>
          <w:rFonts w:cs="宋体"/>
          <w:sz w:val="24"/>
          <w:highlight w:val="none"/>
        </w:rPr>
        <w:t>6.2  评标原则</w:t>
      </w:r>
      <w:bookmarkEnd w:id="92"/>
    </w:p>
    <w:p w14:paraId="73BEDBB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评标活动遵循公平、公正、科学和择优的原则。</w:t>
      </w:r>
    </w:p>
    <w:p w14:paraId="3B76112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93" w:name="bookmark59"/>
      <w:bookmarkEnd w:id="93"/>
      <w:bookmarkStart w:id="94" w:name="_Toc24943"/>
      <w:r>
        <w:rPr>
          <w:rFonts w:cs="宋体"/>
          <w:sz w:val="24"/>
          <w:highlight w:val="none"/>
        </w:rPr>
        <w:t>6.3 评标</w:t>
      </w:r>
      <w:bookmarkEnd w:id="94"/>
    </w:p>
    <w:p w14:paraId="05D6671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6.3.1 评标委员会按照第三章“评标办法”规定的方法、评审因素、标准和程序对投标文件进 行评审。第三章“评标办法”没有规定的方法、评审因素和标准，不作为评标依据。</w:t>
      </w:r>
    </w:p>
    <w:p w14:paraId="5037A40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6.3.2 评标完成后，评标委员会应当向招标人提交书面评标报告和中标候选人名单。评标委员会推荐中标候选人的人数见投标人须知前附表。</w:t>
      </w:r>
    </w:p>
    <w:p w14:paraId="049A76ED">
      <w:pPr>
        <w:pStyle w:val="6"/>
        <w:spacing w:before="120" w:after="120"/>
        <w:rPr>
          <w:rFonts w:cs="宋体"/>
          <w:highlight w:val="none"/>
        </w:rPr>
      </w:pPr>
      <w:bookmarkStart w:id="95" w:name="bookmark60"/>
      <w:bookmarkEnd w:id="95"/>
      <w:bookmarkStart w:id="96" w:name="_Toc20225"/>
      <w:r>
        <w:rPr>
          <w:rFonts w:cs="宋体"/>
          <w:highlight w:val="none"/>
        </w:rPr>
        <w:t>7.合同授予</w:t>
      </w:r>
      <w:bookmarkEnd w:id="96"/>
    </w:p>
    <w:p w14:paraId="7E1540B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97" w:name="bookmark61"/>
      <w:bookmarkEnd w:id="97"/>
      <w:bookmarkStart w:id="98" w:name="_Toc16732"/>
      <w:r>
        <w:rPr>
          <w:rFonts w:cs="宋体"/>
          <w:sz w:val="24"/>
          <w:highlight w:val="none"/>
        </w:rPr>
        <w:t>7.1 中标候选人公示</w:t>
      </w:r>
      <w:bookmarkEnd w:id="98"/>
    </w:p>
    <w:p w14:paraId="2E1A558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招标人在收到评标报告之日起3日内，按照投标人须知前附表规定的公示媒介和期限公示中标候选人，公示期不得少于3天</w:t>
      </w:r>
      <w:r>
        <w:rPr>
          <w:rFonts w:hint="eastAsia"/>
          <w:sz w:val="24"/>
          <w:highlight w:val="none"/>
        </w:rPr>
        <w:t>，最后一天应为工作日</w:t>
      </w:r>
      <w:r>
        <w:rPr>
          <w:sz w:val="24"/>
          <w:highlight w:val="none"/>
        </w:rPr>
        <w:t>。</w:t>
      </w:r>
    </w:p>
    <w:p w14:paraId="3C7D6360">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99" w:name="bookmark62"/>
      <w:bookmarkEnd w:id="99"/>
      <w:bookmarkStart w:id="100" w:name="_Toc32332"/>
      <w:r>
        <w:rPr>
          <w:rFonts w:cs="宋体"/>
          <w:sz w:val="24"/>
          <w:highlight w:val="none"/>
        </w:rPr>
        <w:t>7.2 评标结果异议</w:t>
      </w:r>
      <w:bookmarkEnd w:id="100"/>
    </w:p>
    <w:p w14:paraId="29BCB8D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投标人或者其他利害关系人对评标结果有异议的，应当在中标候选人公示期间提出。招标人将在收到异议之日起3日内作出答复；作出答复前，将暂停招标投标活动。</w:t>
      </w:r>
    </w:p>
    <w:p w14:paraId="4F8DAE8A">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01" w:name="bookmark63"/>
      <w:bookmarkEnd w:id="101"/>
      <w:bookmarkStart w:id="102" w:name="_Toc31719"/>
      <w:r>
        <w:rPr>
          <w:rFonts w:cs="宋体"/>
          <w:sz w:val="24"/>
          <w:highlight w:val="none"/>
        </w:rPr>
        <w:t>7.3 中标候选人履约能力审查</w:t>
      </w:r>
      <w:bookmarkEnd w:id="102"/>
    </w:p>
    <w:p w14:paraId="05FDCC2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中标候选人的经营、财务状况发生较大变化或存在违法行为，招标人认为可能影响其履约能力的，将在发出中标通知书前提请原评标委员会按照招标文件规定的标准和方法进行审查确认。</w:t>
      </w:r>
    </w:p>
    <w:p w14:paraId="4432D70B">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03" w:name="bookmark64"/>
      <w:bookmarkEnd w:id="103"/>
      <w:bookmarkStart w:id="104" w:name="_Toc21635"/>
      <w:r>
        <w:rPr>
          <w:rFonts w:cs="宋体"/>
          <w:sz w:val="24"/>
          <w:highlight w:val="none"/>
        </w:rPr>
        <w:t>7.4 定标</w:t>
      </w:r>
      <w:bookmarkEnd w:id="104"/>
    </w:p>
    <w:p w14:paraId="618B8CB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按照投标人须知前附表的规定，招标人或招标人授权的评标委员会依法确定中标人。</w:t>
      </w:r>
    </w:p>
    <w:p w14:paraId="7FCA181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05" w:name="bookmark65"/>
      <w:bookmarkEnd w:id="105"/>
      <w:bookmarkStart w:id="106" w:name="_Toc19033"/>
      <w:r>
        <w:rPr>
          <w:rFonts w:cs="宋体"/>
          <w:sz w:val="24"/>
          <w:highlight w:val="none"/>
        </w:rPr>
        <w:t>7.5 中标通知</w:t>
      </w:r>
      <w:bookmarkEnd w:id="106"/>
    </w:p>
    <w:p w14:paraId="598B053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bookmarkStart w:id="107" w:name="bookmark66"/>
      <w:bookmarkEnd w:id="107"/>
      <w:r>
        <w:rPr>
          <w:sz w:val="24"/>
          <w:highlight w:val="none"/>
        </w:rPr>
        <w:t>7.5.1  在法规规定的时间内，招标人以书面形式向中标人发出中标通知书。在</w:t>
      </w:r>
      <w:r>
        <w:rPr>
          <w:rFonts w:hint="eastAsia"/>
          <w:sz w:val="24"/>
          <w:highlight w:val="none"/>
        </w:rPr>
        <w:t>广州交易集团有限公司（广州公共资源交易中心）</w:t>
      </w:r>
      <w:r>
        <w:rPr>
          <w:sz w:val="24"/>
          <w:highlight w:val="none"/>
        </w:rPr>
        <w:t>网和广东省招标投标监管网发布中标信息，视同将中标结果通知未中标的投标人。</w:t>
      </w:r>
    </w:p>
    <w:p w14:paraId="501FB69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7.5.2  中标通知书发出前，中标人应未被纳入失信联合惩戒名单，否则招标人将取消其中标资格。失信联合惩戒名单以“信用广州”网站公布的“</w:t>
      </w:r>
      <w:r>
        <w:rPr>
          <w:rFonts w:hint="eastAsia"/>
          <w:sz w:val="24"/>
          <w:highlight w:val="none"/>
        </w:rPr>
        <w:t>黑名单</w:t>
      </w:r>
      <w:r>
        <w:rPr>
          <w:sz w:val="24"/>
          <w:highlight w:val="none"/>
        </w:rPr>
        <w:t>”为准。</w:t>
      </w:r>
    </w:p>
    <w:p w14:paraId="6BF0E24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08" w:name="_Toc19973"/>
      <w:r>
        <w:rPr>
          <w:rFonts w:cs="宋体"/>
          <w:sz w:val="24"/>
          <w:highlight w:val="none"/>
        </w:rPr>
        <w:t>7.6  履约保证金</w:t>
      </w:r>
      <w:bookmarkEnd w:id="108"/>
    </w:p>
    <w:p w14:paraId="091CACA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w:t>
      </w:r>
      <w:r>
        <w:rPr>
          <w:spacing w:val="-2"/>
          <w:sz w:val="24"/>
          <w:highlight w:val="none"/>
        </w:rPr>
        <w:t>主办方</w:t>
      </w:r>
      <w:r>
        <w:rPr>
          <w:sz w:val="24"/>
          <w:highlight w:val="none"/>
        </w:rPr>
        <w:t>的名义提交。</w:t>
      </w:r>
    </w:p>
    <w:p w14:paraId="4E80A9C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7.6.2 中标人不能按本章第 7.6.1 项要求提交履约保证金的，视为放弃中标，其投标保证金不予退还，给招标人造成的损失超过投标保证金数额的，中标人还应当对超过部分予以赔偿。</w:t>
      </w:r>
    </w:p>
    <w:p w14:paraId="455EC1B5">
      <w:pPr>
        <w:pStyle w:val="3"/>
        <w:kinsoku w:val="0"/>
        <w:overflowPunct w:val="0"/>
        <w:spacing w:before="13"/>
        <w:ind w:left="0"/>
        <w:rPr>
          <w:sz w:val="13"/>
          <w:highlight w:val="none"/>
        </w:rPr>
      </w:pPr>
    </w:p>
    <w:p w14:paraId="7F70C65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09" w:name="bookmark67"/>
      <w:bookmarkEnd w:id="109"/>
      <w:bookmarkStart w:id="110" w:name="_Toc9958"/>
      <w:r>
        <w:rPr>
          <w:rFonts w:cs="宋体"/>
          <w:sz w:val="24"/>
          <w:highlight w:val="none"/>
        </w:rPr>
        <w:t>7.7  签订合同</w:t>
      </w:r>
      <w:bookmarkEnd w:id="110"/>
    </w:p>
    <w:p w14:paraId="130044D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7.7.1 招标人和中标人应当在中标通知书发出之日起30日内，根据招标文件和中标人的投标文件订立书面合同</w:t>
      </w:r>
      <w:r>
        <w:rPr>
          <w:rFonts w:hint="eastAsia"/>
          <w:sz w:val="24"/>
          <w:highlight w:val="none"/>
        </w:rPr>
        <w:t>，并通过电子交易系统与中标人在线签订合同</w:t>
      </w:r>
      <w:r>
        <w:rPr>
          <w:sz w:val="24"/>
          <w:highlight w:val="none"/>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11B5672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7.7.2 发出中标通知书后，招标人无正当理由拒签合同，或者在签订合同时向中标人提出附加条件的，招标人向中标人退还投标保证金；给中标人造成损失的，还应当赔偿损失。</w:t>
      </w:r>
    </w:p>
    <w:p w14:paraId="7663CA1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7.7.3 联合体中标的，联合体各方应当共同与招标人签订合同，就中标项目向招标人承担连带责任。</w:t>
      </w:r>
    </w:p>
    <w:p w14:paraId="5A41ADBB">
      <w:pPr>
        <w:pStyle w:val="6"/>
        <w:spacing w:before="120" w:after="120"/>
        <w:rPr>
          <w:rFonts w:ascii="Microsoft JhengHei" w:hAnsi="Microsoft JhengHei" w:eastAsia="Microsoft JhengHei"/>
          <w:b w:val="0"/>
          <w:sz w:val="30"/>
          <w:highlight w:val="none"/>
        </w:rPr>
      </w:pPr>
      <w:bookmarkStart w:id="111" w:name="bookmark68"/>
      <w:bookmarkEnd w:id="111"/>
      <w:bookmarkStart w:id="112" w:name="_Toc30276"/>
      <w:r>
        <w:rPr>
          <w:rFonts w:cs="宋体"/>
          <w:highlight w:val="none"/>
        </w:rPr>
        <w:t>8.纪律和监督</w:t>
      </w:r>
      <w:bookmarkEnd w:id="112"/>
    </w:p>
    <w:p w14:paraId="72D2FE8F">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13" w:name="bookmark69"/>
      <w:bookmarkEnd w:id="113"/>
      <w:bookmarkStart w:id="114" w:name="_Toc10523"/>
      <w:r>
        <w:rPr>
          <w:rFonts w:cs="宋体"/>
          <w:sz w:val="24"/>
          <w:highlight w:val="none"/>
        </w:rPr>
        <w:t>8.1 对招标人的纪律要求</w:t>
      </w:r>
      <w:bookmarkEnd w:id="114"/>
    </w:p>
    <w:p w14:paraId="441A637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招标人不得泄露招标投标活动中应当保密的情况和资料，不得与投标人串通损害国家利益、社会公共利益或者他人合法权益。</w:t>
      </w:r>
    </w:p>
    <w:p w14:paraId="2806C205">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15" w:name="bookmark70"/>
      <w:bookmarkEnd w:id="115"/>
      <w:bookmarkStart w:id="116" w:name="_Toc24813"/>
      <w:r>
        <w:rPr>
          <w:rFonts w:cs="宋体"/>
          <w:sz w:val="24"/>
          <w:highlight w:val="none"/>
        </w:rPr>
        <w:t>8.2 对投标人的纪律要求</w:t>
      </w:r>
      <w:bookmarkEnd w:id="116"/>
    </w:p>
    <w:p w14:paraId="1EB54D9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5B95E268">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17" w:name="bookmark71"/>
      <w:bookmarkEnd w:id="117"/>
      <w:bookmarkStart w:id="118" w:name="_Toc28387"/>
      <w:r>
        <w:rPr>
          <w:rFonts w:cs="宋体"/>
          <w:sz w:val="24"/>
          <w:highlight w:val="none"/>
        </w:rPr>
        <w:t>8.3 对评标委员会成员的纪律要求</w:t>
      </w:r>
      <w:bookmarkEnd w:id="118"/>
    </w:p>
    <w:p w14:paraId="5A3FE69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0D1DF00">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z w:val="27"/>
          <w:highlight w:val="none"/>
        </w:rPr>
      </w:pPr>
      <w:bookmarkStart w:id="119" w:name="bookmark72"/>
      <w:bookmarkEnd w:id="119"/>
      <w:bookmarkStart w:id="120" w:name="_Toc29038"/>
      <w:r>
        <w:rPr>
          <w:rFonts w:cs="宋体"/>
          <w:sz w:val="24"/>
          <w:highlight w:val="none"/>
        </w:rPr>
        <w:t>8.4 对与评标活动有关的工作人员的纪律要求</w:t>
      </w:r>
      <w:bookmarkEnd w:id="120"/>
    </w:p>
    <w:p w14:paraId="1166145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762A267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sz w:val="24"/>
          <w:highlight w:val="none"/>
        </w:rPr>
      </w:pPr>
      <w:bookmarkStart w:id="121" w:name="bookmark73"/>
      <w:bookmarkEnd w:id="121"/>
      <w:bookmarkStart w:id="122" w:name="_Toc15989"/>
      <w:r>
        <w:rPr>
          <w:rFonts w:cs="宋体"/>
          <w:sz w:val="24"/>
          <w:highlight w:val="none"/>
        </w:rPr>
        <w:t>8.5 投诉</w:t>
      </w:r>
      <w:bookmarkEnd w:id="122"/>
    </w:p>
    <w:p w14:paraId="49A2F84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8.5.1  投标人或者其他利害关系人认为招标投标活动不符合法律、行政法规规定的，可以自知道或者应当知道之日起10日内向有关行政监督部门投诉。投诉应当有明确的请求和必要的证明材料。</w:t>
      </w:r>
    </w:p>
    <w:p w14:paraId="54AAC54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z w:val="24"/>
          <w:highlight w:val="none"/>
        </w:rPr>
      </w:pPr>
      <w:r>
        <w:rPr>
          <w:sz w:val="24"/>
          <w:highlight w:val="none"/>
        </w:rPr>
        <w:t>8.5.2  投标人或者其他利害关系人对招标文件、开标和评标结果提出投诉的，应当按照投标人须知第2.4款、第5.3款和第7.2款的规定先向招标人提出异议。异议答复期间不计算在第8.5.1项规定的期限内。</w:t>
      </w:r>
    </w:p>
    <w:p w14:paraId="49D5B0CA">
      <w:pPr>
        <w:pStyle w:val="6"/>
        <w:spacing w:before="120" w:after="120"/>
        <w:rPr>
          <w:rFonts w:ascii="Microsoft JhengHei" w:hAnsi="Microsoft JhengHei" w:eastAsia="Microsoft JhengHei"/>
          <w:b w:val="0"/>
          <w:sz w:val="19"/>
          <w:highlight w:val="none"/>
        </w:rPr>
      </w:pPr>
      <w:bookmarkStart w:id="123" w:name="bookmark74"/>
      <w:bookmarkEnd w:id="123"/>
      <w:bookmarkStart w:id="124" w:name="_Toc2971"/>
      <w:r>
        <w:rPr>
          <w:rFonts w:cs="宋体"/>
          <w:highlight w:val="none"/>
        </w:rPr>
        <w:t>9.采用电子招标投标</w:t>
      </w:r>
      <w:bookmarkEnd w:id="124"/>
    </w:p>
    <w:p w14:paraId="05C0288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cs="宋体"/>
          <w:sz w:val="24"/>
          <w:highlight w:val="none"/>
        </w:rPr>
      </w:pPr>
      <w:r>
        <w:rPr>
          <w:rFonts w:hint="eastAsia" w:ascii="Times New Roman" w:hAnsi="Times New Roman" w:eastAsia="Times New Roman"/>
          <w:spacing w:val="-8"/>
          <w:sz w:val="24"/>
          <w:highlight w:val="none"/>
        </w:rPr>
        <w:t>本招标项目采用电子招标投标方式，按照</w:t>
      </w:r>
      <w:r>
        <w:rPr>
          <w:rFonts w:hint="eastAsia" w:ascii="Times New Roman" w:hAnsi="Times New Roman"/>
          <w:spacing w:val="-8"/>
          <w:sz w:val="24"/>
          <w:highlight w:val="none"/>
        </w:rPr>
        <w:t>广州交易集团有限公司（广州公共资源交易中心）</w:t>
      </w:r>
      <w:r>
        <w:rPr>
          <w:rFonts w:hint="eastAsia" w:ascii="Times New Roman" w:hAnsi="Times New Roman" w:eastAsia="Times New Roman"/>
          <w:spacing w:val="-8"/>
          <w:sz w:val="24"/>
          <w:highlight w:val="none"/>
        </w:rPr>
        <w:t>网站关于全流程电子化项目的相关指南进行操作</w:t>
      </w:r>
      <w:r>
        <w:rPr>
          <w:rFonts w:cs="宋体"/>
          <w:sz w:val="24"/>
          <w:highlight w:val="none"/>
        </w:rPr>
        <w:t>。</w:t>
      </w:r>
    </w:p>
    <w:p w14:paraId="7EEB1499">
      <w:pPr>
        <w:pStyle w:val="6"/>
        <w:spacing w:before="120" w:after="120"/>
        <w:rPr>
          <w:rFonts w:ascii="Microsoft JhengHei" w:hAnsi="Microsoft JhengHei" w:eastAsia="Microsoft JhengHei"/>
          <w:b w:val="0"/>
          <w:sz w:val="19"/>
          <w:highlight w:val="none"/>
        </w:rPr>
      </w:pPr>
      <w:bookmarkStart w:id="125" w:name="bookmark75"/>
      <w:bookmarkEnd w:id="125"/>
      <w:bookmarkStart w:id="126" w:name="_Toc12519"/>
      <w:r>
        <w:rPr>
          <w:rFonts w:cs="宋体"/>
          <w:highlight w:val="none"/>
        </w:rPr>
        <w:t>10.需要补充的其他内容</w:t>
      </w:r>
      <w:bookmarkEnd w:id="126"/>
    </w:p>
    <w:p w14:paraId="1975F80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sz w:val="24"/>
          <w:highlight w:val="none"/>
        </w:rPr>
      </w:pPr>
      <w:r>
        <w:rPr>
          <w:rFonts w:cs="宋体"/>
          <w:sz w:val="24"/>
          <w:highlight w:val="none"/>
        </w:rPr>
        <w:t>需要补充的其他内容：见投标人须知前附表。</w:t>
      </w:r>
    </w:p>
    <w:p w14:paraId="40C48FC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宋体"/>
          <w:color w:val="auto"/>
          <w:sz w:val="24"/>
          <w:szCs w:val="24"/>
          <w:highlight w:val="none"/>
        </w:rPr>
      </w:pPr>
    </w:p>
    <w:p w14:paraId="3C331E7A">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34387996">
      <w:pPr>
        <w:pStyle w:val="7"/>
        <w:outlineLvl w:val="0"/>
        <w:rPr>
          <w:rFonts w:hint="default"/>
          <w:color w:val="auto"/>
          <w:sz w:val="28"/>
          <w:szCs w:val="24"/>
          <w:highlight w:val="none"/>
        </w:rPr>
      </w:pPr>
      <w:bookmarkStart w:id="127" w:name="bookmark77"/>
      <w:bookmarkEnd w:id="127"/>
      <w:bookmarkStart w:id="128" w:name="bookmark76"/>
      <w:bookmarkEnd w:id="128"/>
      <w:bookmarkStart w:id="129" w:name="_Toc24188"/>
      <w:bookmarkStart w:id="130" w:name="_Toc5057"/>
      <w:r>
        <w:rPr>
          <w:rFonts w:hint="default"/>
          <w:color w:val="auto"/>
          <w:sz w:val="28"/>
          <w:szCs w:val="24"/>
          <w:highlight w:val="none"/>
        </w:rPr>
        <w:t>附件</w:t>
      </w:r>
      <w:r>
        <w:rPr>
          <w:rFonts w:hint="default"/>
          <w:color w:val="auto"/>
          <w:sz w:val="28"/>
          <w:szCs w:val="24"/>
          <w:highlight w:val="none"/>
          <w:lang w:eastAsia="zh-CN"/>
        </w:rPr>
        <w:t>一</w:t>
      </w:r>
      <w:r>
        <w:rPr>
          <w:rFonts w:hint="default"/>
          <w:color w:val="auto"/>
          <w:sz w:val="28"/>
          <w:szCs w:val="24"/>
          <w:highlight w:val="none"/>
        </w:rPr>
        <w:t>：问题澄清通知</w:t>
      </w:r>
      <w:bookmarkEnd w:id="129"/>
      <w:bookmarkEnd w:id="130"/>
    </w:p>
    <w:p w14:paraId="204B2B25">
      <w:pPr>
        <w:pStyle w:val="3"/>
        <w:kinsoku w:val="0"/>
        <w:overflowPunct w:val="0"/>
        <w:ind w:left="0"/>
        <w:rPr>
          <w:rFonts w:hint="default"/>
          <w:color w:val="auto"/>
          <w:sz w:val="20"/>
          <w:szCs w:val="24"/>
          <w:highlight w:val="none"/>
        </w:rPr>
      </w:pPr>
    </w:p>
    <w:p w14:paraId="16A58E5B">
      <w:pPr>
        <w:pStyle w:val="3"/>
        <w:kinsoku w:val="0"/>
        <w:overflowPunct w:val="0"/>
        <w:ind w:left="0"/>
        <w:rPr>
          <w:rFonts w:hint="default"/>
          <w:color w:val="auto"/>
          <w:sz w:val="20"/>
          <w:szCs w:val="24"/>
          <w:highlight w:val="none"/>
        </w:rPr>
      </w:pPr>
    </w:p>
    <w:p w14:paraId="690770C3">
      <w:pPr>
        <w:pStyle w:val="3"/>
        <w:kinsoku w:val="0"/>
        <w:overflowPunct w:val="0"/>
        <w:ind w:left="0"/>
        <w:rPr>
          <w:rFonts w:hint="default"/>
          <w:color w:val="auto"/>
          <w:sz w:val="20"/>
          <w:szCs w:val="24"/>
          <w:highlight w:val="none"/>
        </w:rPr>
      </w:pPr>
    </w:p>
    <w:p w14:paraId="29701F1B">
      <w:pPr>
        <w:pStyle w:val="3"/>
        <w:kinsoku w:val="0"/>
        <w:overflowPunct w:val="0"/>
        <w:spacing w:before="4"/>
        <w:ind w:left="0"/>
        <w:rPr>
          <w:rFonts w:hint="default"/>
          <w:color w:val="auto"/>
          <w:sz w:val="17"/>
          <w:szCs w:val="24"/>
          <w:highlight w:val="none"/>
        </w:rPr>
      </w:pPr>
    </w:p>
    <w:p w14:paraId="3C583196">
      <w:pPr>
        <w:pStyle w:val="3"/>
        <w:kinsoku w:val="0"/>
        <w:overflowPunct w:val="0"/>
        <w:spacing w:before="14"/>
        <w:ind w:left="0" w:right="13"/>
        <w:jc w:val="center"/>
        <w:rPr>
          <w:rFonts w:hint="default"/>
          <w:color w:val="auto"/>
          <w:sz w:val="28"/>
          <w:szCs w:val="24"/>
          <w:highlight w:val="none"/>
        </w:rPr>
      </w:pPr>
      <w:r>
        <w:rPr>
          <w:rFonts w:hint="default"/>
          <w:color w:val="auto"/>
          <w:sz w:val="28"/>
          <w:szCs w:val="24"/>
          <w:highlight w:val="none"/>
        </w:rPr>
        <w:t>问题澄清通知</w:t>
      </w:r>
    </w:p>
    <w:p w14:paraId="4E0DF24E">
      <w:pPr>
        <w:pStyle w:val="3"/>
        <w:tabs>
          <w:tab w:val="left" w:pos="2937"/>
        </w:tabs>
        <w:kinsoku w:val="0"/>
        <w:overflowPunct w:val="0"/>
        <w:spacing w:before="157"/>
        <w:ind w:left="0" w:right="20"/>
        <w:jc w:val="center"/>
        <w:rPr>
          <w:rFonts w:hint="default"/>
          <w:color w:val="auto"/>
          <w:sz w:val="24"/>
          <w:szCs w:val="24"/>
          <w:highlight w:val="none"/>
        </w:rPr>
      </w:pPr>
      <w:r>
        <w:rPr>
          <w:rFonts w:hint="default"/>
          <w:color w:val="auto"/>
          <w:spacing w:val="-1"/>
          <w:sz w:val="24"/>
          <w:szCs w:val="24"/>
          <w:highlight w:val="none"/>
        </w:rPr>
        <w:t>（编号：</w:t>
      </w:r>
      <w:r>
        <w:rPr>
          <w:rFonts w:hint="eastAsia" w:ascii="Times New Roman" w:hAnsi="Times New Roman" w:eastAsia="Times New Roman"/>
          <w:color w:val="auto"/>
          <w:spacing w:val="-1"/>
          <w:sz w:val="24"/>
          <w:szCs w:val="24"/>
          <w:highlight w:val="none"/>
          <w:u w:val="single"/>
        </w:rPr>
        <w:tab/>
      </w:r>
      <w:r>
        <w:rPr>
          <w:rFonts w:hint="default"/>
          <w:color w:val="auto"/>
          <w:sz w:val="24"/>
          <w:szCs w:val="24"/>
          <w:highlight w:val="none"/>
        </w:rPr>
        <w:t>）</w:t>
      </w:r>
    </w:p>
    <w:p w14:paraId="4957599D">
      <w:pPr>
        <w:pStyle w:val="3"/>
        <w:kinsoku w:val="0"/>
        <w:overflowPunct w:val="0"/>
        <w:ind w:left="0"/>
        <w:rPr>
          <w:rFonts w:hint="default"/>
          <w:color w:val="auto"/>
          <w:sz w:val="24"/>
          <w:szCs w:val="24"/>
          <w:highlight w:val="none"/>
        </w:rPr>
      </w:pPr>
    </w:p>
    <w:p w14:paraId="1D8979AD">
      <w:pPr>
        <w:pStyle w:val="3"/>
        <w:kinsoku w:val="0"/>
        <w:overflowPunct w:val="0"/>
        <w:spacing w:before="5"/>
        <w:ind w:left="0"/>
        <w:rPr>
          <w:rFonts w:hint="default"/>
          <w:color w:val="auto"/>
          <w:sz w:val="24"/>
          <w:szCs w:val="24"/>
          <w:highlight w:val="none"/>
        </w:rPr>
      </w:pPr>
    </w:p>
    <w:p w14:paraId="487C04FA">
      <w:pPr>
        <w:pStyle w:val="3"/>
        <w:tabs>
          <w:tab w:val="left" w:pos="2305"/>
        </w:tabs>
        <w:kinsoku w:val="0"/>
        <w:overflowPunct w:val="0"/>
        <w:spacing w:before="36"/>
        <w:ind w:left="100" w:right="113"/>
        <w:rPr>
          <w:rFonts w:hint="default"/>
          <w:color w:val="auto"/>
          <w:spacing w:val="-15"/>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pacing w:val="-15"/>
          <w:sz w:val="24"/>
          <w:szCs w:val="24"/>
          <w:highlight w:val="none"/>
        </w:rPr>
        <w:t>（投标人名称）：</w:t>
      </w:r>
    </w:p>
    <w:p w14:paraId="4072600E">
      <w:pPr>
        <w:pStyle w:val="3"/>
        <w:kinsoku w:val="0"/>
        <w:overflowPunct w:val="0"/>
        <w:ind w:left="0"/>
        <w:rPr>
          <w:rFonts w:hint="default"/>
          <w:color w:val="auto"/>
          <w:sz w:val="24"/>
          <w:szCs w:val="24"/>
          <w:highlight w:val="none"/>
        </w:rPr>
      </w:pPr>
    </w:p>
    <w:p w14:paraId="25BDA0E7">
      <w:pPr>
        <w:pStyle w:val="3"/>
        <w:kinsoku w:val="0"/>
        <w:overflowPunct w:val="0"/>
        <w:spacing w:before="8"/>
        <w:ind w:left="0"/>
        <w:rPr>
          <w:rFonts w:hint="default"/>
          <w:color w:val="auto"/>
          <w:sz w:val="24"/>
          <w:szCs w:val="24"/>
          <w:highlight w:val="none"/>
        </w:rPr>
      </w:pPr>
    </w:p>
    <w:p w14:paraId="7FF901FF">
      <w:pPr>
        <w:pStyle w:val="3"/>
        <w:kinsoku w:val="0"/>
        <w:overflowPunct w:val="0"/>
        <w:spacing w:before="36" w:line="384" w:lineRule="auto"/>
        <w:ind w:left="100" w:right="113" w:firstLine="422"/>
        <w:rPr>
          <w:rFonts w:hint="default"/>
          <w:color w:val="auto"/>
          <w:sz w:val="24"/>
          <w:szCs w:val="24"/>
          <w:highlight w:val="none"/>
        </w:rPr>
      </w:pPr>
      <w:r>
        <w:rPr>
          <w:rFonts w:hint="default"/>
          <w:color w:val="auto"/>
          <w:spacing w:val="-1"/>
          <w:sz w:val="24"/>
          <w:szCs w:val="24"/>
          <w:highlight w:val="none"/>
        </w:rPr>
        <w:t>评标委员会对你方的投标文件进行了仔细的审查，现需你方对下列问题以书面形式予以澄</w:t>
      </w:r>
      <w:r>
        <w:rPr>
          <w:rFonts w:hint="default"/>
          <w:color w:val="auto"/>
          <w:sz w:val="24"/>
          <w:szCs w:val="24"/>
          <w:highlight w:val="none"/>
        </w:rPr>
        <w:t xml:space="preserve"> 清、说明或补正：</w:t>
      </w:r>
    </w:p>
    <w:p w14:paraId="037B27F2">
      <w:pPr>
        <w:pStyle w:val="3"/>
        <w:kinsoku w:val="0"/>
        <w:overflowPunct w:val="0"/>
        <w:ind w:left="0"/>
        <w:rPr>
          <w:rFonts w:hint="default"/>
          <w:color w:val="auto"/>
          <w:sz w:val="24"/>
          <w:szCs w:val="24"/>
          <w:highlight w:val="none"/>
        </w:rPr>
      </w:pPr>
    </w:p>
    <w:p w14:paraId="3B9EE195">
      <w:pPr>
        <w:pStyle w:val="3"/>
        <w:kinsoku w:val="0"/>
        <w:overflowPunct w:val="0"/>
        <w:spacing w:before="6"/>
        <w:ind w:left="0"/>
        <w:rPr>
          <w:rFonts w:hint="default"/>
          <w:color w:val="auto"/>
          <w:sz w:val="24"/>
          <w:szCs w:val="24"/>
          <w:highlight w:val="none"/>
        </w:rPr>
      </w:pPr>
    </w:p>
    <w:p w14:paraId="2A33874C">
      <w:pPr>
        <w:pStyle w:val="3"/>
        <w:kinsoku w:val="0"/>
        <w:overflowPunct w:val="0"/>
        <w:ind w:left="522" w:right="113"/>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p>
    <w:p w14:paraId="0EB772FC">
      <w:pPr>
        <w:pStyle w:val="3"/>
        <w:kinsoku w:val="0"/>
        <w:overflowPunct w:val="0"/>
        <w:spacing w:before="2"/>
        <w:ind w:left="0"/>
        <w:rPr>
          <w:rFonts w:hint="eastAsia" w:ascii="Times New Roman" w:hAnsi="Times New Roman" w:eastAsia="Times New Roman"/>
          <w:color w:val="auto"/>
          <w:sz w:val="24"/>
          <w:szCs w:val="24"/>
          <w:highlight w:val="none"/>
        </w:rPr>
      </w:pPr>
    </w:p>
    <w:p w14:paraId="56AAB38F">
      <w:pPr>
        <w:pStyle w:val="3"/>
        <w:kinsoku w:val="0"/>
        <w:overflowPunct w:val="0"/>
        <w:ind w:left="522" w:right="113"/>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p>
    <w:p w14:paraId="5E8153A5">
      <w:pPr>
        <w:pStyle w:val="3"/>
        <w:kinsoku w:val="0"/>
        <w:overflowPunct w:val="0"/>
        <w:spacing w:before="5"/>
        <w:ind w:left="0"/>
        <w:rPr>
          <w:rFonts w:hint="eastAsia" w:ascii="Times New Roman" w:hAnsi="Times New Roman" w:eastAsia="Times New Roman"/>
          <w:color w:val="auto"/>
          <w:sz w:val="24"/>
          <w:szCs w:val="24"/>
          <w:highlight w:val="none"/>
        </w:rPr>
      </w:pPr>
    </w:p>
    <w:p w14:paraId="0738F683">
      <w:pPr>
        <w:pStyle w:val="3"/>
        <w:kinsoku w:val="0"/>
        <w:overflowPunct w:val="0"/>
        <w:ind w:left="628" w:right="113"/>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w:t>
      </w:r>
    </w:p>
    <w:p w14:paraId="541B6AA7">
      <w:pPr>
        <w:pStyle w:val="3"/>
        <w:kinsoku w:val="0"/>
        <w:overflowPunct w:val="0"/>
        <w:ind w:left="0"/>
        <w:rPr>
          <w:rFonts w:hint="eastAsia" w:ascii="Times New Roman" w:hAnsi="Times New Roman" w:eastAsia="Times New Roman"/>
          <w:color w:val="auto"/>
          <w:sz w:val="24"/>
          <w:szCs w:val="24"/>
          <w:highlight w:val="none"/>
        </w:rPr>
      </w:pPr>
    </w:p>
    <w:p w14:paraId="0BCA6ABF">
      <w:pPr>
        <w:pStyle w:val="3"/>
        <w:kinsoku w:val="0"/>
        <w:overflowPunct w:val="0"/>
        <w:ind w:left="0"/>
        <w:rPr>
          <w:rFonts w:hint="eastAsia" w:ascii="Times New Roman" w:hAnsi="Times New Roman" w:eastAsia="Times New Roman"/>
          <w:color w:val="auto"/>
          <w:sz w:val="24"/>
          <w:szCs w:val="24"/>
          <w:highlight w:val="none"/>
        </w:rPr>
      </w:pPr>
    </w:p>
    <w:p w14:paraId="6DF2875A">
      <w:pPr>
        <w:pStyle w:val="3"/>
        <w:tabs>
          <w:tab w:val="left" w:pos="4603"/>
          <w:tab w:val="left" w:pos="5549"/>
          <w:tab w:val="left" w:pos="6494"/>
          <w:tab w:val="left" w:pos="7438"/>
        </w:tabs>
        <w:kinsoku w:val="0"/>
        <w:overflowPunct w:val="0"/>
        <w:spacing w:before="127"/>
        <w:ind w:left="505" w:right="113"/>
        <w:rPr>
          <w:rFonts w:hint="default"/>
          <w:color w:val="auto"/>
          <w:spacing w:val="-2"/>
          <w:sz w:val="24"/>
          <w:szCs w:val="24"/>
          <w:highlight w:val="none"/>
        </w:rPr>
      </w:pPr>
      <w:r>
        <w:rPr>
          <w:rFonts w:hint="default"/>
          <w:color w:val="auto"/>
          <w:spacing w:val="-2"/>
          <w:sz w:val="24"/>
          <w:szCs w:val="24"/>
          <w:highlight w:val="none"/>
        </w:rPr>
        <w:t>请将上述问题的澄清、说明或补正于</w:t>
      </w:r>
      <w:r>
        <w:rPr>
          <w:rFonts w:hint="eastAsia" w:ascii="Times New Roman" w:hAnsi="Times New Roman" w:eastAsia="Times New Roman"/>
          <w:color w:val="auto"/>
          <w:spacing w:val="-2"/>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pacing w:val="-3"/>
          <w:sz w:val="24"/>
          <w:szCs w:val="24"/>
          <w:highlight w:val="none"/>
        </w:rPr>
        <w:t>日</w:t>
      </w:r>
      <w:r>
        <w:rPr>
          <w:rFonts w:hint="eastAsia" w:ascii="Times New Roman" w:hAnsi="Times New Roman" w:eastAsia="Times New Roman"/>
          <w:color w:val="auto"/>
          <w:spacing w:val="-3"/>
          <w:sz w:val="24"/>
          <w:szCs w:val="24"/>
          <w:highlight w:val="none"/>
          <w:u w:val="single"/>
        </w:rPr>
        <w:tab/>
      </w:r>
      <w:r>
        <w:rPr>
          <w:rFonts w:hint="default"/>
          <w:color w:val="auto"/>
          <w:spacing w:val="-2"/>
          <w:sz w:val="24"/>
          <w:szCs w:val="24"/>
          <w:highlight w:val="none"/>
        </w:rPr>
        <w:t>时前递交至</w:t>
      </w:r>
    </w:p>
    <w:p w14:paraId="74D71A88">
      <w:pPr>
        <w:pStyle w:val="3"/>
        <w:kinsoku w:val="0"/>
        <w:overflowPunct w:val="0"/>
        <w:spacing w:before="13"/>
        <w:ind w:left="0"/>
        <w:rPr>
          <w:rFonts w:hint="default"/>
          <w:color w:val="auto"/>
          <w:sz w:val="24"/>
          <w:szCs w:val="24"/>
          <w:highlight w:val="none"/>
        </w:rPr>
      </w:pPr>
    </w:p>
    <w:p w14:paraId="03CEDB04">
      <w:pPr>
        <w:pStyle w:val="3"/>
        <w:tabs>
          <w:tab w:val="left" w:pos="3040"/>
          <w:tab w:val="left" w:pos="7296"/>
        </w:tabs>
        <w:kinsoku w:val="0"/>
        <w:overflowPunct w:val="0"/>
        <w:spacing w:before="36"/>
        <w:ind w:left="100"/>
        <w:rPr>
          <w:rFonts w:hint="default"/>
          <w:color w:val="auto"/>
          <w:spacing w:val="-5"/>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pacing w:val="-5"/>
          <w:sz w:val="24"/>
          <w:szCs w:val="24"/>
          <w:highlight w:val="none"/>
        </w:rPr>
        <w:t>（详细地址）或传真至</w:t>
      </w:r>
      <w:r>
        <w:rPr>
          <w:rFonts w:hint="eastAsia" w:ascii="Times New Roman" w:hAnsi="Times New Roman" w:eastAsia="Times New Roman"/>
          <w:color w:val="auto"/>
          <w:spacing w:val="-5"/>
          <w:sz w:val="24"/>
          <w:szCs w:val="24"/>
          <w:highlight w:val="none"/>
          <w:u w:val="single"/>
        </w:rPr>
        <w:tab/>
      </w:r>
      <w:r>
        <w:rPr>
          <w:rFonts w:hint="default"/>
          <w:color w:val="auto"/>
          <w:spacing w:val="-5"/>
          <w:sz w:val="24"/>
          <w:szCs w:val="24"/>
          <w:highlight w:val="none"/>
        </w:rPr>
        <w:t>（传真号码）或</w:t>
      </w:r>
    </w:p>
    <w:p w14:paraId="37323B2F">
      <w:pPr>
        <w:pStyle w:val="3"/>
        <w:kinsoku w:val="0"/>
        <w:overflowPunct w:val="0"/>
        <w:spacing w:before="10"/>
        <w:ind w:left="0"/>
        <w:rPr>
          <w:rFonts w:hint="default"/>
          <w:color w:val="auto"/>
          <w:sz w:val="24"/>
          <w:szCs w:val="24"/>
          <w:highlight w:val="none"/>
        </w:rPr>
      </w:pPr>
    </w:p>
    <w:p w14:paraId="395BD30B">
      <w:pPr>
        <w:pStyle w:val="3"/>
        <w:tabs>
          <w:tab w:val="left" w:pos="7138"/>
          <w:tab w:val="left" w:pos="8084"/>
        </w:tabs>
        <w:kinsoku w:val="0"/>
        <w:overflowPunct w:val="0"/>
        <w:spacing w:before="36"/>
        <w:ind w:left="100" w:right="113"/>
        <w:rPr>
          <w:rFonts w:hint="default"/>
          <w:color w:val="auto"/>
          <w:sz w:val="24"/>
          <w:szCs w:val="24"/>
          <w:highlight w:val="none"/>
        </w:rPr>
      </w:pPr>
      <w:r>
        <w:rPr>
          <w:rFonts w:hint="default"/>
          <w:color w:val="auto"/>
          <w:spacing w:val="-2"/>
          <w:sz w:val="24"/>
          <w:szCs w:val="24"/>
          <w:highlight w:val="none"/>
        </w:rPr>
        <w:t>通过下载招标文件的电子招标交易平台上传。采用传真方式的，应在</w:t>
      </w:r>
      <w:r>
        <w:rPr>
          <w:rFonts w:hint="eastAsia" w:ascii="Times New Roman" w:hAnsi="Times New Roman" w:eastAsia="Times New Roman"/>
          <w:color w:val="auto"/>
          <w:spacing w:val="-2"/>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p>
    <w:p w14:paraId="544FC36C">
      <w:pPr>
        <w:pStyle w:val="3"/>
        <w:kinsoku w:val="0"/>
        <w:overflowPunct w:val="0"/>
        <w:spacing w:before="10"/>
        <w:ind w:left="0"/>
        <w:rPr>
          <w:rFonts w:hint="default"/>
          <w:color w:val="auto"/>
          <w:sz w:val="24"/>
          <w:szCs w:val="24"/>
          <w:highlight w:val="none"/>
        </w:rPr>
      </w:pPr>
    </w:p>
    <w:p w14:paraId="67C2BA2A">
      <w:pPr>
        <w:pStyle w:val="3"/>
        <w:tabs>
          <w:tab w:val="left" w:pos="837"/>
          <w:tab w:val="left" w:pos="1782"/>
          <w:tab w:val="left" w:pos="5669"/>
        </w:tabs>
        <w:kinsoku w:val="0"/>
        <w:overflowPunct w:val="0"/>
        <w:spacing w:before="36"/>
        <w:ind w:left="100" w:right="113"/>
        <w:rPr>
          <w:rFonts w:hint="default"/>
          <w:color w:val="auto"/>
          <w:spacing w:val="-17"/>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r>
        <w:rPr>
          <w:rFonts w:hint="eastAsia" w:ascii="Times New Roman" w:hAnsi="Times New Roman" w:eastAsia="Times New Roman"/>
          <w:color w:val="auto"/>
          <w:sz w:val="24"/>
          <w:szCs w:val="24"/>
          <w:highlight w:val="none"/>
          <w:u w:val="single"/>
        </w:rPr>
        <w:tab/>
      </w:r>
      <w:r>
        <w:rPr>
          <w:rFonts w:hint="default"/>
          <w:color w:val="auto"/>
          <w:spacing w:val="-2"/>
          <w:sz w:val="24"/>
          <w:szCs w:val="24"/>
          <w:highlight w:val="none"/>
        </w:rPr>
        <w:t>时前将原件递交至</w:t>
      </w:r>
      <w:r>
        <w:rPr>
          <w:rFonts w:hint="eastAsia" w:ascii="Times New Roman" w:hAnsi="Times New Roman" w:eastAsia="Times New Roman"/>
          <w:color w:val="auto"/>
          <w:spacing w:val="-2"/>
          <w:sz w:val="24"/>
          <w:szCs w:val="24"/>
          <w:highlight w:val="none"/>
          <w:u w:val="single"/>
        </w:rPr>
        <w:tab/>
      </w:r>
      <w:r>
        <w:rPr>
          <w:rFonts w:hint="default"/>
          <w:color w:val="auto"/>
          <w:spacing w:val="-17"/>
          <w:sz w:val="24"/>
          <w:szCs w:val="24"/>
          <w:highlight w:val="none"/>
        </w:rPr>
        <w:t>（详细地址）。</w:t>
      </w:r>
    </w:p>
    <w:p w14:paraId="7EE22985">
      <w:pPr>
        <w:pStyle w:val="3"/>
        <w:kinsoku w:val="0"/>
        <w:overflowPunct w:val="0"/>
        <w:ind w:left="0"/>
        <w:rPr>
          <w:rFonts w:hint="default"/>
          <w:color w:val="auto"/>
          <w:sz w:val="24"/>
          <w:szCs w:val="24"/>
          <w:highlight w:val="none"/>
        </w:rPr>
      </w:pPr>
    </w:p>
    <w:p w14:paraId="49C1D92B">
      <w:pPr>
        <w:pStyle w:val="3"/>
        <w:kinsoku w:val="0"/>
        <w:overflowPunct w:val="0"/>
        <w:ind w:left="0"/>
        <w:rPr>
          <w:rFonts w:hint="default"/>
          <w:color w:val="auto"/>
          <w:sz w:val="24"/>
          <w:szCs w:val="24"/>
          <w:highlight w:val="none"/>
        </w:rPr>
      </w:pPr>
    </w:p>
    <w:p w14:paraId="4C0DFFFE">
      <w:pPr>
        <w:pStyle w:val="3"/>
        <w:kinsoku w:val="0"/>
        <w:overflowPunct w:val="0"/>
        <w:ind w:left="0"/>
        <w:rPr>
          <w:rFonts w:hint="default"/>
          <w:color w:val="auto"/>
          <w:sz w:val="24"/>
          <w:szCs w:val="24"/>
          <w:highlight w:val="none"/>
        </w:rPr>
      </w:pPr>
    </w:p>
    <w:p w14:paraId="012731A9">
      <w:pPr>
        <w:pStyle w:val="3"/>
        <w:kinsoku w:val="0"/>
        <w:overflowPunct w:val="0"/>
        <w:spacing w:before="2"/>
        <w:ind w:left="0"/>
        <w:rPr>
          <w:rFonts w:hint="default"/>
          <w:color w:val="auto"/>
          <w:sz w:val="24"/>
          <w:szCs w:val="24"/>
          <w:highlight w:val="none"/>
        </w:rPr>
      </w:pPr>
    </w:p>
    <w:p w14:paraId="7A9B70C3">
      <w:pPr>
        <w:pStyle w:val="3"/>
        <w:tabs>
          <w:tab w:val="left" w:pos="7032"/>
        </w:tabs>
        <w:kinsoku w:val="0"/>
        <w:overflowPunct w:val="0"/>
        <w:spacing w:before="36"/>
        <w:ind w:left="2200" w:right="113"/>
        <w:rPr>
          <w:rFonts w:hint="default"/>
          <w:color w:val="auto"/>
          <w:spacing w:val="-1"/>
          <w:sz w:val="24"/>
          <w:szCs w:val="24"/>
          <w:highlight w:val="none"/>
        </w:rPr>
      </w:pPr>
      <w:r>
        <w:rPr>
          <w:rFonts w:hint="default"/>
          <w:color w:val="auto"/>
          <w:spacing w:val="-2"/>
          <w:sz w:val="24"/>
          <w:szCs w:val="24"/>
          <w:highlight w:val="none"/>
        </w:rPr>
        <w:t>评标委员会</w:t>
      </w:r>
      <w:r>
        <w:rPr>
          <w:rFonts w:hint="eastAsia"/>
          <w:color w:val="auto"/>
          <w:spacing w:val="-2"/>
          <w:sz w:val="24"/>
          <w:szCs w:val="24"/>
          <w:highlight w:val="none"/>
          <w:lang w:eastAsia="zh-CN"/>
        </w:rPr>
        <w:t>签字</w:t>
      </w:r>
      <w:r>
        <w:rPr>
          <w:rFonts w:hint="default"/>
          <w:color w:val="auto"/>
          <w:spacing w:val="-2"/>
          <w:sz w:val="24"/>
          <w:szCs w:val="24"/>
          <w:highlight w:val="none"/>
        </w:rPr>
        <w:t>：</w:t>
      </w:r>
      <w:r>
        <w:rPr>
          <w:rFonts w:hint="eastAsia" w:ascii="Times New Roman" w:hAnsi="Times New Roman" w:eastAsia="Times New Roman"/>
          <w:color w:val="auto"/>
          <w:spacing w:val="-2"/>
          <w:sz w:val="24"/>
          <w:szCs w:val="24"/>
          <w:highlight w:val="none"/>
          <w:u w:val="single"/>
        </w:rPr>
        <w:tab/>
      </w:r>
    </w:p>
    <w:p w14:paraId="3BB59234">
      <w:pPr>
        <w:pStyle w:val="3"/>
        <w:kinsoku w:val="0"/>
        <w:overflowPunct w:val="0"/>
        <w:ind w:left="0"/>
        <w:rPr>
          <w:rFonts w:hint="default"/>
          <w:color w:val="auto"/>
          <w:sz w:val="24"/>
          <w:szCs w:val="24"/>
          <w:highlight w:val="none"/>
        </w:rPr>
      </w:pPr>
    </w:p>
    <w:p w14:paraId="7EA7A103">
      <w:pPr>
        <w:pStyle w:val="3"/>
        <w:kinsoku w:val="0"/>
        <w:overflowPunct w:val="0"/>
        <w:spacing w:before="7"/>
        <w:ind w:left="0"/>
        <w:rPr>
          <w:rFonts w:hint="default"/>
          <w:color w:val="auto"/>
          <w:sz w:val="24"/>
          <w:szCs w:val="24"/>
          <w:highlight w:val="none"/>
        </w:rPr>
      </w:pPr>
    </w:p>
    <w:p w14:paraId="3DFBF82D">
      <w:pPr>
        <w:pStyle w:val="3"/>
        <w:tabs>
          <w:tab w:val="left" w:pos="5803"/>
          <w:tab w:val="left" w:pos="6746"/>
          <w:tab w:val="left" w:pos="7692"/>
        </w:tabs>
        <w:kinsoku w:val="0"/>
        <w:overflowPunct w:val="0"/>
        <w:spacing w:before="36"/>
        <w:ind w:left="4961" w:right="113"/>
        <w:rPr>
          <w:rFonts w:hint="default"/>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pacing w:val="-3"/>
          <w:sz w:val="24"/>
          <w:szCs w:val="24"/>
          <w:highlight w:val="none"/>
        </w:rPr>
        <w:t>年</w:t>
      </w:r>
      <w:r>
        <w:rPr>
          <w:rFonts w:hint="eastAsia" w:ascii="Times New Roman" w:hAnsi="Times New Roman" w:eastAsia="Times New Roman"/>
          <w:color w:val="auto"/>
          <w:spacing w:val="-3"/>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575A1D0B">
      <w:pPr>
        <w:pStyle w:val="3"/>
        <w:tabs>
          <w:tab w:val="left" w:pos="5803"/>
          <w:tab w:val="left" w:pos="6746"/>
          <w:tab w:val="left" w:pos="7692"/>
        </w:tabs>
        <w:kinsoku w:val="0"/>
        <w:overflowPunct w:val="0"/>
        <w:spacing w:before="36"/>
        <w:ind w:left="4961" w:right="113"/>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668392F5">
      <w:pPr>
        <w:pStyle w:val="7"/>
        <w:rPr>
          <w:rFonts w:hint="default"/>
          <w:color w:val="auto"/>
          <w:sz w:val="28"/>
          <w:szCs w:val="24"/>
          <w:highlight w:val="none"/>
        </w:rPr>
      </w:pPr>
      <w:bookmarkStart w:id="131" w:name="bookmark78"/>
      <w:bookmarkEnd w:id="131"/>
      <w:r>
        <w:rPr>
          <w:rFonts w:hint="default"/>
          <w:color w:val="auto"/>
          <w:sz w:val="28"/>
          <w:szCs w:val="24"/>
          <w:highlight w:val="none"/>
        </w:rPr>
        <w:t>附件</w:t>
      </w:r>
      <w:r>
        <w:rPr>
          <w:rFonts w:hint="default"/>
          <w:color w:val="auto"/>
          <w:sz w:val="28"/>
          <w:szCs w:val="24"/>
          <w:highlight w:val="none"/>
          <w:lang w:eastAsia="zh-CN"/>
        </w:rPr>
        <w:t>二</w:t>
      </w:r>
      <w:r>
        <w:rPr>
          <w:rFonts w:hint="default"/>
          <w:color w:val="auto"/>
          <w:sz w:val="28"/>
          <w:szCs w:val="24"/>
          <w:highlight w:val="none"/>
        </w:rPr>
        <w:t>：问题的澄清</w:t>
      </w:r>
    </w:p>
    <w:p w14:paraId="1EC14E03">
      <w:pPr>
        <w:pStyle w:val="3"/>
        <w:kinsoku w:val="0"/>
        <w:overflowPunct w:val="0"/>
        <w:ind w:left="0"/>
        <w:rPr>
          <w:rFonts w:hint="default"/>
          <w:color w:val="auto"/>
          <w:sz w:val="20"/>
          <w:szCs w:val="24"/>
          <w:highlight w:val="none"/>
        </w:rPr>
      </w:pPr>
    </w:p>
    <w:p w14:paraId="7B666D6A">
      <w:pPr>
        <w:pStyle w:val="3"/>
        <w:kinsoku w:val="0"/>
        <w:overflowPunct w:val="0"/>
        <w:ind w:left="0"/>
        <w:rPr>
          <w:rFonts w:hint="default"/>
          <w:color w:val="auto"/>
          <w:sz w:val="20"/>
          <w:szCs w:val="24"/>
          <w:highlight w:val="none"/>
        </w:rPr>
      </w:pPr>
    </w:p>
    <w:p w14:paraId="6B286074">
      <w:pPr>
        <w:pStyle w:val="3"/>
        <w:kinsoku w:val="0"/>
        <w:overflowPunct w:val="0"/>
        <w:ind w:left="0"/>
        <w:rPr>
          <w:rFonts w:hint="default"/>
          <w:color w:val="auto"/>
          <w:sz w:val="20"/>
          <w:szCs w:val="24"/>
          <w:highlight w:val="none"/>
        </w:rPr>
      </w:pPr>
    </w:p>
    <w:p w14:paraId="1B19D21E">
      <w:pPr>
        <w:pStyle w:val="3"/>
        <w:kinsoku w:val="0"/>
        <w:overflowPunct w:val="0"/>
        <w:spacing w:before="168"/>
        <w:ind w:left="0" w:right="16"/>
        <w:jc w:val="center"/>
        <w:rPr>
          <w:rFonts w:hint="default"/>
          <w:color w:val="auto"/>
          <w:sz w:val="28"/>
          <w:szCs w:val="24"/>
          <w:highlight w:val="none"/>
        </w:rPr>
      </w:pPr>
      <w:r>
        <w:rPr>
          <w:rFonts w:hint="default"/>
          <w:color w:val="auto"/>
          <w:sz w:val="28"/>
          <w:szCs w:val="24"/>
          <w:highlight w:val="none"/>
        </w:rPr>
        <w:t>问题的澄清</w:t>
      </w:r>
    </w:p>
    <w:p w14:paraId="4407661D">
      <w:pPr>
        <w:pStyle w:val="3"/>
        <w:tabs>
          <w:tab w:val="left" w:pos="5947"/>
        </w:tabs>
        <w:kinsoku w:val="0"/>
        <w:overflowPunct w:val="0"/>
        <w:spacing w:before="113"/>
        <w:ind w:left="3566" w:right="113"/>
        <w:rPr>
          <w:rFonts w:hint="default"/>
          <w:color w:val="auto"/>
          <w:sz w:val="21"/>
          <w:szCs w:val="24"/>
          <w:highlight w:val="none"/>
        </w:rPr>
      </w:pPr>
      <w:r>
        <w:rPr>
          <w:rFonts w:hint="default"/>
          <w:color w:val="auto"/>
          <w:spacing w:val="-1"/>
          <w:sz w:val="21"/>
          <w:szCs w:val="24"/>
          <w:highlight w:val="none"/>
        </w:rPr>
        <w:t>（编号：</w:t>
      </w:r>
      <w:r>
        <w:rPr>
          <w:rFonts w:hint="eastAsia" w:ascii="Times New Roman" w:hAnsi="Times New Roman" w:eastAsia="Times New Roman"/>
          <w:color w:val="auto"/>
          <w:spacing w:val="-1"/>
          <w:sz w:val="21"/>
          <w:szCs w:val="24"/>
          <w:highlight w:val="none"/>
          <w:u w:val="single"/>
        </w:rPr>
        <w:tab/>
      </w:r>
      <w:r>
        <w:rPr>
          <w:rFonts w:hint="default"/>
          <w:color w:val="auto"/>
          <w:sz w:val="21"/>
          <w:szCs w:val="24"/>
          <w:highlight w:val="none"/>
        </w:rPr>
        <w:t>）</w:t>
      </w:r>
    </w:p>
    <w:p w14:paraId="1385B729">
      <w:pPr>
        <w:pStyle w:val="3"/>
        <w:kinsoku w:val="0"/>
        <w:overflowPunct w:val="0"/>
        <w:ind w:left="0"/>
        <w:rPr>
          <w:rFonts w:hint="default"/>
          <w:color w:val="auto"/>
          <w:sz w:val="24"/>
          <w:szCs w:val="24"/>
          <w:highlight w:val="none"/>
        </w:rPr>
      </w:pPr>
    </w:p>
    <w:p w14:paraId="0BFDBDDB">
      <w:pPr>
        <w:pStyle w:val="3"/>
        <w:kinsoku w:val="0"/>
        <w:overflowPunct w:val="0"/>
        <w:spacing w:before="1"/>
        <w:ind w:left="0"/>
        <w:rPr>
          <w:rFonts w:hint="default"/>
          <w:color w:val="auto"/>
          <w:sz w:val="24"/>
          <w:szCs w:val="24"/>
          <w:highlight w:val="none"/>
        </w:rPr>
      </w:pPr>
    </w:p>
    <w:p w14:paraId="50AA4DB6">
      <w:pPr>
        <w:pStyle w:val="3"/>
        <w:kinsoku w:val="0"/>
        <w:overflowPunct w:val="0"/>
        <w:spacing w:before="36"/>
        <w:ind w:left="100" w:right="113"/>
        <w:rPr>
          <w:rFonts w:hint="default"/>
          <w:color w:val="auto"/>
          <w:sz w:val="24"/>
          <w:szCs w:val="24"/>
          <w:highlight w:val="none"/>
        </w:rPr>
      </w:pPr>
      <w:r>
        <w:rPr>
          <w:rFonts w:hint="default"/>
          <w:color w:val="auto"/>
          <w:sz w:val="24"/>
          <w:szCs w:val="24"/>
          <w:highlight w:val="none"/>
        </w:rPr>
        <w:t>评标委员会：</w:t>
      </w:r>
    </w:p>
    <w:p w14:paraId="5B94E089">
      <w:pPr>
        <w:pStyle w:val="3"/>
        <w:kinsoku w:val="0"/>
        <w:overflowPunct w:val="0"/>
        <w:ind w:left="0"/>
        <w:rPr>
          <w:rFonts w:hint="default"/>
          <w:color w:val="auto"/>
          <w:sz w:val="24"/>
          <w:szCs w:val="24"/>
          <w:highlight w:val="none"/>
        </w:rPr>
      </w:pPr>
    </w:p>
    <w:p w14:paraId="3E748AA6">
      <w:pPr>
        <w:pStyle w:val="3"/>
        <w:kinsoku w:val="0"/>
        <w:overflowPunct w:val="0"/>
        <w:spacing w:before="2"/>
        <w:ind w:left="0"/>
        <w:rPr>
          <w:rFonts w:hint="default"/>
          <w:color w:val="auto"/>
          <w:sz w:val="24"/>
          <w:szCs w:val="24"/>
          <w:highlight w:val="none"/>
        </w:rPr>
      </w:pPr>
    </w:p>
    <w:p w14:paraId="4E7B88E7">
      <w:pPr>
        <w:pStyle w:val="3"/>
        <w:tabs>
          <w:tab w:val="left" w:pos="3460"/>
        </w:tabs>
        <w:kinsoku w:val="0"/>
        <w:overflowPunct w:val="0"/>
        <w:ind w:left="522" w:right="113"/>
        <w:rPr>
          <w:rFonts w:hint="default"/>
          <w:color w:val="auto"/>
          <w:spacing w:val="-2"/>
          <w:sz w:val="24"/>
          <w:szCs w:val="24"/>
          <w:highlight w:val="none"/>
        </w:rPr>
      </w:pPr>
      <w:r>
        <w:rPr>
          <w:rFonts w:hint="default"/>
          <w:color w:val="auto"/>
          <w:spacing w:val="-2"/>
          <w:sz w:val="24"/>
          <w:szCs w:val="24"/>
          <w:highlight w:val="none"/>
        </w:rPr>
        <w:t>问题澄清通知（编号：</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）已收悉，现澄清、说明或补正如下：</w:t>
      </w:r>
    </w:p>
    <w:p w14:paraId="3FEA26A1">
      <w:pPr>
        <w:pStyle w:val="3"/>
        <w:kinsoku w:val="0"/>
        <w:overflowPunct w:val="0"/>
        <w:spacing w:before="11"/>
        <w:ind w:left="0"/>
        <w:rPr>
          <w:rFonts w:hint="default"/>
          <w:color w:val="auto"/>
          <w:sz w:val="24"/>
          <w:szCs w:val="24"/>
          <w:highlight w:val="none"/>
        </w:rPr>
      </w:pPr>
    </w:p>
    <w:p w14:paraId="2BD732F5">
      <w:pPr>
        <w:pStyle w:val="3"/>
        <w:kinsoku w:val="0"/>
        <w:overflowPunct w:val="0"/>
        <w:spacing w:before="74"/>
        <w:ind w:left="0" w:right="7025"/>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1.</w:t>
      </w:r>
    </w:p>
    <w:p w14:paraId="19A2CE9F">
      <w:pPr>
        <w:pStyle w:val="3"/>
        <w:kinsoku w:val="0"/>
        <w:overflowPunct w:val="0"/>
        <w:spacing w:before="2"/>
        <w:ind w:left="0"/>
        <w:rPr>
          <w:rFonts w:hint="eastAsia" w:ascii="Times New Roman" w:hAnsi="Times New Roman" w:eastAsia="Times New Roman"/>
          <w:color w:val="auto"/>
          <w:sz w:val="24"/>
          <w:szCs w:val="24"/>
          <w:highlight w:val="none"/>
        </w:rPr>
      </w:pPr>
    </w:p>
    <w:p w14:paraId="6731F2A9">
      <w:pPr>
        <w:pStyle w:val="3"/>
        <w:kinsoku w:val="0"/>
        <w:overflowPunct w:val="0"/>
        <w:ind w:left="0" w:right="7025"/>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2.</w:t>
      </w:r>
    </w:p>
    <w:p w14:paraId="733693DF">
      <w:pPr>
        <w:pStyle w:val="3"/>
        <w:kinsoku w:val="0"/>
        <w:overflowPunct w:val="0"/>
        <w:spacing w:before="2"/>
        <w:ind w:left="0"/>
        <w:rPr>
          <w:rFonts w:hint="eastAsia" w:ascii="Times New Roman" w:hAnsi="Times New Roman" w:eastAsia="Times New Roman"/>
          <w:color w:val="auto"/>
          <w:sz w:val="24"/>
          <w:szCs w:val="24"/>
          <w:highlight w:val="none"/>
        </w:rPr>
      </w:pPr>
    </w:p>
    <w:p w14:paraId="5CF9A6DE">
      <w:pPr>
        <w:pStyle w:val="3"/>
        <w:kinsoku w:val="0"/>
        <w:overflowPunct w:val="0"/>
        <w:ind w:left="0" w:right="7130"/>
        <w:jc w:val="center"/>
        <w:rPr>
          <w:rFonts w:hint="eastAsia" w:ascii="Times New Roman" w:hAnsi="Times New Roman" w:eastAsia="Times New Roman"/>
          <w:color w:val="auto"/>
          <w:sz w:val="24"/>
          <w:szCs w:val="24"/>
          <w:highlight w:val="none"/>
        </w:rPr>
      </w:pPr>
      <w:r>
        <w:rPr>
          <w:rFonts w:hint="eastAsia" w:ascii="Times New Roman" w:hAnsi="Times New Roman" w:eastAsia="Times New Roman"/>
          <w:color w:val="auto"/>
          <w:sz w:val="24"/>
          <w:szCs w:val="24"/>
          <w:highlight w:val="none"/>
        </w:rPr>
        <w:t>.....</w:t>
      </w:r>
    </w:p>
    <w:p w14:paraId="6F692364">
      <w:pPr>
        <w:pStyle w:val="3"/>
        <w:kinsoku w:val="0"/>
        <w:overflowPunct w:val="0"/>
        <w:ind w:left="0"/>
        <w:rPr>
          <w:rFonts w:hint="eastAsia" w:ascii="Times New Roman" w:hAnsi="Times New Roman" w:eastAsia="Times New Roman"/>
          <w:color w:val="auto"/>
          <w:sz w:val="24"/>
          <w:szCs w:val="24"/>
          <w:highlight w:val="none"/>
        </w:rPr>
      </w:pPr>
    </w:p>
    <w:p w14:paraId="7EDC13A5">
      <w:pPr>
        <w:pStyle w:val="3"/>
        <w:kinsoku w:val="0"/>
        <w:overflowPunct w:val="0"/>
        <w:ind w:left="0"/>
        <w:rPr>
          <w:rFonts w:hint="eastAsia" w:ascii="Times New Roman" w:hAnsi="Times New Roman" w:eastAsia="Times New Roman"/>
          <w:color w:val="auto"/>
          <w:sz w:val="24"/>
          <w:szCs w:val="24"/>
          <w:highlight w:val="none"/>
        </w:rPr>
      </w:pPr>
    </w:p>
    <w:p w14:paraId="422E66B2">
      <w:pPr>
        <w:pStyle w:val="3"/>
        <w:kinsoku w:val="0"/>
        <w:overflowPunct w:val="0"/>
        <w:ind w:left="0"/>
        <w:rPr>
          <w:rFonts w:hint="eastAsia" w:ascii="Times New Roman" w:hAnsi="Times New Roman" w:eastAsia="Times New Roman"/>
          <w:color w:val="auto"/>
          <w:sz w:val="24"/>
          <w:szCs w:val="24"/>
          <w:highlight w:val="none"/>
        </w:rPr>
      </w:pPr>
    </w:p>
    <w:p w14:paraId="5EC16F72">
      <w:pPr>
        <w:pStyle w:val="3"/>
        <w:kinsoku w:val="0"/>
        <w:overflowPunct w:val="0"/>
        <w:ind w:left="0"/>
        <w:rPr>
          <w:rFonts w:hint="eastAsia" w:ascii="Times New Roman" w:hAnsi="Times New Roman" w:eastAsia="Times New Roman"/>
          <w:color w:val="auto"/>
          <w:sz w:val="24"/>
          <w:szCs w:val="24"/>
          <w:highlight w:val="none"/>
        </w:rPr>
      </w:pPr>
    </w:p>
    <w:p w14:paraId="4FA2F00C">
      <w:pPr>
        <w:pStyle w:val="3"/>
        <w:kinsoku w:val="0"/>
        <w:overflowPunct w:val="0"/>
        <w:ind w:left="0"/>
        <w:rPr>
          <w:rFonts w:hint="eastAsia" w:ascii="Times New Roman" w:hAnsi="Times New Roman" w:eastAsia="Times New Roman"/>
          <w:color w:val="auto"/>
          <w:sz w:val="24"/>
          <w:szCs w:val="24"/>
          <w:highlight w:val="none"/>
        </w:rPr>
      </w:pPr>
    </w:p>
    <w:p w14:paraId="1ECE45E3">
      <w:pPr>
        <w:pStyle w:val="3"/>
        <w:kinsoku w:val="0"/>
        <w:overflowPunct w:val="0"/>
        <w:spacing w:before="11"/>
        <w:ind w:left="0"/>
        <w:rPr>
          <w:rFonts w:hint="eastAsia" w:ascii="Times New Roman" w:hAnsi="Times New Roman" w:eastAsia="Times New Roman"/>
          <w:color w:val="auto"/>
          <w:sz w:val="24"/>
          <w:szCs w:val="24"/>
          <w:highlight w:val="none"/>
        </w:rPr>
      </w:pPr>
    </w:p>
    <w:p w14:paraId="513EF917">
      <w:pPr>
        <w:pStyle w:val="3"/>
        <w:kinsoku w:val="0"/>
        <w:overflowPunct w:val="0"/>
        <w:spacing w:line="384" w:lineRule="auto"/>
        <w:ind w:left="100" w:right="113" w:firstLine="419"/>
        <w:rPr>
          <w:rFonts w:hint="default"/>
          <w:color w:val="auto"/>
          <w:sz w:val="24"/>
          <w:szCs w:val="24"/>
          <w:highlight w:val="none"/>
        </w:rPr>
      </w:pPr>
      <w:r>
        <w:rPr>
          <w:rFonts w:hint="default"/>
          <w:color w:val="auto"/>
          <w:spacing w:val="-1"/>
          <w:sz w:val="24"/>
          <w:szCs w:val="24"/>
          <w:highlight w:val="none"/>
        </w:rPr>
        <w:t>上述问题澄清、说明或补正，不改变我方投标文件的实质性内容，构成我方投标文件的组</w:t>
      </w:r>
      <w:r>
        <w:rPr>
          <w:rFonts w:hint="default"/>
          <w:color w:val="auto"/>
          <w:sz w:val="24"/>
          <w:szCs w:val="24"/>
          <w:highlight w:val="none"/>
        </w:rPr>
        <w:t xml:space="preserve"> 成部分。</w:t>
      </w:r>
    </w:p>
    <w:p w14:paraId="13806501">
      <w:pPr>
        <w:pStyle w:val="3"/>
        <w:kinsoku w:val="0"/>
        <w:overflowPunct w:val="0"/>
        <w:ind w:left="0"/>
        <w:rPr>
          <w:rFonts w:hint="default"/>
          <w:color w:val="auto"/>
          <w:sz w:val="24"/>
          <w:szCs w:val="24"/>
          <w:highlight w:val="none"/>
        </w:rPr>
      </w:pPr>
    </w:p>
    <w:p w14:paraId="55AD91B8">
      <w:pPr>
        <w:pStyle w:val="3"/>
        <w:kinsoku w:val="0"/>
        <w:overflowPunct w:val="0"/>
        <w:ind w:left="0"/>
        <w:rPr>
          <w:rFonts w:hint="default"/>
          <w:color w:val="auto"/>
          <w:sz w:val="24"/>
          <w:szCs w:val="24"/>
          <w:highlight w:val="none"/>
        </w:rPr>
      </w:pPr>
    </w:p>
    <w:p w14:paraId="6D1C4B5D">
      <w:pPr>
        <w:pStyle w:val="3"/>
        <w:kinsoku w:val="0"/>
        <w:overflowPunct w:val="0"/>
        <w:spacing w:before="6"/>
        <w:ind w:left="0"/>
        <w:rPr>
          <w:rFonts w:hint="default"/>
          <w:color w:val="auto"/>
          <w:sz w:val="24"/>
          <w:szCs w:val="24"/>
          <w:highlight w:val="none"/>
        </w:rPr>
      </w:pPr>
    </w:p>
    <w:p w14:paraId="368699A9">
      <w:pPr>
        <w:pStyle w:val="3"/>
        <w:tabs>
          <w:tab w:val="left" w:pos="7382"/>
        </w:tabs>
        <w:kinsoku w:val="0"/>
        <w:overflowPunct w:val="0"/>
        <w:ind w:left="3043" w:right="113"/>
        <w:rPr>
          <w:rFonts w:hint="default"/>
          <w:color w:val="auto"/>
          <w:spacing w:val="-1"/>
          <w:sz w:val="24"/>
          <w:szCs w:val="24"/>
          <w:highlight w:val="none"/>
        </w:rPr>
      </w:pPr>
      <w:r>
        <w:rPr>
          <w:rFonts w:hint="default"/>
          <w:color w:val="auto"/>
          <w:spacing w:val="-1"/>
          <w:sz w:val="24"/>
          <w:szCs w:val="24"/>
          <w:highlight w:val="none"/>
        </w:rPr>
        <w:t>投标人：</w:t>
      </w:r>
      <w:r>
        <w:rPr>
          <w:rFonts w:hint="eastAsia" w:ascii="Times New Roman" w:hAnsi="Times New Roman" w:eastAsia="Times New Roman"/>
          <w:color w:val="auto"/>
          <w:spacing w:val="-1"/>
          <w:sz w:val="24"/>
          <w:szCs w:val="24"/>
          <w:highlight w:val="none"/>
          <w:u w:val="single"/>
        </w:rPr>
        <w:tab/>
      </w:r>
      <w:r>
        <w:rPr>
          <w:rFonts w:hint="default"/>
          <w:color w:val="auto"/>
          <w:spacing w:val="-1"/>
          <w:sz w:val="24"/>
          <w:szCs w:val="24"/>
          <w:highlight w:val="none"/>
        </w:rPr>
        <w:t>（盖单位章）</w:t>
      </w:r>
    </w:p>
    <w:p w14:paraId="71B48F3D">
      <w:pPr>
        <w:pStyle w:val="3"/>
        <w:kinsoku w:val="0"/>
        <w:overflowPunct w:val="0"/>
        <w:spacing w:before="11"/>
        <w:ind w:left="0"/>
        <w:rPr>
          <w:rFonts w:hint="default"/>
          <w:color w:val="auto"/>
          <w:sz w:val="24"/>
          <w:szCs w:val="24"/>
          <w:highlight w:val="none"/>
        </w:rPr>
      </w:pPr>
    </w:p>
    <w:p w14:paraId="5D00017E">
      <w:pPr>
        <w:pStyle w:val="3"/>
        <w:tabs>
          <w:tab w:val="left" w:pos="6612"/>
        </w:tabs>
        <w:kinsoku w:val="0"/>
        <w:overflowPunct w:val="0"/>
        <w:spacing w:before="36"/>
        <w:ind w:left="3041" w:right="113"/>
        <w:rPr>
          <w:rFonts w:hint="default"/>
          <w:color w:val="auto"/>
          <w:spacing w:val="-2"/>
          <w:sz w:val="24"/>
          <w:szCs w:val="24"/>
          <w:highlight w:val="none"/>
        </w:rPr>
      </w:pPr>
      <w:r>
        <w:rPr>
          <w:rFonts w:hint="default"/>
          <w:color w:val="auto"/>
          <w:spacing w:val="-2"/>
          <w:sz w:val="24"/>
          <w:szCs w:val="24"/>
          <w:highlight w:val="none"/>
        </w:rPr>
        <w:t>法定代表人或其委托代理人：</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（签字</w:t>
      </w:r>
      <w:r>
        <w:rPr>
          <w:rFonts w:hint="eastAsia"/>
          <w:color w:val="auto"/>
          <w:spacing w:val="-2"/>
          <w:sz w:val="24"/>
          <w:szCs w:val="24"/>
          <w:highlight w:val="none"/>
          <w:lang w:val="en-US" w:eastAsia="zh-CN"/>
        </w:rPr>
        <w:t>或盖章</w:t>
      </w:r>
      <w:r>
        <w:rPr>
          <w:rFonts w:hint="default"/>
          <w:color w:val="auto"/>
          <w:spacing w:val="-2"/>
          <w:sz w:val="24"/>
          <w:szCs w:val="24"/>
          <w:highlight w:val="none"/>
        </w:rPr>
        <w:t>）</w:t>
      </w:r>
    </w:p>
    <w:p w14:paraId="1F4AB322">
      <w:pPr>
        <w:pStyle w:val="3"/>
        <w:kinsoku w:val="0"/>
        <w:overflowPunct w:val="0"/>
        <w:ind w:left="0"/>
        <w:rPr>
          <w:rFonts w:hint="default"/>
          <w:color w:val="auto"/>
          <w:sz w:val="24"/>
          <w:szCs w:val="24"/>
          <w:highlight w:val="none"/>
        </w:rPr>
      </w:pPr>
    </w:p>
    <w:p w14:paraId="096C89DA">
      <w:pPr>
        <w:pStyle w:val="3"/>
        <w:kinsoku w:val="0"/>
        <w:overflowPunct w:val="0"/>
        <w:ind w:left="0"/>
        <w:rPr>
          <w:rFonts w:hint="default"/>
          <w:color w:val="auto"/>
          <w:sz w:val="24"/>
          <w:szCs w:val="24"/>
          <w:highlight w:val="none"/>
        </w:rPr>
      </w:pPr>
    </w:p>
    <w:p w14:paraId="73009258">
      <w:pPr>
        <w:pStyle w:val="3"/>
        <w:kinsoku w:val="0"/>
        <w:overflowPunct w:val="0"/>
        <w:spacing w:before="4"/>
        <w:ind w:left="0"/>
        <w:rPr>
          <w:rFonts w:hint="default"/>
          <w:color w:val="auto"/>
          <w:sz w:val="24"/>
          <w:szCs w:val="24"/>
          <w:highlight w:val="none"/>
        </w:rPr>
      </w:pPr>
    </w:p>
    <w:p w14:paraId="06E0F77C">
      <w:pPr>
        <w:pStyle w:val="3"/>
        <w:tabs>
          <w:tab w:val="left" w:pos="6434"/>
          <w:tab w:val="left" w:pos="7483"/>
          <w:tab w:val="left" w:pos="8533"/>
        </w:tabs>
        <w:kinsoku w:val="0"/>
        <w:overflowPunct w:val="0"/>
        <w:spacing w:before="36"/>
        <w:ind w:left="5595"/>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pacing w:val="-3"/>
          <w:sz w:val="24"/>
          <w:szCs w:val="24"/>
          <w:highlight w:val="none"/>
        </w:rPr>
        <w:t>年</w:t>
      </w:r>
      <w:r>
        <w:rPr>
          <w:rFonts w:hint="eastAsia" w:ascii="Times New Roman" w:hAnsi="Times New Roman" w:eastAsia="Times New Roman"/>
          <w:color w:val="auto"/>
          <w:spacing w:val="-3"/>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02B32B45">
      <w:pPr>
        <w:spacing w:beforeLines="0" w:afterLines="0" w:line="600" w:lineRule="exact"/>
        <w:jc w:val="left"/>
        <w:rPr>
          <w:rFonts w:hint="default" w:ascii="宋体" w:hAnsi="宋体" w:eastAsia="宋体" w:cs="宋体"/>
          <w:b/>
          <w:bCs/>
          <w:color w:val="auto"/>
          <w:sz w:val="32"/>
          <w:szCs w:val="32"/>
          <w:highlight w:val="none"/>
        </w:rPr>
      </w:pPr>
      <w:r>
        <w:rPr>
          <w:rFonts w:hint="default"/>
          <w:color w:val="auto"/>
          <w:sz w:val="28"/>
          <w:szCs w:val="24"/>
          <w:highlight w:val="none"/>
        </w:rPr>
        <w:t>附件</w:t>
      </w:r>
      <w:r>
        <w:rPr>
          <w:rFonts w:hint="eastAsia"/>
          <w:color w:val="auto"/>
          <w:sz w:val="28"/>
          <w:szCs w:val="24"/>
          <w:highlight w:val="none"/>
          <w:lang w:val="en-US" w:eastAsia="zh-CN"/>
        </w:rPr>
        <w:t>三</w:t>
      </w:r>
      <w:r>
        <w:rPr>
          <w:rFonts w:hint="default"/>
          <w:color w:val="auto"/>
          <w:sz w:val="28"/>
          <w:szCs w:val="24"/>
          <w:highlight w:val="none"/>
        </w:rPr>
        <w:t>：评标委员会成员声明</w:t>
      </w:r>
    </w:p>
    <w:p w14:paraId="673536BD">
      <w:pPr>
        <w:spacing w:beforeLines="0" w:afterLines="0" w:line="600" w:lineRule="exact"/>
        <w:jc w:val="center"/>
        <w:rPr>
          <w:rFonts w:hint="default" w:ascii="宋体" w:hAnsi="宋体" w:eastAsia="宋体" w:cs="宋体"/>
          <w:b/>
          <w:bCs/>
          <w:color w:val="auto"/>
          <w:sz w:val="32"/>
          <w:szCs w:val="32"/>
          <w:highlight w:val="none"/>
        </w:rPr>
      </w:pPr>
    </w:p>
    <w:p w14:paraId="06591CE8">
      <w:pPr>
        <w:spacing w:beforeLines="0" w:afterLines="0" w:line="600" w:lineRule="exact"/>
        <w:jc w:val="center"/>
        <w:rPr>
          <w:rFonts w:hint="default" w:ascii="宋体" w:hAnsi="宋体" w:eastAsia="宋体" w:cs="宋体"/>
          <w:b/>
          <w:bCs/>
          <w:color w:val="auto"/>
          <w:sz w:val="32"/>
          <w:szCs w:val="32"/>
          <w:highlight w:val="none"/>
        </w:rPr>
      </w:pPr>
      <w:r>
        <w:rPr>
          <w:rFonts w:hint="default" w:ascii="宋体" w:hAnsi="宋体" w:eastAsia="宋体" w:cs="宋体"/>
          <w:b/>
          <w:bCs/>
          <w:color w:val="auto"/>
          <w:sz w:val="32"/>
          <w:szCs w:val="32"/>
          <w:highlight w:val="none"/>
        </w:rPr>
        <w:t>评标委员会成员声明</w:t>
      </w:r>
    </w:p>
    <w:p w14:paraId="56116B4D">
      <w:pPr>
        <w:keepNext w:val="0"/>
        <w:keepLines w:val="0"/>
        <w:widowControl/>
        <w:suppressLineNumbers w:val="0"/>
        <w:spacing w:beforeLines="0" w:afterLines="0" w:line="400" w:lineRule="exact"/>
        <w:ind w:firstLine="480" w:firstLineChars="200"/>
        <w:jc w:val="left"/>
        <w:rPr>
          <w:rFonts w:hint="eastAsia" w:ascii="宋体" w:hAnsi="宋体" w:eastAsia="宋体" w:cs="宋体"/>
          <w:color w:val="auto"/>
          <w:kern w:val="2"/>
          <w:sz w:val="24"/>
          <w:szCs w:val="24"/>
          <w:highlight w:val="none"/>
          <w:u w:val="single"/>
          <w:lang w:val="en-US" w:eastAsia="zh-Hans" w:bidi="ar-SA"/>
        </w:rPr>
      </w:pPr>
    </w:p>
    <w:p w14:paraId="3695FEAE">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u w:val="single"/>
          <w:lang w:val="en-US" w:eastAsia="zh-Hans" w:bidi="ar-SA"/>
        </w:rPr>
        <w:t>（本项目招标人名称）：</w:t>
      </w:r>
      <w:r>
        <w:rPr>
          <w:rFonts w:hint="eastAsia" w:ascii="宋体" w:hAnsi="宋体" w:eastAsia="宋体" w:cs="宋体"/>
          <w:color w:val="auto"/>
          <w:kern w:val="2"/>
          <w:sz w:val="24"/>
          <w:szCs w:val="24"/>
          <w:highlight w:val="none"/>
          <w:lang w:val="en-US" w:eastAsia="zh-Hans" w:bidi="ar-SA"/>
        </w:rPr>
        <w:t xml:space="preserve"> </w:t>
      </w:r>
    </w:p>
    <w:p w14:paraId="081FB91B">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本人就参与</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Hans" w:bidi="ar-SA"/>
        </w:rPr>
        <w:t xml:space="preserve">项目的评标工作，作出郑重声明： </w:t>
      </w:r>
    </w:p>
    <w:p w14:paraId="5C3769AE">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 </w:t>
      </w:r>
    </w:p>
    <w:p w14:paraId="2E9414C7">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二、本人承诺不存在以下关于评标专家的应回避情形： </w:t>
      </w:r>
    </w:p>
    <w:p w14:paraId="44D6AB92">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1.3 年内曾在参加该招标项目的投标单位中任职（包括一般职务）或担任顾问，配偶或直系亲属在参加该招标项目的投标人中任职或担任顾问，与参加该招标项目的投标人发生过法律纠纷，以及其他可能影响公正评标的情况。其他可能影响公正评标的情形主要有：投标人的上级主管、控股或被控股单位的工作人员；评标委员会成员任职单位与投标人单位为同一法定代表人；评标委员会成员持有某投标单位股份（如：评标专家 3 年内工作单位与项目业主、代建单位、代理机构、项目前期工作单位、投标人的单位相同）。 </w:t>
      </w:r>
    </w:p>
    <w:p w14:paraId="166ACB4F">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2.招标项目的招标人或者招标代理机构、投标人单位、项目前期工作单位等退休或离职未满 3 年的人员。 </w:t>
      </w:r>
    </w:p>
    <w:p w14:paraId="7C06857B">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3.投标人或者投标人主要负责人的近亲属。 </w:t>
      </w:r>
    </w:p>
    <w:p w14:paraId="0F24C88B">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4.项目主管部门或者行政监督部门的人员。 </w:t>
      </w:r>
    </w:p>
    <w:p w14:paraId="36AE065B">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5.与本组评标委员会其他成员有亲属关系。 </w:t>
      </w:r>
    </w:p>
    <w:p w14:paraId="421A0B70">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6.担任现职国家公务员。 </w:t>
      </w:r>
    </w:p>
    <w:p w14:paraId="7A17589A">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7.曾因在招标、评标以及其他与招标投标有关活动中从事违法行为而受过行政处罚或刑事处罚的。 </w:t>
      </w:r>
    </w:p>
    <w:p w14:paraId="638EE94C">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8.接收到任何单位或者个人授意本人倾向或者排斥本项目特定投标人的电话、短信、QQ、微信等。 </w:t>
      </w:r>
    </w:p>
    <w:p w14:paraId="35E9CB09">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9.私下接触本项目投标人。 </w:t>
      </w:r>
    </w:p>
    <w:p w14:paraId="42D01EAE">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10.收受本项目投标人、中介人、其他利害关系人的财物或者其他好处。 </w:t>
      </w:r>
    </w:p>
    <w:p w14:paraId="53E66178">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11.法律法规规定的其他回避的情形。 </w:t>
      </w:r>
    </w:p>
    <w:p w14:paraId="61DC5680">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本人知晓并理解《中华人民共和国招标投标法实施条例》等国家及广东省对发现评标专家涉嫌上述违规的处罚，包括但不限于：日常考核扣分、责令改正、禁止其在一定期限内参加依法必须进行招标的项目评标、取消评标委员会成员的资格、没收收受的财物，罚款、涉嫌违纪违法犯罪的，及时移送纪检监察及司法机关处理等。 </w:t>
      </w:r>
    </w:p>
    <w:p w14:paraId="69FADDE5">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 </w:t>
      </w:r>
    </w:p>
    <w:p w14:paraId="240F0F90">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 </w:t>
      </w:r>
    </w:p>
    <w:p w14:paraId="2CC7590B">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五、如招标人认为须核实评标专家应回避未回避工作，评标专家应配合向招标人提供包含本人姓名及社保缴纳单位的三年内社保信息。 </w:t>
      </w:r>
    </w:p>
    <w:p w14:paraId="45F7C8FF">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六、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 </w:t>
      </w:r>
    </w:p>
    <w:p w14:paraId="2EFBC6DD">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eastAsia="zh-Hans"/>
        </w:rPr>
      </w:pPr>
      <w:r>
        <w:rPr>
          <w:rFonts w:hint="eastAsia" w:ascii="宋体" w:hAnsi="宋体" w:eastAsia="宋体" w:cs="宋体"/>
          <w:color w:val="auto"/>
          <w:kern w:val="2"/>
          <w:sz w:val="24"/>
          <w:szCs w:val="24"/>
          <w:highlight w:val="none"/>
          <w:lang w:val="en-US" w:eastAsia="zh-Hans" w:bidi="ar-SA"/>
        </w:rPr>
        <w:t xml:space="preserve">如果本人违反上述声明内容，造成的后果由本人自行承担。 </w:t>
      </w:r>
    </w:p>
    <w:p w14:paraId="583FCF63">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2" w:firstLineChars="200"/>
        <w:jc w:val="right"/>
        <w:textAlignment w:val="auto"/>
        <w:rPr>
          <w:rFonts w:hint="eastAsia" w:ascii="宋体" w:hAnsi="宋体" w:eastAsia="宋体" w:cs="宋体"/>
          <w:b/>
          <w:bCs/>
          <w:color w:val="auto"/>
          <w:kern w:val="2"/>
          <w:sz w:val="24"/>
          <w:szCs w:val="24"/>
          <w:highlight w:val="none"/>
          <w:lang w:val="en-US" w:eastAsia="zh-Hans" w:bidi="ar-SA"/>
        </w:rPr>
      </w:pPr>
    </w:p>
    <w:p w14:paraId="3D218C68">
      <w:pPr>
        <w:keepNext w:val="0"/>
        <w:keepLines w:val="0"/>
        <w:pageBreakBefore w:val="0"/>
        <w:widowControl/>
        <w:suppressLineNumbers w:val="0"/>
        <w:kinsoku/>
        <w:wordWrap/>
        <w:overflowPunct/>
        <w:topLinePunct w:val="0"/>
        <w:autoSpaceDE w:val="0"/>
        <w:autoSpaceDN w:val="0"/>
        <w:bidi w:val="0"/>
        <w:adjustRightInd w:val="0"/>
        <w:snapToGrid/>
        <w:spacing w:line="360" w:lineRule="auto"/>
        <w:ind w:firstLine="482" w:firstLineChars="200"/>
        <w:jc w:val="right"/>
        <w:textAlignment w:val="auto"/>
        <w:rPr>
          <w:rFonts w:hint="eastAsia" w:ascii="宋体" w:hAnsi="宋体" w:eastAsia="宋体" w:cs="宋体"/>
          <w:b/>
          <w:bCs/>
          <w:color w:val="auto"/>
          <w:kern w:val="2"/>
          <w:sz w:val="24"/>
          <w:szCs w:val="24"/>
          <w:highlight w:val="none"/>
          <w:lang w:val="en-US" w:eastAsia="zh-Hans" w:bidi="ar-SA"/>
        </w:rPr>
      </w:pPr>
    </w:p>
    <w:p w14:paraId="3387EF70">
      <w:pPr>
        <w:keepNext w:val="0"/>
        <w:keepLines w:val="0"/>
        <w:pageBreakBefore w:val="0"/>
        <w:kinsoku/>
        <w:wordWrap/>
        <w:overflowPunct/>
        <w:topLinePunct w:val="0"/>
        <w:autoSpaceDE w:val="0"/>
        <w:autoSpaceDN w:val="0"/>
        <w:bidi w:val="0"/>
        <w:adjustRightInd w:val="0"/>
        <w:snapToGrid/>
        <w:spacing w:line="360" w:lineRule="auto"/>
        <w:jc w:val="right"/>
        <w:textAlignment w:val="auto"/>
        <w:rPr>
          <w:rFonts w:hint="default"/>
          <w:highlight w:val="none"/>
        </w:rPr>
        <w:sectPr>
          <w:pgSz w:w="11905" w:h="16838"/>
          <w:pgMar w:top="1417" w:right="1417" w:bottom="1417" w:left="1417" w:header="992" w:footer="992" w:gutter="0"/>
          <w:lnNumType w:countBy="0" w:distance="360"/>
          <w:pgNumType w:fmt="decimal"/>
          <w:cols w:space="720" w:num="1"/>
        </w:sectPr>
      </w:pPr>
      <w:r>
        <w:rPr>
          <w:rFonts w:hint="eastAsia" w:ascii="宋体" w:hAnsi="宋体" w:eastAsia="宋体" w:cs="宋体"/>
          <w:b/>
          <w:bCs/>
          <w:color w:val="auto"/>
          <w:kern w:val="2"/>
          <w:sz w:val="24"/>
          <w:szCs w:val="24"/>
          <w:highlight w:val="none"/>
          <w:lang w:val="en-US" w:eastAsia="zh-Hans" w:bidi="ar-SA"/>
        </w:rPr>
        <w:t>承诺人：（签名）</w:t>
      </w:r>
    </w:p>
    <w:p w14:paraId="76F8EF3A">
      <w:pPr>
        <w:pStyle w:val="5"/>
        <w:outlineLvl w:val="0"/>
        <w:rPr>
          <w:rFonts w:hint="default"/>
          <w:b w:val="0"/>
          <w:color w:val="auto"/>
          <w:sz w:val="57"/>
          <w:szCs w:val="24"/>
          <w:highlight w:val="none"/>
        </w:rPr>
      </w:pPr>
      <w:bookmarkStart w:id="132" w:name="bookmark82"/>
      <w:bookmarkEnd w:id="132"/>
      <w:bookmarkStart w:id="133" w:name="bookmark79"/>
      <w:bookmarkEnd w:id="133"/>
      <w:bookmarkStart w:id="134" w:name="_Toc29250"/>
      <w:r>
        <w:rPr>
          <w:rFonts w:hint="default" w:cs="宋体"/>
          <w:color w:val="auto"/>
          <w:sz w:val="44"/>
          <w:szCs w:val="24"/>
          <w:highlight w:val="none"/>
        </w:rPr>
        <w:t>第三章</w:t>
      </w:r>
      <w:r>
        <w:rPr>
          <w:rFonts w:hint="default" w:cs="宋体"/>
          <w:color w:val="auto"/>
          <w:sz w:val="44"/>
          <w:szCs w:val="24"/>
          <w:highlight w:val="none"/>
          <w:lang w:val="en-US" w:eastAsia="zh-CN"/>
        </w:rPr>
        <w:t xml:space="preserve"> </w:t>
      </w:r>
      <w:r>
        <w:rPr>
          <w:rFonts w:hint="default" w:cs="宋体"/>
          <w:color w:val="auto"/>
          <w:sz w:val="44"/>
          <w:szCs w:val="24"/>
          <w:highlight w:val="none"/>
        </w:rPr>
        <w:t>评标办法（综合评估法）</w:t>
      </w:r>
      <w:bookmarkEnd w:id="134"/>
    </w:p>
    <w:p w14:paraId="01FC539F">
      <w:pPr>
        <w:pStyle w:val="6"/>
        <w:kinsoku w:val="0"/>
        <w:overflowPunct w:val="0"/>
        <w:ind w:left="120"/>
        <w:jc w:val="center"/>
        <w:outlineLvl w:val="1"/>
        <w:rPr>
          <w:rFonts w:hint="default"/>
          <w:color w:val="auto"/>
          <w:sz w:val="32"/>
          <w:szCs w:val="24"/>
          <w:highlight w:val="none"/>
        </w:rPr>
      </w:pPr>
      <w:bookmarkStart w:id="135" w:name="bookmark83"/>
      <w:bookmarkEnd w:id="135"/>
      <w:r>
        <w:rPr>
          <w:rFonts w:hint="default"/>
          <w:color w:val="auto"/>
          <w:sz w:val="32"/>
          <w:szCs w:val="24"/>
          <w:highlight w:val="none"/>
        </w:rPr>
        <w:t>评标办法前附表</w:t>
      </w:r>
    </w:p>
    <w:tbl>
      <w:tblPr>
        <w:tblStyle w:val="22"/>
        <w:tblW w:w="9788" w:type="dxa"/>
        <w:jc w:val="center"/>
        <w:tblLayout w:type="fixed"/>
        <w:tblCellMar>
          <w:top w:w="0" w:type="dxa"/>
          <w:left w:w="0" w:type="dxa"/>
          <w:bottom w:w="0" w:type="dxa"/>
          <w:right w:w="0" w:type="dxa"/>
        </w:tblCellMar>
      </w:tblPr>
      <w:tblGrid>
        <w:gridCol w:w="807"/>
        <w:gridCol w:w="718"/>
        <w:gridCol w:w="2435"/>
        <w:gridCol w:w="5828"/>
      </w:tblGrid>
      <w:tr w14:paraId="1C8D61A3">
        <w:tblPrEx>
          <w:tblCellMar>
            <w:top w:w="0" w:type="dxa"/>
            <w:left w:w="0" w:type="dxa"/>
            <w:bottom w:w="0" w:type="dxa"/>
            <w:right w:w="0" w:type="dxa"/>
          </w:tblCellMar>
        </w:tblPrEx>
        <w:trPr>
          <w:trHeight w:val="420" w:hRule="atLeast"/>
          <w:tblHeader/>
          <w:jc w:val="center"/>
        </w:trPr>
        <w:tc>
          <w:tcPr>
            <w:tcW w:w="1525" w:type="dxa"/>
            <w:gridSpan w:val="2"/>
            <w:tcBorders>
              <w:top w:val="single" w:color="000000" w:sz="4" w:space="0"/>
              <w:left w:val="single" w:color="000000" w:sz="4" w:space="0"/>
              <w:bottom w:val="single" w:color="000000" w:sz="4" w:space="0"/>
              <w:right w:val="single" w:color="000000" w:sz="4" w:space="0"/>
            </w:tcBorders>
            <w:noWrap w:val="0"/>
            <w:vAlign w:val="top"/>
          </w:tcPr>
          <w:p w14:paraId="030907A1">
            <w:pPr>
              <w:autoSpaceDE w:val="0"/>
              <w:autoSpaceDN w:val="0"/>
              <w:snapToGrid w:val="0"/>
              <w:spacing w:before="0" w:line="240" w:lineRule="auto"/>
              <w:ind w:right="116"/>
              <w:jc w:val="center"/>
              <w:rPr>
                <w:rFonts w:hint="eastAsia" w:ascii="宋体" w:hAnsi="宋体" w:cs="宋体"/>
                <w:b/>
                <w:szCs w:val="24"/>
                <w:highlight w:val="none"/>
              </w:rPr>
            </w:pPr>
            <w:bookmarkStart w:id="136" w:name="bookmark84"/>
            <w:bookmarkEnd w:id="136"/>
            <w:r>
              <w:rPr>
                <w:rFonts w:hint="eastAsia" w:ascii="宋体" w:hAnsi="宋体" w:cs="宋体"/>
                <w:b/>
                <w:szCs w:val="24"/>
                <w:highlight w:val="none"/>
              </w:rPr>
              <w:t>条款号</w:t>
            </w:r>
          </w:p>
        </w:tc>
        <w:tc>
          <w:tcPr>
            <w:tcW w:w="2435" w:type="dxa"/>
            <w:tcBorders>
              <w:top w:val="single" w:color="000000" w:sz="4" w:space="0"/>
              <w:left w:val="single" w:color="000000" w:sz="4" w:space="0"/>
              <w:bottom w:val="single" w:color="000000" w:sz="4" w:space="0"/>
              <w:right w:val="single" w:color="000000" w:sz="4" w:space="0"/>
            </w:tcBorders>
            <w:noWrap w:val="0"/>
            <w:vAlign w:val="top"/>
          </w:tcPr>
          <w:p w14:paraId="11030CD2">
            <w:pPr>
              <w:autoSpaceDE w:val="0"/>
              <w:autoSpaceDN w:val="0"/>
              <w:snapToGrid w:val="0"/>
              <w:spacing w:before="0" w:line="240" w:lineRule="auto"/>
              <w:ind w:right="-20"/>
              <w:jc w:val="center"/>
              <w:rPr>
                <w:rFonts w:hint="eastAsia" w:ascii="宋体" w:hAnsi="宋体" w:cs="宋体"/>
                <w:b/>
                <w:szCs w:val="24"/>
                <w:highlight w:val="none"/>
              </w:rPr>
            </w:pPr>
            <w:r>
              <w:rPr>
                <w:rFonts w:hint="eastAsia" w:ascii="宋体" w:hAnsi="宋体" w:cs="宋体"/>
                <w:b/>
                <w:szCs w:val="24"/>
                <w:highlight w:val="none"/>
              </w:rPr>
              <w:t>评审因素</w:t>
            </w:r>
          </w:p>
        </w:tc>
        <w:tc>
          <w:tcPr>
            <w:tcW w:w="5828" w:type="dxa"/>
            <w:tcBorders>
              <w:top w:val="single" w:color="000000" w:sz="4" w:space="0"/>
              <w:left w:val="single" w:color="000000" w:sz="4" w:space="0"/>
              <w:bottom w:val="single" w:color="000000" w:sz="4" w:space="0"/>
              <w:right w:val="single" w:color="000000" w:sz="4" w:space="0"/>
            </w:tcBorders>
            <w:noWrap w:val="0"/>
            <w:vAlign w:val="top"/>
          </w:tcPr>
          <w:p w14:paraId="1F960C29">
            <w:pPr>
              <w:autoSpaceDE w:val="0"/>
              <w:autoSpaceDN w:val="0"/>
              <w:snapToGrid w:val="0"/>
              <w:spacing w:before="0" w:line="240" w:lineRule="auto"/>
              <w:ind w:right="1857"/>
              <w:jc w:val="center"/>
              <w:rPr>
                <w:rFonts w:hint="eastAsia" w:ascii="宋体" w:hAnsi="宋体" w:cs="宋体"/>
                <w:b/>
                <w:szCs w:val="24"/>
                <w:highlight w:val="none"/>
              </w:rPr>
            </w:pPr>
            <w:r>
              <w:rPr>
                <w:rFonts w:hint="eastAsia" w:ascii="宋体" w:hAnsi="宋体" w:cs="宋体"/>
                <w:b/>
                <w:szCs w:val="24"/>
                <w:highlight w:val="none"/>
              </w:rPr>
              <w:t xml:space="preserve">             评审标准</w:t>
            </w:r>
          </w:p>
        </w:tc>
      </w:tr>
      <w:tr w14:paraId="49E2C607">
        <w:tblPrEx>
          <w:tblCellMar>
            <w:top w:w="0" w:type="dxa"/>
            <w:left w:w="0" w:type="dxa"/>
            <w:bottom w:w="0" w:type="dxa"/>
            <w:right w:w="0" w:type="dxa"/>
          </w:tblCellMar>
        </w:tblPrEx>
        <w:trPr>
          <w:trHeight w:val="2591" w:hRule="atLeast"/>
          <w:jc w:val="center"/>
        </w:trPr>
        <w:tc>
          <w:tcPr>
            <w:tcW w:w="807" w:type="dxa"/>
            <w:tcBorders>
              <w:top w:val="single" w:color="000000" w:sz="4" w:space="0"/>
              <w:left w:val="single" w:color="000000" w:sz="4" w:space="0"/>
              <w:bottom w:val="single" w:color="000000" w:sz="4" w:space="0"/>
              <w:right w:val="single" w:color="000000" w:sz="4" w:space="0"/>
            </w:tcBorders>
            <w:noWrap w:val="0"/>
            <w:vAlign w:val="center"/>
          </w:tcPr>
          <w:p w14:paraId="7073BFDD">
            <w:pPr>
              <w:pStyle w:val="31"/>
              <w:kinsoku w:val="0"/>
              <w:overflowPunct w:val="0"/>
              <w:jc w:val="center"/>
              <w:rPr>
                <w:rFonts w:hint="eastAsia" w:ascii="宋体" w:hAnsi="宋体" w:cs="宋体"/>
                <w:szCs w:val="24"/>
                <w:highlight w:val="none"/>
              </w:rPr>
            </w:pPr>
            <w:r>
              <w:rPr>
                <w:rFonts w:hint="eastAsia" w:ascii="宋体" w:hAnsi="宋体" w:eastAsia="宋体" w:cs="宋体"/>
                <w:color w:val="auto"/>
                <w:sz w:val="24"/>
                <w:szCs w:val="24"/>
                <w:highlight w:val="none"/>
              </w:rPr>
              <w:t>1</w:t>
            </w:r>
          </w:p>
        </w:tc>
        <w:tc>
          <w:tcPr>
            <w:tcW w:w="718" w:type="dxa"/>
            <w:tcBorders>
              <w:top w:val="single" w:color="000000" w:sz="4" w:space="0"/>
              <w:left w:val="single" w:color="000000" w:sz="4" w:space="0"/>
              <w:bottom w:val="single" w:color="000000" w:sz="4" w:space="0"/>
              <w:right w:val="single" w:color="000000" w:sz="4" w:space="0"/>
            </w:tcBorders>
            <w:noWrap w:val="0"/>
            <w:vAlign w:val="center"/>
          </w:tcPr>
          <w:p w14:paraId="5F6F8A44">
            <w:pPr>
              <w:pStyle w:val="31"/>
              <w:kinsoku w:val="0"/>
              <w:overflowPunct w:val="0"/>
              <w:spacing w:before="0"/>
              <w:jc w:val="center"/>
              <w:rPr>
                <w:rFonts w:hint="eastAsia" w:ascii="宋体" w:hAnsi="宋体" w:cs="宋体"/>
                <w:szCs w:val="24"/>
                <w:highlight w:val="none"/>
              </w:rPr>
            </w:pPr>
            <w:r>
              <w:rPr>
                <w:rFonts w:hint="eastAsia" w:ascii="宋体" w:hAnsi="宋体" w:eastAsia="宋体" w:cs="宋体"/>
                <w:color w:val="auto"/>
                <w:sz w:val="24"/>
                <w:szCs w:val="24"/>
                <w:highlight w:val="none"/>
              </w:rPr>
              <w:t>评标方法</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27F006B8">
            <w:pPr>
              <w:pStyle w:val="31"/>
              <w:kinsoku w:val="0"/>
              <w:overflowPunct w:val="0"/>
              <w:spacing w:before="0"/>
              <w:jc w:val="center"/>
              <w:rPr>
                <w:rFonts w:hint="eastAsia" w:ascii="宋体" w:hAnsi="宋体" w:cs="宋体"/>
                <w:szCs w:val="24"/>
                <w:highlight w:val="none"/>
              </w:rPr>
            </w:pPr>
            <w:r>
              <w:rPr>
                <w:rFonts w:hint="eastAsia" w:ascii="宋体" w:hAnsi="宋体" w:eastAsia="宋体" w:cs="宋体"/>
                <w:color w:val="auto"/>
                <w:sz w:val="24"/>
                <w:szCs w:val="24"/>
                <w:highlight w:val="none"/>
              </w:rPr>
              <w:t>中标候选人排序方法</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48EA2529">
            <w:pPr>
              <w:pStyle w:val="31"/>
              <w:kinsoku w:val="0"/>
              <w:overflowPunct w:val="0"/>
              <w:spacing w:before="0" w:line="240" w:lineRule="auto"/>
              <w:jc w:val="left"/>
              <w:rPr>
                <w:rFonts w:hint="eastAsia" w:ascii="宋体" w:hAnsi="宋体" w:cs="宋体"/>
                <w:szCs w:val="24"/>
                <w:highlight w:val="none"/>
              </w:rPr>
            </w:pPr>
            <w:r>
              <w:rPr>
                <w:rFonts w:hint="eastAsia" w:ascii="宋体" w:hAnsi="宋体" w:cs="宋体"/>
                <w:szCs w:val="24"/>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如果总分相同的，以投标报价低的优先；投标报价也相等的，以监理大纲得分高的优先；如监理大纲得分</w:t>
            </w:r>
            <w:r>
              <w:rPr>
                <w:rFonts w:hint="eastAsia" w:ascii="宋体" w:hAnsi="宋体" w:cs="宋体"/>
                <w:szCs w:val="24"/>
                <w:highlight w:val="none"/>
                <w:lang w:val="en-US" w:eastAsia="zh-CN"/>
              </w:rPr>
              <w:t>也相等</w:t>
            </w:r>
            <w:r>
              <w:rPr>
                <w:rFonts w:hint="eastAsia" w:ascii="宋体" w:hAnsi="宋体" w:cs="宋体"/>
                <w:szCs w:val="24"/>
                <w:highlight w:val="none"/>
              </w:rPr>
              <w:t>，则对具有相同情况的投标人，按中标候选人数量规定，由评标委员会采用记名投票方式（不得弃权），确定中标候选人的排序（以得票多的排前）。</w:t>
            </w:r>
          </w:p>
        </w:tc>
      </w:tr>
      <w:tr w14:paraId="76CB93F9">
        <w:tblPrEx>
          <w:tblCellMar>
            <w:top w:w="0" w:type="dxa"/>
            <w:left w:w="0" w:type="dxa"/>
            <w:bottom w:w="0" w:type="dxa"/>
            <w:right w:w="0" w:type="dxa"/>
          </w:tblCellMar>
        </w:tblPrEx>
        <w:trPr>
          <w:trHeight w:val="802" w:hRule="atLeast"/>
          <w:jc w:val="center"/>
        </w:trPr>
        <w:tc>
          <w:tcPr>
            <w:tcW w:w="807" w:type="dxa"/>
            <w:vMerge w:val="restart"/>
            <w:tcBorders>
              <w:top w:val="single" w:color="000000" w:sz="4" w:space="0"/>
              <w:left w:val="single" w:color="000000" w:sz="4" w:space="0"/>
              <w:right w:val="single" w:color="000000" w:sz="4" w:space="0"/>
            </w:tcBorders>
            <w:noWrap w:val="0"/>
            <w:vAlign w:val="center"/>
          </w:tcPr>
          <w:p w14:paraId="4D41E8E1">
            <w:pPr>
              <w:autoSpaceDE w:val="0"/>
              <w:autoSpaceDN w:val="0"/>
              <w:snapToGrid w:val="0"/>
              <w:spacing w:line="240" w:lineRule="auto"/>
              <w:ind w:right="-20"/>
              <w:jc w:val="center"/>
              <w:rPr>
                <w:rFonts w:hint="default" w:ascii="宋体" w:hAnsi="宋体" w:eastAsia="宋体" w:cs="宋体"/>
                <w:szCs w:val="24"/>
                <w:highlight w:val="none"/>
                <w:lang w:val="en-US" w:eastAsia="zh-CN"/>
              </w:rPr>
            </w:pPr>
            <w:r>
              <w:rPr>
                <w:rFonts w:hint="eastAsia" w:ascii="宋体" w:hAnsi="宋体" w:cs="宋体"/>
                <w:szCs w:val="24"/>
                <w:highlight w:val="none"/>
                <w:lang w:val="en-US" w:eastAsia="zh-CN"/>
              </w:rPr>
              <w:t>2.1.1</w:t>
            </w:r>
          </w:p>
        </w:tc>
        <w:tc>
          <w:tcPr>
            <w:tcW w:w="718" w:type="dxa"/>
            <w:vMerge w:val="restart"/>
            <w:tcBorders>
              <w:top w:val="single" w:color="000000" w:sz="4" w:space="0"/>
              <w:left w:val="single" w:color="000000" w:sz="4" w:space="0"/>
              <w:right w:val="single" w:color="000000" w:sz="4" w:space="0"/>
            </w:tcBorders>
            <w:noWrap w:val="0"/>
            <w:vAlign w:val="center"/>
          </w:tcPr>
          <w:p w14:paraId="78FBAA3F">
            <w:pPr>
              <w:autoSpaceDE w:val="0"/>
              <w:autoSpaceDN w:val="0"/>
              <w:snapToGrid w:val="0"/>
              <w:spacing w:line="240" w:lineRule="auto"/>
              <w:ind w:right="59"/>
              <w:jc w:val="center"/>
              <w:rPr>
                <w:rFonts w:hint="eastAsia" w:ascii="宋体" w:hAnsi="宋体" w:cs="宋体"/>
                <w:szCs w:val="24"/>
                <w:highlight w:val="none"/>
              </w:rPr>
            </w:pPr>
            <w:r>
              <w:rPr>
                <w:rFonts w:hint="eastAsia" w:ascii="宋体" w:hAnsi="宋体" w:cs="宋体"/>
                <w:szCs w:val="24"/>
                <w:highlight w:val="none"/>
              </w:rPr>
              <w:t>资格</w:t>
            </w:r>
            <w:r>
              <w:rPr>
                <w:rFonts w:hint="eastAsia" w:ascii="宋体" w:hAnsi="宋体" w:cs="宋体"/>
                <w:spacing w:val="-2"/>
                <w:szCs w:val="24"/>
                <w:highlight w:val="none"/>
              </w:rPr>
              <w:t>评</w:t>
            </w:r>
            <w:r>
              <w:rPr>
                <w:rFonts w:hint="eastAsia" w:ascii="宋体" w:hAnsi="宋体" w:cs="宋体"/>
                <w:szCs w:val="24"/>
                <w:highlight w:val="none"/>
              </w:rPr>
              <w:t>审标准</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009E71C">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828" w:type="dxa"/>
            <w:tcBorders>
              <w:top w:val="single" w:color="000000" w:sz="4" w:space="0"/>
              <w:left w:val="single" w:color="000000" w:sz="4" w:space="0"/>
              <w:bottom w:val="single" w:color="000000" w:sz="4" w:space="0"/>
              <w:right w:val="single" w:color="000000" w:sz="4" w:space="0"/>
            </w:tcBorders>
            <w:noWrap w:val="0"/>
            <w:vAlign w:val="top"/>
          </w:tcPr>
          <w:p w14:paraId="6FC18497">
            <w:pPr>
              <w:pStyle w:val="31"/>
              <w:kinsoku w:val="0"/>
              <w:overflowPunct w:val="0"/>
              <w:spacing w:befor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3.5.</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项规定，具备有效的营业执照</w:t>
            </w:r>
          </w:p>
        </w:tc>
      </w:tr>
      <w:tr w14:paraId="0EE7C01C">
        <w:tblPrEx>
          <w:tblCellMar>
            <w:top w:w="0" w:type="dxa"/>
            <w:left w:w="0" w:type="dxa"/>
            <w:bottom w:w="0" w:type="dxa"/>
            <w:right w:w="0" w:type="dxa"/>
          </w:tblCellMar>
        </w:tblPrEx>
        <w:trPr>
          <w:trHeight w:val="570" w:hRule="atLeast"/>
          <w:jc w:val="center"/>
        </w:trPr>
        <w:tc>
          <w:tcPr>
            <w:tcW w:w="807" w:type="dxa"/>
            <w:vMerge w:val="continue"/>
            <w:tcBorders>
              <w:left w:val="single" w:color="000000" w:sz="4" w:space="0"/>
              <w:right w:val="single" w:color="000000" w:sz="4" w:space="0"/>
            </w:tcBorders>
            <w:noWrap w:val="0"/>
            <w:vAlign w:val="center"/>
          </w:tcPr>
          <w:p w14:paraId="39C60935">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27AF1C67">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2858DF0B">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资质要求</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5B1E6EEC">
            <w:pPr>
              <w:pStyle w:val="31"/>
              <w:kinsoku w:val="0"/>
              <w:overflowPunct w:val="0"/>
              <w:spacing w:befor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1.4.1项规定</w:t>
            </w:r>
          </w:p>
        </w:tc>
      </w:tr>
      <w:tr w14:paraId="7F84B88F">
        <w:tblPrEx>
          <w:tblCellMar>
            <w:top w:w="0" w:type="dxa"/>
            <w:left w:w="0" w:type="dxa"/>
            <w:bottom w:w="0" w:type="dxa"/>
            <w:right w:w="0" w:type="dxa"/>
          </w:tblCellMar>
        </w:tblPrEx>
        <w:trPr>
          <w:trHeight w:val="1054" w:hRule="atLeast"/>
          <w:jc w:val="center"/>
        </w:trPr>
        <w:tc>
          <w:tcPr>
            <w:tcW w:w="807" w:type="dxa"/>
            <w:vMerge w:val="continue"/>
            <w:tcBorders>
              <w:left w:val="single" w:color="000000" w:sz="4" w:space="0"/>
              <w:right w:val="single" w:color="000000" w:sz="4" w:space="0"/>
            </w:tcBorders>
            <w:noWrap w:val="0"/>
            <w:vAlign w:val="center"/>
          </w:tcPr>
          <w:p w14:paraId="6C1C2EE3">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18868F05">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2782719B">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总监理工程师</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618693E2">
            <w:pPr>
              <w:pStyle w:val="31"/>
              <w:kinsoku w:val="0"/>
              <w:overflowPunct w:val="0"/>
              <w:spacing w:before="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1.4.1项规定</w:t>
            </w:r>
          </w:p>
        </w:tc>
      </w:tr>
      <w:tr w14:paraId="55008E00">
        <w:tblPrEx>
          <w:tblCellMar>
            <w:top w:w="0" w:type="dxa"/>
            <w:left w:w="0" w:type="dxa"/>
            <w:bottom w:w="0" w:type="dxa"/>
            <w:right w:w="0" w:type="dxa"/>
          </w:tblCellMar>
        </w:tblPrEx>
        <w:trPr>
          <w:trHeight w:val="449" w:hRule="atLeast"/>
          <w:jc w:val="center"/>
        </w:trPr>
        <w:tc>
          <w:tcPr>
            <w:tcW w:w="807" w:type="dxa"/>
            <w:vMerge w:val="continue"/>
            <w:tcBorders>
              <w:left w:val="single" w:color="000000" w:sz="4" w:space="0"/>
              <w:right w:val="single" w:color="000000" w:sz="4" w:space="0"/>
            </w:tcBorders>
            <w:noWrap w:val="0"/>
            <w:vAlign w:val="center"/>
          </w:tcPr>
          <w:p w14:paraId="74204F5F">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3E92224F">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020625D1">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联合体投标人</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5D569D07">
            <w:pPr>
              <w:pStyle w:val="31"/>
              <w:kinsoku w:val="0"/>
              <w:overflowPunct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项规定</w:t>
            </w:r>
          </w:p>
        </w:tc>
      </w:tr>
      <w:tr w14:paraId="77F96CD6">
        <w:tblPrEx>
          <w:tblCellMar>
            <w:top w:w="0" w:type="dxa"/>
            <w:left w:w="0" w:type="dxa"/>
            <w:bottom w:w="0" w:type="dxa"/>
            <w:right w:w="0" w:type="dxa"/>
          </w:tblCellMar>
        </w:tblPrEx>
        <w:trPr>
          <w:trHeight w:val="1123" w:hRule="atLeast"/>
          <w:jc w:val="center"/>
        </w:trPr>
        <w:tc>
          <w:tcPr>
            <w:tcW w:w="807" w:type="dxa"/>
            <w:vMerge w:val="continue"/>
            <w:tcBorders>
              <w:left w:val="single" w:color="000000" w:sz="4" w:space="0"/>
              <w:right w:val="single" w:color="000000" w:sz="4" w:space="0"/>
            </w:tcBorders>
            <w:noWrap w:val="0"/>
            <w:vAlign w:val="center"/>
          </w:tcPr>
          <w:p w14:paraId="08AD47F4">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10F963EC">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7019DBF2">
            <w:pPr>
              <w:jc w:val="center"/>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lang w:eastAsia="zh-CN"/>
              </w:rPr>
              <w:t>未被纳入失信联合惩戒名单且被限制参与相关项目投标的</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17F5C28D">
            <w:pPr>
              <w:ind w:left="0" w:leftChars="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失信联合惩戒名单以“信用广州”网站公布的“</w:t>
            </w:r>
            <w:r>
              <w:rPr>
                <w:rFonts w:hint="eastAsia" w:ascii="宋体" w:hAnsi="宋体" w:cs="宋体"/>
                <w:color w:val="auto"/>
                <w:spacing w:val="-4"/>
                <w:sz w:val="24"/>
                <w:szCs w:val="24"/>
                <w:highlight w:val="none"/>
                <w:lang w:eastAsia="zh-CN"/>
              </w:rPr>
              <w:t>黑名单</w:t>
            </w:r>
            <w:r>
              <w:rPr>
                <w:rFonts w:hint="eastAsia" w:ascii="宋体" w:hAnsi="宋体" w:eastAsia="宋体" w:cs="宋体"/>
                <w:color w:val="auto"/>
                <w:spacing w:val="-4"/>
                <w:sz w:val="24"/>
                <w:szCs w:val="24"/>
                <w:highlight w:val="none"/>
              </w:rPr>
              <w:t>”为准。（提供</w:t>
            </w:r>
            <w:r>
              <w:rPr>
                <w:rFonts w:hint="eastAsia" w:ascii="宋体" w:hAnsi="宋体" w:eastAsia="宋体" w:cs="宋体"/>
                <w:color w:val="auto"/>
                <w:spacing w:val="-4"/>
                <w:sz w:val="24"/>
                <w:szCs w:val="24"/>
                <w:highlight w:val="none"/>
                <w:lang w:eastAsia="zh-CN"/>
              </w:rPr>
              <w:t>查询结果</w:t>
            </w:r>
            <w:r>
              <w:rPr>
                <w:rFonts w:hint="eastAsia" w:ascii="宋体" w:hAnsi="宋体" w:eastAsia="宋体" w:cs="宋体"/>
                <w:color w:val="auto"/>
                <w:spacing w:val="-4"/>
                <w:sz w:val="24"/>
                <w:szCs w:val="24"/>
                <w:highlight w:val="none"/>
              </w:rPr>
              <w:t>网页截图，并加盖公章</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w:t>
            </w:r>
          </w:p>
        </w:tc>
      </w:tr>
      <w:tr w14:paraId="575EC23A">
        <w:tblPrEx>
          <w:tblCellMar>
            <w:top w:w="0" w:type="dxa"/>
            <w:left w:w="0" w:type="dxa"/>
            <w:bottom w:w="0" w:type="dxa"/>
            <w:right w:w="0" w:type="dxa"/>
          </w:tblCellMar>
        </w:tblPrEx>
        <w:trPr>
          <w:trHeight w:val="1098" w:hRule="atLeast"/>
          <w:jc w:val="center"/>
        </w:trPr>
        <w:tc>
          <w:tcPr>
            <w:tcW w:w="807" w:type="dxa"/>
            <w:vMerge w:val="continue"/>
            <w:tcBorders>
              <w:left w:val="single" w:color="000000" w:sz="4" w:space="0"/>
              <w:right w:val="single" w:color="000000" w:sz="4" w:space="0"/>
            </w:tcBorders>
            <w:noWrap w:val="0"/>
            <w:vAlign w:val="center"/>
          </w:tcPr>
          <w:p w14:paraId="237CB1A3">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67C90865">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5AA45B2">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投标人声明</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035F9387">
            <w:pPr>
              <w:pStyle w:val="31"/>
              <w:kinsoku w:val="0"/>
              <w:overflowPunct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投标人已按第</w:t>
            </w: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章“投标文件格式”</w:t>
            </w:r>
            <w:r>
              <w:rPr>
                <w:rFonts w:hint="eastAsia" w:ascii="宋体" w:hAnsi="宋体" w:eastAsia="宋体" w:cs="宋体"/>
                <w:color w:val="auto"/>
                <w:sz w:val="24"/>
                <w:szCs w:val="24"/>
                <w:highlight w:val="none"/>
                <w:lang w:eastAsia="zh-CN"/>
              </w:rPr>
              <w:t>规定</w:t>
            </w:r>
            <w:r>
              <w:rPr>
                <w:rFonts w:hint="eastAsia" w:ascii="宋体" w:hAnsi="宋体" w:eastAsia="宋体" w:cs="宋体"/>
                <w:color w:val="auto"/>
                <w:sz w:val="24"/>
                <w:szCs w:val="24"/>
                <w:highlight w:val="none"/>
              </w:rPr>
              <w:t>的内容签署盖章《投标人声明》，且总监理工程师</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技术负责人</w:t>
            </w:r>
            <w:r>
              <w:rPr>
                <w:rFonts w:hint="eastAsia" w:ascii="宋体" w:hAnsi="宋体" w:eastAsia="宋体" w:cs="宋体"/>
                <w:color w:val="auto"/>
                <w:sz w:val="24"/>
                <w:szCs w:val="24"/>
                <w:highlight w:val="none"/>
              </w:rPr>
              <w:t>签字确认</w:t>
            </w:r>
          </w:p>
        </w:tc>
      </w:tr>
      <w:tr w14:paraId="61E1C15C">
        <w:tblPrEx>
          <w:tblCellMar>
            <w:top w:w="0" w:type="dxa"/>
            <w:left w:w="0" w:type="dxa"/>
            <w:bottom w:w="0" w:type="dxa"/>
            <w:right w:w="0" w:type="dxa"/>
          </w:tblCellMar>
        </w:tblPrEx>
        <w:trPr>
          <w:trHeight w:val="778" w:hRule="atLeast"/>
          <w:jc w:val="center"/>
        </w:trPr>
        <w:tc>
          <w:tcPr>
            <w:tcW w:w="807" w:type="dxa"/>
            <w:vMerge w:val="continue"/>
            <w:tcBorders>
              <w:left w:val="single" w:color="000000" w:sz="4" w:space="0"/>
              <w:right w:val="single" w:color="000000" w:sz="4" w:space="0"/>
            </w:tcBorders>
            <w:noWrap w:val="0"/>
            <w:vAlign w:val="center"/>
          </w:tcPr>
          <w:p w14:paraId="02F81B47">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2ED9930D">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6B15FBC">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不存在禁止投标的情形</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54E08869">
            <w:pPr>
              <w:pStyle w:val="31"/>
              <w:kinsoku w:val="0"/>
              <w:overflowPunct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不存在第二章“投标人须知”第 1.4.3项规定的任何一种情形（以《投标人声明》为准）</w:t>
            </w:r>
          </w:p>
        </w:tc>
      </w:tr>
      <w:tr w14:paraId="6F87EA0A">
        <w:tblPrEx>
          <w:tblCellMar>
            <w:top w:w="0" w:type="dxa"/>
            <w:left w:w="0" w:type="dxa"/>
            <w:bottom w:w="0" w:type="dxa"/>
            <w:right w:w="0" w:type="dxa"/>
          </w:tblCellMar>
        </w:tblPrEx>
        <w:trPr>
          <w:trHeight w:val="518" w:hRule="atLeast"/>
          <w:jc w:val="center"/>
        </w:trPr>
        <w:tc>
          <w:tcPr>
            <w:tcW w:w="807" w:type="dxa"/>
            <w:vMerge w:val="continue"/>
            <w:tcBorders>
              <w:left w:val="single" w:color="000000" w:sz="4" w:space="0"/>
              <w:right w:val="single" w:color="000000" w:sz="4" w:space="0"/>
            </w:tcBorders>
            <w:noWrap w:val="0"/>
            <w:vAlign w:val="center"/>
          </w:tcPr>
          <w:p w14:paraId="4B1B228E">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59D5C5F8">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25327066">
            <w:pPr>
              <w:pStyle w:val="31"/>
              <w:kinsoku w:val="0"/>
              <w:overflowPunct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21037FB4">
            <w:pPr>
              <w:pStyle w:val="31"/>
              <w:kinsoku w:val="0"/>
              <w:overflowPunct w:val="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符合第二章“投标人须知”第 1.4.1 项规定</w:t>
            </w:r>
          </w:p>
        </w:tc>
      </w:tr>
      <w:tr w14:paraId="4EF7A225">
        <w:tblPrEx>
          <w:tblCellMar>
            <w:top w:w="0" w:type="dxa"/>
            <w:left w:w="0" w:type="dxa"/>
            <w:bottom w:w="0" w:type="dxa"/>
            <w:right w:w="0" w:type="dxa"/>
          </w:tblCellMar>
        </w:tblPrEx>
        <w:trPr>
          <w:trHeight w:val="90" w:hRule="atLeast"/>
          <w:jc w:val="center"/>
        </w:trPr>
        <w:tc>
          <w:tcPr>
            <w:tcW w:w="807" w:type="dxa"/>
            <w:vMerge w:val="restart"/>
            <w:tcBorders>
              <w:top w:val="single" w:color="000000" w:sz="4" w:space="0"/>
              <w:left w:val="single" w:color="000000" w:sz="4" w:space="0"/>
              <w:right w:val="single" w:color="000000" w:sz="4" w:space="0"/>
            </w:tcBorders>
            <w:noWrap w:val="0"/>
            <w:vAlign w:val="center"/>
          </w:tcPr>
          <w:p w14:paraId="445A3DDF">
            <w:pPr>
              <w:autoSpaceDE w:val="0"/>
              <w:autoSpaceDN w:val="0"/>
              <w:snapToGrid w:val="0"/>
              <w:spacing w:line="240" w:lineRule="auto"/>
              <w:ind w:right="-20"/>
              <w:jc w:val="center"/>
              <w:rPr>
                <w:rFonts w:hint="eastAsia" w:ascii="宋体" w:hAnsi="宋体" w:cs="宋体"/>
                <w:szCs w:val="24"/>
                <w:highlight w:val="none"/>
              </w:rPr>
            </w:pPr>
            <w:r>
              <w:rPr>
                <w:rFonts w:hint="eastAsia" w:ascii="宋体" w:hAnsi="宋体" w:cs="宋体"/>
                <w:szCs w:val="24"/>
                <w:highlight w:val="none"/>
              </w:rPr>
              <w:t>2.1.</w:t>
            </w:r>
            <w:r>
              <w:rPr>
                <w:rFonts w:hint="eastAsia" w:ascii="宋体" w:hAnsi="宋体" w:cs="宋体"/>
                <w:szCs w:val="24"/>
                <w:highlight w:val="none"/>
                <w:lang w:val="en-US" w:eastAsia="zh-CN"/>
              </w:rPr>
              <w:t>2</w:t>
            </w:r>
          </w:p>
        </w:tc>
        <w:tc>
          <w:tcPr>
            <w:tcW w:w="718" w:type="dxa"/>
            <w:vMerge w:val="restart"/>
            <w:tcBorders>
              <w:top w:val="single" w:color="000000" w:sz="4" w:space="0"/>
              <w:left w:val="single" w:color="000000" w:sz="4" w:space="0"/>
              <w:right w:val="single" w:color="000000" w:sz="4" w:space="0"/>
            </w:tcBorders>
            <w:noWrap w:val="0"/>
            <w:vAlign w:val="center"/>
          </w:tcPr>
          <w:p w14:paraId="1A602F94">
            <w:pPr>
              <w:autoSpaceDE w:val="0"/>
              <w:autoSpaceDN w:val="0"/>
              <w:snapToGrid w:val="0"/>
              <w:spacing w:line="240" w:lineRule="auto"/>
              <w:ind w:right="59"/>
              <w:jc w:val="center"/>
              <w:rPr>
                <w:rFonts w:hint="eastAsia" w:ascii="宋体" w:hAnsi="宋体" w:cs="宋体"/>
                <w:szCs w:val="24"/>
                <w:highlight w:val="none"/>
              </w:rPr>
            </w:pPr>
            <w:r>
              <w:rPr>
                <w:rFonts w:hint="eastAsia" w:ascii="宋体" w:hAnsi="宋体" w:cs="宋体"/>
                <w:szCs w:val="24"/>
                <w:highlight w:val="none"/>
              </w:rPr>
              <w:t>形式</w:t>
            </w:r>
            <w:r>
              <w:rPr>
                <w:rFonts w:hint="eastAsia" w:ascii="宋体" w:hAnsi="宋体" w:cs="宋体"/>
                <w:spacing w:val="-2"/>
                <w:szCs w:val="24"/>
                <w:highlight w:val="none"/>
              </w:rPr>
              <w:t>评</w:t>
            </w:r>
            <w:r>
              <w:rPr>
                <w:rFonts w:hint="eastAsia" w:ascii="宋体" w:hAnsi="宋体" w:cs="宋体"/>
                <w:szCs w:val="24"/>
                <w:highlight w:val="none"/>
              </w:rPr>
              <w:t>审标准</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5A2A5F2">
            <w:pPr>
              <w:pStyle w:val="31"/>
              <w:kinsoku w:val="0"/>
              <w:overflowPunct w:val="0"/>
              <w:spacing w:before="0"/>
              <w:jc w:val="center"/>
              <w:rPr>
                <w:rFonts w:hint="eastAsia" w:ascii="宋体" w:hAnsi="宋体" w:cs="宋体"/>
                <w:szCs w:val="24"/>
                <w:highlight w:val="none"/>
              </w:rPr>
            </w:pPr>
            <w:r>
              <w:rPr>
                <w:rFonts w:hint="eastAsia" w:ascii="宋体" w:hAnsi="宋体" w:eastAsia="宋体" w:cs="宋体"/>
                <w:color w:val="auto"/>
                <w:sz w:val="24"/>
                <w:szCs w:val="24"/>
                <w:highlight w:val="none"/>
              </w:rPr>
              <w:t>投标人名称</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3F65DA68">
            <w:pPr>
              <w:pStyle w:val="31"/>
              <w:kinsoku w:val="0"/>
              <w:overflowPunct w:val="0"/>
              <w:spacing w:before="0"/>
              <w:jc w:val="both"/>
              <w:rPr>
                <w:rFonts w:hint="eastAsia" w:ascii="宋体" w:hAnsi="宋体" w:cs="宋体"/>
                <w:szCs w:val="24"/>
                <w:highlight w:val="none"/>
              </w:rPr>
            </w:pPr>
            <w:r>
              <w:rPr>
                <w:rFonts w:hint="eastAsia" w:ascii="宋体" w:hAnsi="宋体" w:eastAsia="宋体" w:cs="宋体"/>
                <w:color w:val="auto"/>
                <w:sz w:val="24"/>
                <w:szCs w:val="24"/>
                <w:highlight w:val="none"/>
              </w:rPr>
              <w:t>与营业执照、资质证书一致</w:t>
            </w:r>
          </w:p>
        </w:tc>
      </w:tr>
      <w:tr w14:paraId="52BC8030">
        <w:tblPrEx>
          <w:tblCellMar>
            <w:top w:w="0" w:type="dxa"/>
            <w:left w:w="0" w:type="dxa"/>
            <w:bottom w:w="0" w:type="dxa"/>
            <w:right w:w="0" w:type="dxa"/>
          </w:tblCellMar>
        </w:tblPrEx>
        <w:trPr>
          <w:trHeight w:val="1072" w:hRule="atLeast"/>
          <w:jc w:val="center"/>
        </w:trPr>
        <w:tc>
          <w:tcPr>
            <w:tcW w:w="807" w:type="dxa"/>
            <w:vMerge w:val="continue"/>
            <w:tcBorders>
              <w:left w:val="single" w:color="000000" w:sz="4" w:space="0"/>
              <w:right w:val="single" w:color="000000" w:sz="4" w:space="0"/>
            </w:tcBorders>
            <w:noWrap w:val="0"/>
            <w:vAlign w:val="center"/>
          </w:tcPr>
          <w:p w14:paraId="57EB2145">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192935D8">
            <w:pPr>
              <w:autoSpaceDE w:val="0"/>
              <w:autoSpaceDN w:val="0"/>
              <w:snapToGrid w:val="0"/>
              <w:spacing w:line="240" w:lineRule="auto"/>
              <w:ind w:right="59"/>
              <w:jc w:val="center"/>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DA04850">
            <w:pPr>
              <w:pStyle w:val="31"/>
              <w:kinsoku w:val="0"/>
              <w:overflowPunct w:val="0"/>
              <w:spacing w:before="0"/>
              <w:jc w:val="center"/>
              <w:rPr>
                <w:rFonts w:hint="eastAsia" w:ascii="宋体" w:hAnsi="宋体" w:cs="宋体"/>
                <w:szCs w:val="24"/>
                <w:highlight w:val="none"/>
              </w:rPr>
            </w:pPr>
            <w:r>
              <w:rPr>
                <w:rFonts w:hint="eastAsia" w:ascii="宋体" w:hAnsi="宋体" w:eastAsia="宋体" w:cs="宋体"/>
                <w:color w:val="auto"/>
                <w:sz w:val="24"/>
                <w:szCs w:val="24"/>
                <w:highlight w:val="none"/>
              </w:rPr>
              <w:t>投标人参加投标的意思表达清楚，投标人代表被授权有效</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4A311AC4">
            <w:pPr>
              <w:pStyle w:val="31"/>
              <w:kinsoku w:val="0"/>
              <w:overflowPunct w:val="0"/>
              <w:spacing w:before="0"/>
              <w:jc w:val="both"/>
              <w:rPr>
                <w:rFonts w:hint="eastAsia" w:ascii="宋体" w:hAnsi="宋体" w:cs="宋体"/>
                <w:szCs w:val="24"/>
                <w:highlight w:val="none"/>
              </w:rPr>
            </w:pPr>
            <w:r>
              <w:rPr>
                <w:rFonts w:hint="eastAsia" w:ascii="宋体" w:hAnsi="宋体" w:eastAsia="宋体" w:cs="宋体"/>
                <w:color w:val="auto"/>
                <w:sz w:val="24"/>
                <w:szCs w:val="24"/>
                <w:highlight w:val="none"/>
              </w:rPr>
              <w:t>投标人声明、</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rPr>
              <w:t>廉洁承诺书、法定代表人</w:t>
            </w:r>
            <w:r>
              <w:rPr>
                <w:rFonts w:hint="eastAsia" w:ascii="宋体" w:hAnsi="宋体" w:cs="宋体"/>
                <w:color w:val="auto"/>
                <w:sz w:val="24"/>
                <w:szCs w:val="24"/>
                <w:highlight w:val="none"/>
                <w:lang w:val="en-US" w:eastAsia="zh-CN"/>
              </w:rPr>
              <w:t>身份证明</w:t>
            </w:r>
            <w:r>
              <w:rPr>
                <w:rFonts w:hint="eastAsia" w:ascii="宋体" w:hAnsi="宋体" w:eastAsia="宋体" w:cs="宋体"/>
                <w:color w:val="auto"/>
                <w:sz w:val="24"/>
                <w:szCs w:val="24"/>
                <w:highlight w:val="none"/>
              </w:rPr>
              <w:t>；委托投标的还应提供授权委托书</w:t>
            </w:r>
          </w:p>
        </w:tc>
      </w:tr>
      <w:tr w14:paraId="17D044A0">
        <w:tblPrEx>
          <w:tblCellMar>
            <w:top w:w="0" w:type="dxa"/>
            <w:left w:w="0" w:type="dxa"/>
            <w:bottom w:w="0" w:type="dxa"/>
            <w:right w:w="0" w:type="dxa"/>
          </w:tblCellMar>
        </w:tblPrEx>
        <w:trPr>
          <w:jc w:val="center"/>
        </w:trPr>
        <w:tc>
          <w:tcPr>
            <w:tcW w:w="807" w:type="dxa"/>
            <w:vMerge w:val="continue"/>
            <w:tcBorders>
              <w:left w:val="single" w:color="000000" w:sz="4" w:space="0"/>
              <w:right w:val="single" w:color="000000" w:sz="4" w:space="0"/>
            </w:tcBorders>
            <w:noWrap w:val="0"/>
            <w:vAlign w:val="top"/>
          </w:tcPr>
          <w:p w14:paraId="3E95B9DD">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top"/>
          </w:tcPr>
          <w:p w14:paraId="71900FC9">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16D8334A">
            <w:pPr>
              <w:pStyle w:val="31"/>
              <w:kinsoku w:val="0"/>
              <w:overflowPunct w:val="0"/>
              <w:ind w:right="180" w:rightChars="0"/>
              <w:jc w:val="center"/>
              <w:rPr>
                <w:rFonts w:hint="eastAsia" w:ascii="宋体" w:hAnsi="宋体" w:cs="宋体"/>
                <w:szCs w:val="24"/>
                <w:highlight w:val="none"/>
              </w:rPr>
            </w:pPr>
            <w:r>
              <w:rPr>
                <w:rFonts w:hint="eastAsia" w:ascii="宋体" w:hAnsi="宋体" w:eastAsia="宋体" w:cs="宋体"/>
                <w:color w:val="auto"/>
                <w:spacing w:val="-2"/>
                <w:sz w:val="24"/>
                <w:szCs w:val="24"/>
                <w:highlight w:val="none"/>
              </w:rPr>
              <w:t>投标函及投标函附录签</w:t>
            </w:r>
            <w:r>
              <w:rPr>
                <w:rFonts w:hint="eastAsia" w:ascii="宋体" w:hAnsi="宋体" w:eastAsia="宋体" w:cs="宋体"/>
                <w:color w:val="auto"/>
                <w:spacing w:val="-84"/>
                <w:sz w:val="24"/>
                <w:szCs w:val="24"/>
                <w:highlight w:val="none"/>
              </w:rPr>
              <w:t xml:space="preserve"> </w:t>
            </w:r>
            <w:r>
              <w:rPr>
                <w:rFonts w:hint="eastAsia" w:ascii="宋体" w:hAnsi="宋体" w:eastAsia="宋体" w:cs="宋体"/>
                <w:color w:val="auto"/>
                <w:sz w:val="24"/>
                <w:szCs w:val="24"/>
                <w:highlight w:val="none"/>
              </w:rPr>
              <w:t>字盖章</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6727A885">
            <w:pPr>
              <w:pStyle w:val="31"/>
              <w:kinsoku w:val="0"/>
              <w:overflowPunct w:val="0"/>
              <w:spacing w:before="0"/>
              <w:ind w:right="96" w:rightChars="0"/>
              <w:jc w:val="both"/>
              <w:rPr>
                <w:rFonts w:hint="eastAsia" w:ascii="宋体" w:hAnsi="宋体" w:cs="宋体"/>
                <w:szCs w:val="24"/>
                <w:highlight w:val="none"/>
              </w:rPr>
            </w:pPr>
            <w:r>
              <w:rPr>
                <w:rFonts w:hint="eastAsia" w:ascii="宋体" w:hAnsi="宋体" w:eastAsia="宋体" w:cs="宋体"/>
                <w:color w:val="auto"/>
                <w:sz w:val="24"/>
                <w:szCs w:val="24"/>
                <w:highlight w:val="none"/>
              </w:rPr>
              <w:t>有法定代表人或其委托代理人签字（或盖章）</w:t>
            </w:r>
            <w:r>
              <w:rPr>
                <w:rFonts w:hint="eastAsia" w:ascii="宋体" w:hAnsi="宋体" w:cs="宋体"/>
                <w:color w:val="auto"/>
                <w:sz w:val="24"/>
                <w:szCs w:val="24"/>
                <w:highlight w:val="none"/>
                <w:lang w:val="en-US" w:eastAsia="zh-CN"/>
              </w:rPr>
              <w:t>和</w:t>
            </w:r>
            <w:r>
              <w:rPr>
                <w:rFonts w:hint="eastAsia" w:ascii="宋体" w:hAnsi="宋体" w:eastAsia="宋体" w:cs="宋体"/>
                <w:color w:val="auto"/>
                <w:sz w:val="24"/>
                <w:szCs w:val="24"/>
                <w:highlight w:val="none"/>
              </w:rPr>
              <w:t>加盖单位</w:t>
            </w:r>
            <w:r>
              <w:rPr>
                <w:rFonts w:hint="eastAsia" w:ascii="宋体" w:hAnsi="宋体" w:cs="宋体"/>
                <w:color w:val="auto"/>
                <w:sz w:val="24"/>
                <w:szCs w:val="24"/>
                <w:highlight w:val="none"/>
                <w:lang w:val="en-US" w:eastAsia="zh-CN"/>
              </w:rPr>
              <w:t>公</w:t>
            </w:r>
            <w:r>
              <w:rPr>
                <w:rFonts w:hint="eastAsia" w:ascii="宋体" w:hAnsi="宋体" w:eastAsia="宋体" w:cs="宋体"/>
                <w:color w:val="auto"/>
                <w:sz w:val="24"/>
                <w:szCs w:val="24"/>
                <w:highlight w:val="none"/>
              </w:rPr>
              <w:t>章。由法定代表人签字（或盖章）的，应附法定代表人身份证明，由代理人签字（或盖章）的，应附授权委托书，</w:t>
            </w:r>
            <w:r>
              <w:rPr>
                <w:rFonts w:hint="eastAsia" w:ascii="宋体" w:hAnsi="宋体" w:cs="宋体"/>
                <w:color w:val="auto"/>
                <w:sz w:val="24"/>
                <w:szCs w:val="24"/>
                <w:highlight w:val="none"/>
                <w:lang w:val="en-US" w:eastAsia="zh-CN"/>
              </w:rPr>
              <w:t>法</w:t>
            </w:r>
            <w:r>
              <w:rPr>
                <w:rFonts w:hint="eastAsia" w:ascii="宋体" w:hAnsi="宋体" w:eastAsia="宋体" w:cs="宋体"/>
                <w:color w:val="auto"/>
                <w:sz w:val="24"/>
                <w:szCs w:val="24"/>
                <w:highlight w:val="none"/>
              </w:rPr>
              <w:t>定代表人身份证明或授权委托书应符合第六章“投标文件格式”的规定</w:t>
            </w:r>
          </w:p>
        </w:tc>
      </w:tr>
      <w:tr w14:paraId="43644854">
        <w:tblPrEx>
          <w:tblCellMar>
            <w:top w:w="0" w:type="dxa"/>
            <w:left w:w="0" w:type="dxa"/>
            <w:bottom w:w="0" w:type="dxa"/>
            <w:right w:w="0" w:type="dxa"/>
          </w:tblCellMar>
        </w:tblPrEx>
        <w:trPr>
          <w:jc w:val="center"/>
        </w:trPr>
        <w:tc>
          <w:tcPr>
            <w:tcW w:w="807" w:type="dxa"/>
            <w:vMerge w:val="continue"/>
            <w:tcBorders>
              <w:left w:val="single" w:color="000000" w:sz="4" w:space="0"/>
              <w:right w:val="single" w:color="000000" w:sz="4" w:space="0"/>
            </w:tcBorders>
            <w:noWrap w:val="0"/>
            <w:vAlign w:val="top"/>
          </w:tcPr>
          <w:p w14:paraId="47B8857D">
            <w:pPr>
              <w:autoSpaceDE w:val="0"/>
              <w:autoSpaceDN w:val="0"/>
              <w:snapToGrid w:val="0"/>
              <w:spacing w:before="0" w:line="240" w:lineRule="auto"/>
              <w:ind w:left="102" w:right="3879"/>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top"/>
          </w:tcPr>
          <w:p w14:paraId="39B623D1">
            <w:pPr>
              <w:autoSpaceDE w:val="0"/>
              <w:autoSpaceDN w:val="0"/>
              <w:snapToGrid w:val="0"/>
              <w:spacing w:before="0" w:line="240" w:lineRule="auto"/>
              <w:ind w:left="102" w:right="3879"/>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6E893644">
            <w:pPr>
              <w:pStyle w:val="31"/>
              <w:kinsoku w:val="0"/>
              <w:overflowPunct w:val="0"/>
              <w:spacing w:before="0"/>
              <w:jc w:val="center"/>
              <w:rPr>
                <w:rFonts w:hint="eastAsia" w:ascii="宋体" w:hAnsi="宋体" w:cs="宋体"/>
                <w:szCs w:val="24"/>
                <w:highlight w:val="none"/>
              </w:rPr>
            </w:pPr>
            <w:r>
              <w:rPr>
                <w:rFonts w:hint="eastAsia" w:ascii="宋体" w:hAnsi="宋体" w:eastAsia="宋体" w:cs="宋体"/>
                <w:color w:val="auto"/>
                <w:sz w:val="24"/>
                <w:szCs w:val="24"/>
                <w:highlight w:val="none"/>
              </w:rPr>
              <w:t>投标文件格式</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6C13BEAA">
            <w:pPr>
              <w:pStyle w:val="31"/>
              <w:kinsoku w:val="0"/>
              <w:overflowPunct w:val="0"/>
              <w:spacing w:before="0"/>
              <w:jc w:val="both"/>
              <w:rPr>
                <w:rFonts w:hint="eastAsia" w:ascii="宋体" w:hAnsi="宋体" w:cs="宋体"/>
                <w:szCs w:val="24"/>
                <w:highlight w:val="none"/>
                <w:u w:val="single"/>
              </w:rPr>
            </w:pPr>
            <w:r>
              <w:rPr>
                <w:rFonts w:hint="eastAsia" w:ascii="宋体" w:hAnsi="宋体" w:eastAsia="宋体" w:cs="宋体"/>
                <w:color w:val="auto"/>
                <w:sz w:val="24"/>
                <w:szCs w:val="24"/>
                <w:highlight w:val="none"/>
              </w:rPr>
              <w:t>符合第六章“投标文件格式一《投标函及投标函附录》”的规定</w:t>
            </w:r>
          </w:p>
        </w:tc>
      </w:tr>
      <w:tr w14:paraId="07BD51F5">
        <w:tblPrEx>
          <w:tblCellMar>
            <w:top w:w="0" w:type="dxa"/>
            <w:left w:w="0" w:type="dxa"/>
            <w:bottom w:w="0" w:type="dxa"/>
            <w:right w:w="0" w:type="dxa"/>
          </w:tblCellMar>
        </w:tblPrEx>
        <w:trPr>
          <w:trHeight w:val="570" w:hRule="atLeast"/>
          <w:jc w:val="center"/>
        </w:trPr>
        <w:tc>
          <w:tcPr>
            <w:tcW w:w="807" w:type="dxa"/>
            <w:vMerge w:val="continue"/>
            <w:tcBorders>
              <w:left w:val="single" w:color="000000" w:sz="4" w:space="0"/>
              <w:right w:val="single" w:color="000000" w:sz="4" w:space="0"/>
            </w:tcBorders>
            <w:noWrap w:val="0"/>
            <w:vAlign w:val="top"/>
          </w:tcPr>
          <w:p w14:paraId="5FE45542">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top"/>
          </w:tcPr>
          <w:p w14:paraId="67310CB1">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702D966F">
            <w:pPr>
              <w:pStyle w:val="31"/>
              <w:kinsoku w:val="0"/>
              <w:overflowPunct w:val="0"/>
              <w:jc w:val="center"/>
              <w:rPr>
                <w:rFonts w:hint="eastAsia" w:ascii="宋体" w:hAnsi="宋体" w:eastAsia="宋体" w:cs="宋体"/>
                <w:szCs w:val="24"/>
                <w:highlight w:val="none"/>
              </w:rPr>
            </w:pPr>
            <w:r>
              <w:rPr>
                <w:rFonts w:hint="eastAsia" w:ascii="宋体" w:hAnsi="宋体" w:eastAsia="宋体" w:cs="宋体"/>
                <w:color w:val="auto"/>
                <w:sz w:val="24"/>
                <w:szCs w:val="24"/>
                <w:highlight w:val="none"/>
              </w:rPr>
              <w:t>联合体投标人</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5E91CE5E">
            <w:pPr>
              <w:pStyle w:val="31"/>
              <w:kinsoku w:val="0"/>
              <w:overflowPunct w:val="0"/>
              <w:spacing w:before="0"/>
              <w:jc w:val="both"/>
              <w:rPr>
                <w:rFonts w:hint="eastAsia" w:ascii="宋体" w:hAnsi="宋体" w:eastAsia="宋体" w:cs="宋体"/>
                <w:szCs w:val="24"/>
                <w:highlight w:val="none"/>
              </w:rPr>
            </w:pPr>
            <w:r>
              <w:rPr>
                <w:rFonts w:hint="eastAsia" w:ascii="宋体" w:hAnsi="宋体" w:cs="宋体"/>
                <w:color w:val="auto"/>
                <w:sz w:val="24"/>
                <w:szCs w:val="24"/>
                <w:highlight w:val="none"/>
                <w:lang w:val="en-US" w:eastAsia="zh-CN"/>
              </w:rPr>
              <w:t>本项目不接受联合体投标</w:t>
            </w:r>
          </w:p>
        </w:tc>
      </w:tr>
      <w:tr w14:paraId="09593022">
        <w:tblPrEx>
          <w:tblCellMar>
            <w:top w:w="0" w:type="dxa"/>
            <w:left w:w="0" w:type="dxa"/>
            <w:bottom w:w="0" w:type="dxa"/>
            <w:right w:w="0" w:type="dxa"/>
          </w:tblCellMar>
        </w:tblPrEx>
        <w:trPr>
          <w:trHeight w:val="673" w:hRule="atLeast"/>
          <w:jc w:val="center"/>
        </w:trPr>
        <w:tc>
          <w:tcPr>
            <w:tcW w:w="807" w:type="dxa"/>
            <w:vMerge w:val="continue"/>
            <w:tcBorders>
              <w:left w:val="single" w:color="000000" w:sz="4" w:space="0"/>
              <w:right w:val="single" w:color="000000" w:sz="4" w:space="0"/>
            </w:tcBorders>
            <w:noWrap w:val="0"/>
            <w:vAlign w:val="top"/>
          </w:tcPr>
          <w:p w14:paraId="3F465428">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top"/>
          </w:tcPr>
          <w:p w14:paraId="112FD402">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44D956BF">
            <w:pPr>
              <w:pStyle w:val="31"/>
              <w:kinsoku w:val="0"/>
              <w:overflowPunct w:val="0"/>
              <w:jc w:val="center"/>
              <w:rPr>
                <w:rFonts w:hint="eastAsia" w:ascii="宋体" w:hAnsi="宋体" w:cs="宋体"/>
                <w:szCs w:val="24"/>
                <w:highlight w:val="none"/>
              </w:rPr>
            </w:pPr>
            <w:r>
              <w:rPr>
                <w:rFonts w:hint="eastAsia" w:ascii="宋体" w:hAnsi="宋体" w:eastAsia="宋体" w:cs="宋体"/>
                <w:color w:val="auto"/>
                <w:sz w:val="24"/>
                <w:szCs w:val="24"/>
                <w:highlight w:val="none"/>
              </w:rPr>
              <w:t>备选投标方案</w:t>
            </w:r>
          </w:p>
        </w:tc>
        <w:tc>
          <w:tcPr>
            <w:tcW w:w="5828" w:type="dxa"/>
            <w:tcBorders>
              <w:top w:val="single" w:color="000000" w:sz="4" w:space="0"/>
              <w:left w:val="single" w:color="000000" w:sz="4" w:space="0"/>
              <w:bottom w:val="single" w:color="000000" w:sz="4" w:space="0"/>
              <w:right w:val="single" w:color="000000" w:sz="4" w:space="0"/>
            </w:tcBorders>
            <w:noWrap w:val="0"/>
            <w:vAlign w:val="center"/>
          </w:tcPr>
          <w:p w14:paraId="3DE07ADD">
            <w:pPr>
              <w:pStyle w:val="31"/>
              <w:kinsoku w:val="0"/>
              <w:overflowPunct w:val="0"/>
              <w:spacing w:before="0"/>
              <w:jc w:val="both"/>
              <w:rPr>
                <w:rFonts w:hint="eastAsia" w:ascii="宋体" w:hAnsi="宋体" w:eastAsia="宋体" w:cs="宋体"/>
                <w:szCs w:val="24"/>
                <w:highlight w:val="none"/>
                <w:lang w:val="en-US" w:eastAsia="zh-CN"/>
              </w:rPr>
            </w:pPr>
            <w:r>
              <w:rPr>
                <w:rFonts w:hint="eastAsia" w:ascii="宋体" w:hAnsi="宋体" w:cs="宋体"/>
                <w:color w:val="auto"/>
                <w:sz w:val="24"/>
                <w:szCs w:val="24"/>
                <w:highlight w:val="none"/>
                <w:lang w:val="en-US" w:eastAsia="zh-CN"/>
              </w:rPr>
              <w:t>本项目不允许</w:t>
            </w:r>
            <w:r>
              <w:rPr>
                <w:rFonts w:hint="eastAsia" w:ascii="宋体" w:hAnsi="宋体" w:eastAsia="宋体" w:cs="宋体"/>
                <w:color w:val="auto"/>
                <w:sz w:val="24"/>
                <w:szCs w:val="24"/>
                <w:highlight w:val="none"/>
              </w:rPr>
              <w:t>提交备选投标方案</w:t>
            </w:r>
          </w:p>
        </w:tc>
      </w:tr>
      <w:tr w14:paraId="55A473C1">
        <w:tblPrEx>
          <w:tblCellMar>
            <w:top w:w="0" w:type="dxa"/>
            <w:left w:w="0" w:type="dxa"/>
            <w:bottom w:w="0" w:type="dxa"/>
            <w:right w:w="0" w:type="dxa"/>
          </w:tblCellMar>
        </w:tblPrEx>
        <w:trPr>
          <w:trHeight w:val="1080" w:hRule="atLeast"/>
          <w:jc w:val="center"/>
        </w:trPr>
        <w:tc>
          <w:tcPr>
            <w:tcW w:w="807" w:type="dxa"/>
            <w:vMerge w:val="continue"/>
            <w:tcBorders>
              <w:left w:val="single" w:color="000000" w:sz="4" w:space="0"/>
              <w:bottom w:val="single" w:color="auto" w:sz="4" w:space="0"/>
              <w:right w:val="single" w:color="000000" w:sz="4" w:space="0"/>
            </w:tcBorders>
            <w:noWrap w:val="0"/>
            <w:vAlign w:val="top"/>
          </w:tcPr>
          <w:p w14:paraId="4D0FA8FA">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left w:val="single" w:color="000000" w:sz="4" w:space="0"/>
              <w:bottom w:val="single" w:color="auto" w:sz="4" w:space="0"/>
              <w:right w:val="single" w:color="000000" w:sz="4" w:space="0"/>
            </w:tcBorders>
            <w:noWrap w:val="0"/>
            <w:vAlign w:val="top"/>
          </w:tcPr>
          <w:p w14:paraId="350B6514">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auto" w:sz="4" w:space="0"/>
              <w:right w:val="single" w:color="000000" w:sz="4" w:space="0"/>
            </w:tcBorders>
            <w:noWrap w:val="0"/>
            <w:vAlign w:val="center"/>
          </w:tcPr>
          <w:p w14:paraId="63A492B3">
            <w:pPr>
              <w:jc w:val="center"/>
              <w:rPr>
                <w:rFonts w:hint="eastAsia" w:ascii="宋体" w:hAnsi="宋体" w:cs="宋体"/>
                <w:szCs w:val="24"/>
                <w:highlight w:val="none"/>
              </w:rPr>
            </w:pPr>
            <w:r>
              <w:rPr>
                <w:rFonts w:hint="eastAsia" w:ascii="宋体" w:hAnsi="宋体" w:eastAsia="宋体" w:cs="宋体"/>
                <w:color w:val="auto"/>
                <w:sz w:val="24"/>
                <w:szCs w:val="24"/>
                <w:highlight w:val="none"/>
              </w:rPr>
              <w:t>投标人机器码</w:t>
            </w:r>
          </w:p>
        </w:tc>
        <w:tc>
          <w:tcPr>
            <w:tcW w:w="5828" w:type="dxa"/>
            <w:tcBorders>
              <w:top w:val="single" w:color="000000" w:sz="4" w:space="0"/>
              <w:left w:val="single" w:color="000000" w:sz="4" w:space="0"/>
              <w:bottom w:val="single" w:color="auto" w:sz="4" w:space="0"/>
              <w:right w:val="single" w:color="000000" w:sz="4" w:space="0"/>
            </w:tcBorders>
            <w:noWrap w:val="0"/>
            <w:vAlign w:val="center"/>
          </w:tcPr>
          <w:p w14:paraId="7252FB46">
            <w:pPr>
              <w:ind w:left="91" w:leftChars="38"/>
              <w:jc w:val="both"/>
              <w:rPr>
                <w:rFonts w:hint="eastAsia" w:ascii="宋体" w:hAnsi="宋体" w:cs="宋体"/>
                <w:szCs w:val="24"/>
                <w:highlight w:val="none"/>
              </w:rPr>
            </w:pPr>
            <w:r>
              <w:rPr>
                <w:rFonts w:hint="eastAsia" w:ascii="宋体" w:hAnsi="宋体" w:eastAsia="宋体" w:cs="宋体"/>
                <w:color w:val="auto"/>
                <w:sz w:val="24"/>
                <w:szCs w:val="24"/>
                <w:highlight w:val="none"/>
              </w:rPr>
              <w:t>投标人与</w:t>
            </w:r>
            <w:r>
              <w:rPr>
                <w:rFonts w:hint="eastAsia" w:ascii="宋体" w:hAnsi="宋体" w:eastAsia="宋体" w:cs="宋体"/>
                <w:color w:val="auto"/>
                <w:sz w:val="24"/>
                <w:szCs w:val="24"/>
                <w:highlight w:val="none"/>
                <w:lang w:eastAsia="zh-CN"/>
              </w:rPr>
              <w:t>本项目</w:t>
            </w:r>
            <w:r>
              <w:rPr>
                <w:rFonts w:hint="eastAsia" w:ascii="宋体" w:hAnsi="宋体" w:eastAsia="宋体" w:cs="宋体"/>
                <w:color w:val="auto"/>
                <w:sz w:val="24"/>
                <w:szCs w:val="24"/>
                <w:highlight w:val="none"/>
              </w:rPr>
              <w:t>其他投标人加密打包投标文件电脑机器特征码</w:t>
            </w:r>
            <w:r>
              <w:rPr>
                <w:rFonts w:hint="eastAsia" w:ascii="宋体" w:hAnsi="宋体" w:eastAsia="宋体" w:cs="宋体"/>
                <w:color w:val="auto"/>
                <w:sz w:val="24"/>
                <w:szCs w:val="24"/>
                <w:highlight w:val="none"/>
                <w:lang w:eastAsia="zh-CN"/>
              </w:rPr>
              <w:t>不</w:t>
            </w:r>
            <w:r>
              <w:rPr>
                <w:rFonts w:hint="eastAsia" w:ascii="宋体" w:hAnsi="宋体" w:eastAsia="宋体" w:cs="宋体"/>
                <w:color w:val="auto"/>
                <w:sz w:val="24"/>
                <w:szCs w:val="24"/>
                <w:highlight w:val="none"/>
              </w:rPr>
              <w:t>一致的(以</w:t>
            </w:r>
            <w:r>
              <w:rPr>
                <w:rFonts w:hint="eastAsia" w:ascii="宋体" w:hAnsi="宋体" w:cs="宋体"/>
                <w:color w:val="auto"/>
                <w:sz w:val="24"/>
                <w:szCs w:val="24"/>
                <w:highlight w:val="none"/>
                <w:lang w:eastAsia="zh-CN"/>
              </w:rPr>
              <w:t>广州交易集团有限公司（广州公共资源交易中心）</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平台</w:t>
            </w:r>
            <w:r>
              <w:rPr>
                <w:rFonts w:hint="eastAsia" w:ascii="宋体" w:hAnsi="宋体" w:cs="宋体"/>
                <w:color w:val="auto"/>
                <w:sz w:val="24"/>
                <w:szCs w:val="24"/>
                <w:highlight w:val="none"/>
                <w:lang w:eastAsia="zh-CN"/>
              </w:rPr>
              <w:t>开标</w:t>
            </w:r>
            <w:r>
              <w:rPr>
                <w:rFonts w:hint="eastAsia" w:ascii="宋体" w:hAnsi="宋体" w:eastAsia="宋体" w:cs="宋体"/>
                <w:color w:val="auto"/>
                <w:sz w:val="24"/>
                <w:szCs w:val="24"/>
                <w:highlight w:val="none"/>
              </w:rPr>
              <w:t>系统的检索信息为准)</w:t>
            </w:r>
          </w:p>
        </w:tc>
      </w:tr>
      <w:tr w14:paraId="68C2153C">
        <w:tblPrEx>
          <w:tblCellMar>
            <w:top w:w="0" w:type="dxa"/>
            <w:left w:w="0" w:type="dxa"/>
            <w:bottom w:w="0" w:type="dxa"/>
            <w:right w:w="0" w:type="dxa"/>
          </w:tblCellMar>
        </w:tblPrEx>
        <w:trPr>
          <w:trHeight w:val="567" w:hRule="atLeast"/>
          <w:jc w:val="center"/>
        </w:trPr>
        <w:tc>
          <w:tcPr>
            <w:tcW w:w="807" w:type="dxa"/>
            <w:vMerge w:val="restart"/>
            <w:tcBorders>
              <w:top w:val="single" w:color="auto" w:sz="4" w:space="0"/>
              <w:left w:val="single" w:color="auto" w:sz="4" w:space="0"/>
              <w:bottom w:val="single" w:color="auto" w:sz="4" w:space="0"/>
              <w:right w:val="single" w:color="000000" w:sz="4" w:space="0"/>
            </w:tcBorders>
            <w:noWrap w:val="0"/>
            <w:vAlign w:val="center"/>
          </w:tcPr>
          <w:p w14:paraId="27624BF8">
            <w:pPr>
              <w:autoSpaceDE w:val="0"/>
              <w:autoSpaceDN w:val="0"/>
              <w:snapToGrid w:val="0"/>
              <w:spacing w:line="240" w:lineRule="auto"/>
              <w:ind w:right="-20"/>
              <w:jc w:val="center"/>
              <w:rPr>
                <w:rFonts w:hint="eastAsia" w:ascii="宋体" w:hAnsi="宋体" w:cs="宋体"/>
                <w:szCs w:val="24"/>
                <w:highlight w:val="none"/>
              </w:rPr>
            </w:pPr>
            <w:r>
              <w:rPr>
                <w:rFonts w:hint="eastAsia" w:ascii="宋体" w:hAnsi="宋体" w:cs="宋体"/>
                <w:szCs w:val="24"/>
                <w:highlight w:val="none"/>
              </w:rPr>
              <w:t>2.1.3</w:t>
            </w:r>
          </w:p>
        </w:tc>
        <w:tc>
          <w:tcPr>
            <w:tcW w:w="718" w:type="dxa"/>
            <w:vMerge w:val="restart"/>
            <w:tcBorders>
              <w:top w:val="single" w:color="auto" w:sz="4" w:space="0"/>
              <w:left w:val="single" w:color="000000" w:sz="4" w:space="0"/>
              <w:bottom w:val="single" w:color="auto" w:sz="4" w:space="0"/>
              <w:right w:val="single" w:color="000000" w:sz="4" w:space="0"/>
            </w:tcBorders>
            <w:noWrap w:val="0"/>
            <w:vAlign w:val="center"/>
          </w:tcPr>
          <w:p w14:paraId="5C59A2C1">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szCs w:val="24"/>
                <w:highlight w:val="none"/>
              </w:rPr>
              <w:t>响应</w:t>
            </w:r>
            <w:r>
              <w:rPr>
                <w:rFonts w:hint="eastAsia" w:ascii="宋体" w:hAnsi="宋体" w:cs="宋体"/>
                <w:spacing w:val="-2"/>
                <w:szCs w:val="24"/>
                <w:highlight w:val="none"/>
              </w:rPr>
              <w:t>性</w:t>
            </w:r>
            <w:r>
              <w:rPr>
                <w:rFonts w:hint="eastAsia" w:ascii="宋体" w:hAnsi="宋体" w:cs="宋体"/>
                <w:szCs w:val="24"/>
                <w:highlight w:val="none"/>
              </w:rPr>
              <w:t>评审标准</w:t>
            </w: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74DC7466">
            <w:pPr>
              <w:pStyle w:val="31"/>
              <w:kinsoku w:val="0"/>
              <w:overflowPunct w:val="0"/>
              <w:jc w:val="center"/>
              <w:rPr>
                <w:rFonts w:hint="eastAsia" w:ascii="宋体" w:hAnsi="宋体" w:cs="宋体"/>
                <w:strike/>
                <w:color w:val="FF0000"/>
                <w:kern w:val="2"/>
                <w:sz w:val="24"/>
                <w:szCs w:val="24"/>
                <w:highlight w:val="none"/>
                <w:lang w:val="en-US" w:eastAsia="zh-CN" w:bidi="ar-SA"/>
              </w:rPr>
            </w:pPr>
            <w:r>
              <w:rPr>
                <w:rFonts w:hint="eastAsia" w:ascii="宋体" w:hAnsi="宋体" w:eastAsia="宋体" w:cs="宋体"/>
                <w:color w:val="auto"/>
                <w:sz w:val="24"/>
                <w:szCs w:val="24"/>
                <w:highlight w:val="none"/>
              </w:rPr>
              <w:t>投标报价</w:t>
            </w:r>
          </w:p>
        </w:tc>
        <w:tc>
          <w:tcPr>
            <w:tcW w:w="5828" w:type="dxa"/>
            <w:tcBorders>
              <w:top w:val="single" w:color="000000" w:sz="4" w:space="0"/>
              <w:left w:val="single" w:color="000000" w:sz="4" w:space="0"/>
              <w:bottom w:val="single" w:color="000000" w:sz="4" w:space="0"/>
              <w:right w:val="single" w:color="auto" w:sz="4" w:space="0"/>
            </w:tcBorders>
            <w:noWrap w:val="0"/>
            <w:vAlign w:val="center"/>
          </w:tcPr>
          <w:p w14:paraId="3B72DDBC">
            <w:pPr>
              <w:pStyle w:val="31"/>
              <w:kinsoku w:val="0"/>
              <w:overflowPunct w:val="0"/>
              <w:jc w:val="both"/>
              <w:rPr>
                <w:rFonts w:hint="eastAsia" w:ascii="宋体" w:hAnsi="宋体" w:cs="宋体"/>
                <w:strike/>
                <w:color w:val="FF0000"/>
                <w:kern w:val="2"/>
                <w:sz w:val="24"/>
                <w:szCs w:val="24"/>
                <w:highlight w:val="none"/>
                <w:lang w:val="en-US" w:eastAsia="zh-CN" w:bidi="ar-SA"/>
              </w:rPr>
            </w:pPr>
            <w:r>
              <w:rPr>
                <w:rFonts w:hint="eastAsia" w:ascii="宋体" w:hAnsi="宋体" w:eastAsia="宋体" w:cs="宋体"/>
                <w:color w:val="auto"/>
                <w:sz w:val="24"/>
                <w:szCs w:val="24"/>
                <w:highlight w:val="none"/>
              </w:rPr>
              <w:t>符合第二章“投标人须知”第3.2款规定</w:t>
            </w:r>
          </w:p>
        </w:tc>
      </w:tr>
      <w:tr w14:paraId="4B2A932D">
        <w:tblPrEx>
          <w:tblCellMar>
            <w:top w:w="0" w:type="dxa"/>
            <w:left w:w="0" w:type="dxa"/>
            <w:bottom w:w="0" w:type="dxa"/>
            <w:right w:w="0" w:type="dxa"/>
          </w:tblCellMar>
        </w:tblPrEx>
        <w:trPr>
          <w:trHeight w:val="654" w:hRule="atLeast"/>
          <w:jc w:val="center"/>
        </w:trPr>
        <w:tc>
          <w:tcPr>
            <w:tcW w:w="807" w:type="dxa"/>
            <w:vMerge w:val="continue"/>
            <w:tcBorders>
              <w:left w:val="single" w:color="auto" w:sz="4" w:space="0"/>
              <w:right w:val="single" w:color="000000" w:sz="4" w:space="0"/>
            </w:tcBorders>
            <w:noWrap w:val="0"/>
            <w:vAlign w:val="center"/>
          </w:tcPr>
          <w:p w14:paraId="08753FA4">
            <w:pPr>
              <w:autoSpaceDE w:val="0"/>
              <w:autoSpaceDN w:val="0"/>
              <w:snapToGrid w:val="0"/>
              <w:spacing w:line="240" w:lineRule="auto"/>
              <w:ind w:right="-20"/>
              <w:jc w:val="center"/>
              <w:rPr>
                <w:rFonts w:hint="eastAsia" w:ascii="宋体" w:hAnsi="宋体" w:cs="宋体"/>
                <w:szCs w:val="24"/>
                <w:highlight w:val="none"/>
              </w:rPr>
            </w:pPr>
          </w:p>
        </w:tc>
        <w:tc>
          <w:tcPr>
            <w:tcW w:w="718" w:type="dxa"/>
            <w:vMerge w:val="continue"/>
            <w:tcBorders>
              <w:left w:val="single" w:color="000000" w:sz="4" w:space="0"/>
              <w:right w:val="single" w:color="000000" w:sz="4" w:space="0"/>
            </w:tcBorders>
            <w:noWrap w:val="0"/>
            <w:vAlign w:val="center"/>
          </w:tcPr>
          <w:p w14:paraId="69B56358">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000000" w:sz="4" w:space="0"/>
              <w:left w:val="single" w:color="000000" w:sz="4" w:space="0"/>
              <w:right w:val="single" w:color="000000" w:sz="4" w:space="0"/>
            </w:tcBorders>
            <w:noWrap w:val="0"/>
            <w:vAlign w:val="center"/>
          </w:tcPr>
          <w:p w14:paraId="30BB9012">
            <w:pPr>
              <w:pStyle w:val="31"/>
              <w:kinsoku w:val="0"/>
              <w:overflowPunct w:val="0"/>
              <w:jc w:val="center"/>
              <w:rPr>
                <w:rFonts w:hint="eastAsia" w:ascii="宋体" w:hAnsi="宋体" w:cs="宋体"/>
                <w:szCs w:val="24"/>
                <w:highlight w:val="none"/>
              </w:rPr>
            </w:pPr>
            <w:r>
              <w:rPr>
                <w:rFonts w:hint="eastAsia" w:ascii="宋体" w:hAnsi="宋体" w:eastAsia="宋体" w:cs="宋体"/>
                <w:color w:val="auto"/>
                <w:sz w:val="24"/>
                <w:szCs w:val="24"/>
                <w:highlight w:val="none"/>
              </w:rPr>
              <w:t>投标内容</w:t>
            </w:r>
          </w:p>
        </w:tc>
        <w:tc>
          <w:tcPr>
            <w:tcW w:w="5828" w:type="dxa"/>
            <w:tcBorders>
              <w:top w:val="single" w:color="000000" w:sz="4" w:space="0"/>
              <w:left w:val="single" w:color="000000" w:sz="4" w:space="0"/>
              <w:bottom w:val="single" w:color="000000" w:sz="4" w:space="0"/>
              <w:right w:val="single" w:color="auto" w:sz="4" w:space="0"/>
            </w:tcBorders>
            <w:noWrap w:val="0"/>
            <w:vAlign w:val="center"/>
          </w:tcPr>
          <w:p w14:paraId="143B3062">
            <w:pPr>
              <w:pStyle w:val="31"/>
              <w:kinsoku w:val="0"/>
              <w:overflowPunct w:val="0"/>
              <w:jc w:val="both"/>
              <w:rPr>
                <w:rFonts w:hint="eastAsia" w:ascii="宋体" w:hAnsi="宋体" w:cs="宋体"/>
                <w:szCs w:val="24"/>
                <w:highlight w:val="none"/>
              </w:rPr>
            </w:pPr>
            <w:r>
              <w:rPr>
                <w:rFonts w:hint="eastAsia" w:ascii="宋体" w:hAnsi="宋体" w:eastAsia="宋体" w:cs="宋体"/>
                <w:color w:val="auto"/>
                <w:sz w:val="24"/>
                <w:szCs w:val="24"/>
                <w:highlight w:val="none"/>
              </w:rPr>
              <w:t>符合第二章“投标人须知”第1.3.1项规定</w:t>
            </w:r>
          </w:p>
        </w:tc>
      </w:tr>
      <w:tr w14:paraId="0C120CED">
        <w:tblPrEx>
          <w:tblCellMar>
            <w:top w:w="0" w:type="dxa"/>
            <w:left w:w="0" w:type="dxa"/>
            <w:bottom w:w="0" w:type="dxa"/>
            <w:right w:w="0" w:type="dxa"/>
          </w:tblCellMar>
        </w:tblPrEx>
        <w:trPr>
          <w:trHeight w:val="481" w:hRule="atLeast"/>
          <w:jc w:val="center"/>
        </w:trPr>
        <w:tc>
          <w:tcPr>
            <w:tcW w:w="807" w:type="dxa"/>
            <w:vMerge w:val="continue"/>
            <w:tcBorders>
              <w:top w:val="single" w:color="auto" w:sz="4" w:space="0"/>
              <w:left w:val="single" w:color="auto" w:sz="4" w:space="0"/>
              <w:bottom w:val="single" w:color="auto" w:sz="4" w:space="0"/>
              <w:right w:val="single" w:color="000000" w:sz="4" w:space="0"/>
            </w:tcBorders>
            <w:noWrap w:val="0"/>
            <w:vAlign w:val="top"/>
          </w:tcPr>
          <w:p w14:paraId="12B81EAD">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top w:val="single" w:color="auto" w:sz="4" w:space="0"/>
              <w:left w:val="single" w:color="000000" w:sz="4" w:space="0"/>
              <w:bottom w:val="single" w:color="auto" w:sz="4" w:space="0"/>
              <w:right w:val="single" w:color="000000" w:sz="4" w:space="0"/>
            </w:tcBorders>
            <w:noWrap w:val="0"/>
            <w:vAlign w:val="top"/>
          </w:tcPr>
          <w:p w14:paraId="5BD4A2C7">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6BF1D162">
            <w:pPr>
              <w:pStyle w:val="31"/>
              <w:kinsoku w:val="0"/>
              <w:overflowPunct w:val="0"/>
              <w:jc w:val="center"/>
              <w:rPr>
                <w:rFonts w:hint="eastAsia" w:ascii="宋体" w:hAnsi="宋体" w:cs="宋体"/>
                <w:szCs w:val="24"/>
                <w:highlight w:val="none"/>
                <w:u w:val="single"/>
              </w:rPr>
            </w:pPr>
            <w:r>
              <w:rPr>
                <w:rFonts w:hint="eastAsia" w:ascii="宋体" w:hAnsi="宋体" w:eastAsia="宋体" w:cs="宋体"/>
                <w:color w:val="auto"/>
                <w:sz w:val="24"/>
                <w:szCs w:val="24"/>
                <w:highlight w:val="none"/>
              </w:rPr>
              <w:t>服务期限</w:t>
            </w:r>
          </w:p>
        </w:tc>
        <w:tc>
          <w:tcPr>
            <w:tcW w:w="5828" w:type="dxa"/>
            <w:tcBorders>
              <w:top w:val="single" w:color="000000" w:sz="4" w:space="0"/>
              <w:left w:val="single" w:color="000000" w:sz="4" w:space="0"/>
              <w:bottom w:val="single" w:color="000000" w:sz="4" w:space="0"/>
              <w:right w:val="single" w:color="auto" w:sz="4" w:space="0"/>
            </w:tcBorders>
            <w:noWrap w:val="0"/>
            <w:vAlign w:val="center"/>
          </w:tcPr>
          <w:p w14:paraId="4326BAF7">
            <w:pPr>
              <w:pStyle w:val="31"/>
              <w:kinsoku w:val="0"/>
              <w:overflowPunct w:val="0"/>
              <w:jc w:val="both"/>
              <w:rPr>
                <w:rFonts w:hint="eastAsia" w:ascii="宋体" w:hAnsi="宋体" w:cs="宋体"/>
                <w:szCs w:val="24"/>
                <w:highlight w:val="none"/>
              </w:rPr>
            </w:pPr>
            <w:r>
              <w:rPr>
                <w:rFonts w:hint="eastAsia" w:ascii="宋体" w:hAnsi="宋体" w:eastAsia="宋体" w:cs="宋体"/>
                <w:color w:val="auto"/>
                <w:sz w:val="24"/>
                <w:szCs w:val="24"/>
                <w:highlight w:val="none"/>
              </w:rPr>
              <w:t>符合第二章“投标人须知”第1.3.2项规定</w:t>
            </w:r>
          </w:p>
        </w:tc>
      </w:tr>
      <w:tr w14:paraId="5EDE9643">
        <w:tblPrEx>
          <w:tblCellMar>
            <w:top w:w="0" w:type="dxa"/>
            <w:left w:w="0" w:type="dxa"/>
            <w:bottom w:w="0" w:type="dxa"/>
            <w:right w:w="0" w:type="dxa"/>
          </w:tblCellMar>
        </w:tblPrEx>
        <w:trPr>
          <w:trHeight w:val="653" w:hRule="atLeast"/>
          <w:jc w:val="center"/>
        </w:trPr>
        <w:tc>
          <w:tcPr>
            <w:tcW w:w="807" w:type="dxa"/>
            <w:vMerge w:val="continue"/>
            <w:tcBorders>
              <w:top w:val="single" w:color="auto" w:sz="4" w:space="0"/>
              <w:left w:val="single" w:color="auto" w:sz="4" w:space="0"/>
              <w:bottom w:val="single" w:color="auto" w:sz="4" w:space="0"/>
              <w:right w:val="single" w:color="000000" w:sz="4" w:space="0"/>
            </w:tcBorders>
            <w:noWrap w:val="0"/>
            <w:vAlign w:val="top"/>
          </w:tcPr>
          <w:p w14:paraId="79ADC26D">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top w:val="single" w:color="auto" w:sz="4" w:space="0"/>
              <w:left w:val="single" w:color="000000" w:sz="4" w:space="0"/>
              <w:bottom w:val="single" w:color="auto" w:sz="4" w:space="0"/>
              <w:right w:val="single" w:color="000000" w:sz="4" w:space="0"/>
            </w:tcBorders>
            <w:noWrap w:val="0"/>
            <w:vAlign w:val="top"/>
          </w:tcPr>
          <w:p w14:paraId="0193B8D5">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C80055D">
            <w:pPr>
              <w:pStyle w:val="31"/>
              <w:kinsoku w:val="0"/>
              <w:overflowPunct w:val="0"/>
              <w:jc w:val="center"/>
              <w:rPr>
                <w:rFonts w:hint="eastAsia" w:ascii="宋体" w:hAnsi="宋体" w:cs="宋体"/>
                <w:szCs w:val="24"/>
                <w:highlight w:val="none"/>
              </w:rPr>
            </w:pPr>
            <w:r>
              <w:rPr>
                <w:rFonts w:hint="eastAsia" w:ascii="宋体" w:hAnsi="宋体" w:eastAsia="宋体" w:cs="宋体"/>
                <w:color w:val="auto"/>
                <w:sz w:val="24"/>
                <w:szCs w:val="24"/>
                <w:highlight w:val="none"/>
              </w:rPr>
              <w:t>质量标准</w:t>
            </w:r>
          </w:p>
        </w:tc>
        <w:tc>
          <w:tcPr>
            <w:tcW w:w="5828" w:type="dxa"/>
            <w:tcBorders>
              <w:top w:val="single" w:color="000000" w:sz="4" w:space="0"/>
              <w:left w:val="single" w:color="000000" w:sz="4" w:space="0"/>
              <w:bottom w:val="single" w:color="000000" w:sz="4" w:space="0"/>
              <w:right w:val="single" w:color="auto" w:sz="4" w:space="0"/>
            </w:tcBorders>
            <w:noWrap w:val="0"/>
            <w:vAlign w:val="center"/>
          </w:tcPr>
          <w:p w14:paraId="21964344">
            <w:pPr>
              <w:pStyle w:val="31"/>
              <w:kinsoku w:val="0"/>
              <w:overflowPunct w:val="0"/>
              <w:jc w:val="both"/>
              <w:rPr>
                <w:rFonts w:hint="eastAsia" w:ascii="宋体" w:hAnsi="宋体" w:cs="宋体"/>
                <w:szCs w:val="24"/>
                <w:highlight w:val="none"/>
              </w:rPr>
            </w:pPr>
            <w:r>
              <w:rPr>
                <w:rFonts w:hint="eastAsia" w:ascii="宋体" w:hAnsi="宋体" w:eastAsia="宋体" w:cs="宋体"/>
                <w:color w:val="auto"/>
                <w:sz w:val="24"/>
                <w:szCs w:val="24"/>
                <w:highlight w:val="none"/>
              </w:rPr>
              <w:t>符合第二章“投标人须知”第1.3.3项规定</w:t>
            </w:r>
          </w:p>
        </w:tc>
      </w:tr>
      <w:tr w14:paraId="7750734D">
        <w:tblPrEx>
          <w:tblCellMar>
            <w:top w:w="0" w:type="dxa"/>
            <w:left w:w="0" w:type="dxa"/>
            <w:bottom w:w="0" w:type="dxa"/>
            <w:right w:w="0" w:type="dxa"/>
          </w:tblCellMar>
        </w:tblPrEx>
        <w:trPr>
          <w:trHeight w:val="558" w:hRule="atLeast"/>
          <w:jc w:val="center"/>
        </w:trPr>
        <w:tc>
          <w:tcPr>
            <w:tcW w:w="807" w:type="dxa"/>
            <w:vMerge w:val="continue"/>
            <w:tcBorders>
              <w:top w:val="single" w:color="auto" w:sz="4" w:space="0"/>
              <w:left w:val="single" w:color="auto" w:sz="4" w:space="0"/>
              <w:bottom w:val="single" w:color="auto" w:sz="4" w:space="0"/>
              <w:right w:val="single" w:color="000000" w:sz="4" w:space="0"/>
            </w:tcBorders>
            <w:noWrap w:val="0"/>
            <w:vAlign w:val="top"/>
          </w:tcPr>
          <w:p w14:paraId="3A209AD7">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top w:val="single" w:color="auto" w:sz="4" w:space="0"/>
              <w:left w:val="single" w:color="000000" w:sz="4" w:space="0"/>
              <w:bottom w:val="single" w:color="auto" w:sz="4" w:space="0"/>
              <w:right w:val="single" w:color="000000" w:sz="4" w:space="0"/>
            </w:tcBorders>
            <w:noWrap w:val="0"/>
            <w:vAlign w:val="top"/>
          </w:tcPr>
          <w:p w14:paraId="40DAFDAE">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BFC4BE5">
            <w:pPr>
              <w:pStyle w:val="31"/>
              <w:kinsoku w:val="0"/>
              <w:overflowPunct w:val="0"/>
              <w:jc w:val="center"/>
              <w:rPr>
                <w:rFonts w:hint="eastAsia" w:ascii="宋体" w:hAnsi="宋体" w:cs="宋体"/>
                <w:szCs w:val="24"/>
                <w:highlight w:val="none"/>
              </w:rPr>
            </w:pPr>
            <w:r>
              <w:rPr>
                <w:rFonts w:hint="eastAsia" w:ascii="宋体" w:hAnsi="宋体" w:eastAsia="宋体" w:cs="宋体"/>
                <w:color w:val="auto"/>
                <w:sz w:val="24"/>
                <w:szCs w:val="24"/>
                <w:highlight w:val="none"/>
              </w:rPr>
              <w:t>投标有效期</w:t>
            </w:r>
          </w:p>
        </w:tc>
        <w:tc>
          <w:tcPr>
            <w:tcW w:w="5828" w:type="dxa"/>
            <w:tcBorders>
              <w:top w:val="single" w:color="000000" w:sz="4" w:space="0"/>
              <w:left w:val="single" w:color="000000" w:sz="4" w:space="0"/>
              <w:bottom w:val="single" w:color="000000" w:sz="4" w:space="0"/>
              <w:right w:val="single" w:color="auto" w:sz="4" w:space="0"/>
            </w:tcBorders>
            <w:noWrap w:val="0"/>
            <w:vAlign w:val="center"/>
          </w:tcPr>
          <w:p w14:paraId="61389B48">
            <w:pPr>
              <w:pStyle w:val="31"/>
              <w:kinsoku w:val="0"/>
              <w:overflowPunct w:val="0"/>
              <w:jc w:val="both"/>
              <w:rPr>
                <w:rFonts w:hint="eastAsia" w:ascii="宋体" w:hAnsi="宋体" w:cs="宋体"/>
                <w:szCs w:val="24"/>
                <w:highlight w:val="none"/>
              </w:rPr>
            </w:pPr>
            <w:r>
              <w:rPr>
                <w:rFonts w:hint="eastAsia" w:ascii="宋体" w:hAnsi="宋体" w:eastAsia="宋体" w:cs="宋体"/>
                <w:color w:val="auto"/>
                <w:sz w:val="24"/>
                <w:szCs w:val="24"/>
                <w:highlight w:val="none"/>
              </w:rPr>
              <w:t>符合第二章“投标人须知”第3.3.1项规定</w:t>
            </w:r>
          </w:p>
        </w:tc>
      </w:tr>
      <w:tr w14:paraId="30ABF637">
        <w:tblPrEx>
          <w:tblCellMar>
            <w:top w:w="0" w:type="dxa"/>
            <w:left w:w="0" w:type="dxa"/>
            <w:bottom w:w="0" w:type="dxa"/>
            <w:right w:w="0" w:type="dxa"/>
          </w:tblCellMar>
        </w:tblPrEx>
        <w:trPr>
          <w:trHeight w:val="558" w:hRule="atLeast"/>
          <w:jc w:val="center"/>
        </w:trPr>
        <w:tc>
          <w:tcPr>
            <w:tcW w:w="807" w:type="dxa"/>
            <w:vMerge w:val="continue"/>
            <w:tcBorders>
              <w:top w:val="single" w:color="auto" w:sz="4" w:space="0"/>
              <w:left w:val="single" w:color="auto" w:sz="4" w:space="0"/>
              <w:bottom w:val="single" w:color="auto" w:sz="4" w:space="0"/>
              <w:right w:val="single" w:color="000000" w:sz="4" w:space="0"/>
            </w:tcBorders>
            <w:noWrap w:val="0"/>
            <w:vAlign w:val="top"/>
          </w:tcPr>
          <w:p w14:paraId="6E4B601F">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top w:val="single" w:color="auto" w:sz="4" w:space="0"/>
              <w:left w:val="single" w:color="000000" w:sz="4" w:space="0"/>
              <w:bottom w:val="single" w:color="auto" w:sz="4" w:space="0"/>
              <w:right w:val="single" w:color="000000" w:sz="4" w:space="0"/>
            </w:tcBorders>
            <w:noWrap w:val="0"/>
            <w:vAlign w:val="top"/>
          </w:tcPr>
          <w:p w14:paraId="68DED7C9">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000000" w:sz="4" w:space="0"/>
              <w:left w:val="single" w:color="000000" w:sz="4" w:space="0"/>
              <w:bottom w:val="single" w:color="000000" w:sz="4" w:space="0"/>
              <w:right w:val="single" w:color="000000" w:sz="4" w:space="0"/>
            </w:tcBorders>
            <w:noWrap w:val="0"/>
            <w:vAlign w:val="center"/>
          </w:tcPr>
          <w:p w14:paraId="33106D0E">
            <w:pPr>
              <w:pStyle w:val="31"/>
              <w:kinsoku w:val="0"/>
              <w:overflowPunct w:val="0"/>
              <w:jc w:val="center"/>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投标保证金</w:t>
            </w:r>
          </w:p>
        </w:tc>
        <w:tc>
          <w:tcPr>
            <w:tcW w:w="5828" w:type="dxa"/>
            <w:tcBorders>
              <w:top w:val="single" w:color="000000" w:sz="4" w:space="0"/>
              <w:left w:val="single" w:color="000000" w:sz="4" w:space="0"/>
              <w:bottom w:val="single" w:color="000000" w:sz="4" w:space="0"/>
              <w:right w:val="single" w:color="auto" w:sz="4" w:space="0"/>
            </w:tcBorders>
            <w:noWrap w:val="0"/>
            <w:vAlign w:val="center"/>
          </w:tcPr>
          <w:p w14:paraId="6C9BEED9">
            <w:pPr>
              <w:pStyle w:val="31"/>
              <w:kinsoku w:val="0"/>
              <w:overflowPunct w:val="0"/>
              <w:jc w:val="both"/>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符合第二章“投标人须知”第3.4.1项规定</w:t>
            </w:r>
          </w:p>
        </w:tc>
      </w:tr>
      <w:tr w14:paraId="58CB1A47">
        <w:tblPrEx>
          <w:tblCellMar>
            <w:top w:w="0" w:type="dxa"/>
            <w:left w:w="0" w:type="dxa"/>
            <w:bottom w:w="0" w:type="dxa"/>
            <w:right w:w="0" w:type="dxa"/>
          </w:tblCellMar>
        </w:tblPrEx>
        <w:trPr>
          <w:jc w:val="center"/>
        </w:trPr>
        <w:tc>
          <w:tcPr>
            <w:tcW w:w="807" w:type="dxa"/>
            <w:vMerge w:val="continue"/>
            <w:tcBorders>
              <w:top w:val="single" w:color="auto" w:sz="4" w:space="0"/>
              <w:left w:val="single" w:color="auto" w:sz="4" w:space="0"/>
              <w:bottom w:val="single" w:color="auto" w:sz="4" w:space="0"/>
              <w:right w:val="single" w:color="000000" w:sz="4" w:space="0"/>
            </w:tcBorders>
            <w:noWrap w:val="0"/>
            <w:vAlign w:val="top"/>
          </w:tcPr>
          <w:p w14:paraId="24790F89">
            <w:pPr>
              <w:autoSpaceDE w:val="0"/>
              <w:autoSpaceDN w:val="0"/>
              <w:snapToGrid w:val="0"/>
              <w:spacing w:before="0" w:line="240" w:lineRule="auto"/>
              <w:ind w:left="102" w:right="-20"/>
              <w:rPr>
                <w:rFonts w:hint="eastAsia" w:ascii="宋体" w:hAnsi="宋体" w:cs="宋体"/>
                <w:szCs w:val="24"/>
                <w:highlight w:val="none"/>
              </w:rPr>
            </w:pPr>
          </w:p>
        </w:tc>
        <w:tc>
          <w:tcPr>
            <w:tcW w:w="718" w:type="dxa"/>
            <w:vMerge w:val="continue"/>
            <w:tcBorders>
              <w:top w:val="single" w:color="auto" w:sz="4" w:space="0"/>
              <w:left w:val="single" w:color="000000" w:sz="4" w:space="0"/>
              <w:bottom w:val="single" w:color="auto" w:sz="4" w:space="0"/>
              <w:right w:val="single" w:color="000000" w:sz="4" w:space="0"/>
            </w:tcBorders>
            <w:noWrap w:val="0"/>
            <w:vAlign w:val="top"/>
          </w:tcPr>
          <w:p w14:paraId="0942F714">
            <w:pPr>
              <w:autoSpaceDE w:val="0"/>
              <w:autoSpaceDN w:val="0"/>
              <w:snapToGrid w:val="0"/>
              <w:spacing w:before="0" w:line="240" w:lineRule="auto"/>
              <w:ind w:left="102" w:right="-20"/>
              <w:rPr>
                <w:rFonts w:hint="eastAsia" w:ascii="宋体" w:hAnsi="宋体" w:cs="宋体"/>
                <w:szCs w:val="24"/>
                <w:highlight w:val="none"/>
              </w:rPr>
            </w:pPr>
          </w:p>
        </w:tc>
        <w:tc>
          <w:tcPr>
            <w:tcW w:w="2435" w:type="dxa"/>
            <w:tcBorders>
              <w:top w:val="single" w:color="auto" w:sz="4" w:space="0"/>
              <w:left w:val="single" w:color="000000" w:sz="4" w:space="0"/>
              <w:bottom w:val="single" w:color="000000" w:sz="4" w:space="0"/>
              <w:right w:val="single" w:color="000000" w:sz="4" w:space="0"/>
            </w:tcBorders>
            <w:noWrap w:val="0"/>
            <w:vAlign w:val="center"/>
          </w:tcPr>
          <w:p w14:paraId="1D0ECF26">
            <w:pPr>
              <w:pStyle w:val="31"/>
              <w:kinsoku w:val="0"/>
              <w:overflowPunct w:val="0"/>
              <w:jc w:val="center"/>
              <w:rPr>
                <w:rFonts w:hint="eastAsia" w:ascii="宋体" w:hAnsi="宋体" w:cs="宋体"/>
                <w:szCs w:val="24"/>
                <w:highlight w:val="none"/>
              </w:rPr>
            </w:pPr>
            <w:r>
              <w:rPr>
                <w:rFonts w:hint="eastAsia" w:ascii="宋体" w:hAnsi="宋体" w:eastAsia="宋体" w:cs="宋体"/>
                <w:color w:val="auto"/>
                <w:sz w:val="24"/>
                <w:szCs w:val="24"/>
                <w:highlight w:val="none"/>
                <w:u w:val="none"/>
              </w:rPr>
              <w:t>串通投标情形</w:t>
            </w:r>
          </w:p>
        </w:tc>
        <w:tc>
          <w:tcPr>
            <w:tcW w:w="5828" w:type="dxa"/>
            <w:tcBorders>
              <w:top w:val="single" w:color="auto" w:sz="4" w:space="0"/>
              <w:left w:val="single" w:color="000000" w:sz="4" w:space="0"/>
              <w:bottom w:val="single" w:color="000000" w:sz="4" w:space="0"/>
              <w:right w:val="single" w:color="000000" w:sz="4" w:space="0"/>
            </w:tcBorders>
            <w:noWrap w:val="0"/>
            <w:vAlign w:val="center"/>
          </w:tcPr>
          <w:p w14:paraId="3FF93B44">
            <w:pPr>
              <w:pStyle w:val="31"/>
              <w:kinsoku w:val="0"/>
              <w:overflowPunct w:val="0"/>
              <w:jc w:val="both"/>
              <w:rPr>
                <w:rFonts w:hint="eastAsia" w:ascii="宋体" w:hAnsi="宋体" w:cs="宋体"/>
                <w:szCs w:val="24"/>
                <w:highlight w:val="none"/>
              </w:rPr>
            </w:pPr>
            <w:r>
              <w:rPr>
                <w:rFonts w:hint="eastAsia" w:ascii="宋体" w:hAnsi="宋体" w:eastAsia="宋体" w:cs="宋体"/>
                <w:color w:val="auto"/>
                <w:sz w:val="24"/>
                <w:szCs w:val="24"/>
                <w:highlight w:val="none"/>
                <w:u w:val="none"/>
              </w:rPr>
              <w:t>不存在串通投标情形，且投标人之间不存在《广东省实施&lt;中华人民共和国招标投标法&gt;》第十六条所禁止的情形</w:t>
            </w:r>
          </w:p>
        </w:tc>
      </w:tr>
      <w:tr w14:paraId="4C87D88A">
        <w:tblPrEx>
          <w:tblCellMar>
            <w:top w:w="0" w:type="dxa"/>
            <w:left w:w="0" w:type="dxa"/>
            <w:bottom w:w="0" w:type="dxa"/>
            <w:right w:w="0" w:type="dxa"/>
          </w:tblCellMar>
        </w:tblPrEx>
        <w:trPr>
          <w:trHeight w:val="1560" w:hRule="atLeast"/>
          <w:jc w:val="center"/>
        </w:trPr>
        <w:tc>
          <w:tcPr>
            <w:tcW w:w="1525" w:type="dxa"/>
            <w:gridSpan w:val="2"/>
            <w:tcBorders>
              <w:top w:val="single" w:color="auto" w:sz="4" w:space="0"/>
              <w:left w:val="single" w:color="000000" w:sz="4" w:space="0"/>
              <w:bottom w:val="single" w:color="auto" w:sz="4" w:space="0"/>
              <w:right w:val="single" w:color="000000" w:sz="4" w:space="0"/>
            </w:tcBorders>
            <w:noWrap w:val="0"/>
            <w:vAlign w:val="center"/>
          </w:tcPr>
          <w:p w14:paraId="6BF3E5E8">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szCs w:val="24"/>
                <w:highlight w:val="none"/>
              </w:rPr>
              <w:t>2.2.1</w:t>
            </w:r>
          </w:p>
        </w:tc>
        <w:tc>
          <w:tcPr>
            <w:tcW w:w="2435" w:type="dxa"/>
            <w:tcBorders>
              <w:top w:val="single" w:color="000000" w:sz="4" w:space="0"/>
              <w:left w:val="single" w:color="000000" w:sz="4" w:space="0"/>
              <w:bottom w:val="single" w:color="auto" w:sz="4" w:space="0"/>
              <w:right w:val="single" w:color="000000" w:sz="4" w:space="0"/>
            </w:tcBorders>
            <w:noWrap w:val="0"/>
            <w:vAlign w:val="center"/>
          </w:tcPr>
          <w:p w14:paraId="4B20913A">
            <w:pPr>
              <w:spacing w:line="240" w:lineRule="auto"/>
              <w:jc w:val="center"/>
              <w:rPr>
                <w:rFonts w:hint="eastAsia" w:ascii="宋体" w:hAnsi="宋体" w:cs="宋体"/>
                <w:highlight w:val="none"/>
              </w:rPr>
            </w:pPr>
            <w:r>
              <w:rPr>
                <w:rFonts w:hint="eastAsia" w:ascii="宋体" w:hAnsi="宋体" w:cs="宋体"/>
                <w:highlight w:val="none"/>
              </w:rPr>
              <w:t>分值构成</w:t>
            </w:r>
          </w:p>
          <w:p w14:paraId="444D2E55">
            <w:pPr>
              <w:spacing w:line="240" w:lineRule="auto"/>
              <w:jc w:val="center"/>
              <w:rPr>
                <w:rFonts w:hint="eastAsia" w:ascii="宋体" w:hAnsi="宋体" w:cs="宋体"/>
                <w:highlight w:val="none"/>
              </w:rPr>
            </w:pPr>
            <w:r>
              <w:rPr>
                <w:rFonts w:hint="eastAsia" w:ascii="宋体" w:hAnsi="宋体" w:cs="宋体"/>
                <w:highlight w:val="none"/>
              </w:rPr>
              <w:t>(总分 100 分)</w:t>
            </w:r>
          </w:p>
        </w:tc>
        <w:tc>
          <w:tcPr>
            <w:tcW w:w="5828" w:type="dxa"/>
            <w:tcBorders>
              <w:top w:val="single" w:color="000000" w:sz="4" w:space="0"/>
              <w:left w:val="single" w:color="000000" w:sz="4" w:space="0"/>
              <w:bottom w:val="single" w:color="auto" w:sz="4" w:space="0"/>
              <w:right w:val="single" w:color="000000" w:sz="4" w:space="0"/>
            </w:tcBorders>
            <w:noWrap w:val="0"/>
            <w:vAlign w:val="center"/>
          </w:tcPr>
          <w:p w14:paraId="7ECDAA5B">
            <w:pPr>
              <w:spacing w:line="240" w:lineRule="auto"/>
              <w:rPr>
                <w:rFonts w:hint="default" w:eastAsia="宋体" w:cs="宋体"/>
                <w:sz w:val="24"/>
                <w:highlight w:val="none"/>
                <w:lang w:val="en-US" w:eastAsia="zh-CN"/>
              </w:rPr>
            </w:pPr>
            <w:r>
              <w:rPr>
                <w:rFonts w:hint="eastAsia" w:cs="宋体"/>
                <w:sz w:val="24"/>
                <w:highlight w:val="none"/>
              </w:rPr>
              <w:t>投标人总得分：100分</w:t>
            </w:r>
            <w:r>
              <w:rPr>
                <w:rFonts w:hint="eastAsia" w:cs="宋体"/>
                <w:sz w:val="24"/>
                <w:highlight w:val="none"/>
                <w:lang w:eastAsia="zh-CN"/>
              </w:rPr>
              <w:t>，</w:t>
            </w:r>
            <w:r>
              <w:rPr>
                <w:rFonts w:hint="eastAsia" w:cs="宋体"/>
                <w:sz w:val="24"/>
                <w:highlight w:val="none"/>
                <w:lang w:val="en-US" w:eastAsia="zh-CN"/>
              </w:rPr>
              <w:t>其中：</w:t>
            </w:r>
          </w:p>
          <w:p w14:paraId="35D6FF76">
            <w:pPr>
              <w:spacing w:line="240" w:lineRule="auto"/>
              <w:rPr>
                <w:rFonts w:hint="eastAsia" w:cs="宋体"/>
                <w:sz w:val="24"/>
                <w:highlight w:val="none"/>
              </w:rPr>
            </w:pPr>
            <w:r>
              <w:rPr>
                <w:rFonts w:hint="eastAsia" w:cs="宋体"/>
                <w:sz w:val="24"/>
                <w:highlight w:val="none"/>
                <w:lang w:val="en-US" w:eastAsia="zh-CN"/>
              </w:rPr>
              <w:t>1、</w:t>
            </w:r>
            <w:r>
              <w:rPr>
                <w:rFonts w:hint="eastAsia" w:cs="宋体"/>
                <w:sz w:val="24"/>
                <w:highlight w:val="none"/>
              </w:rPr>
              <w:t>资信业绩部分：45分 </w:t>
            </w:r>
          </w:p>
          <w:p w14:paraId="16496C2A">
            <w:pPr>
              <w:spacing w:line="240" w:lineRule="auto"/>
              <w:rPr>
                <w:rFonts w:hint="eastAsia" w:cs="宋体"/>
                <w:sz w:val="24"/>
                <w:highlight w:val="none"/>
              </w:rPr>
            </w:pPr>
            <w:r>
              <w:rPr>
                <w:rFonts w:hint="eastAsia" w:cs="宋体"/>
                <w:sz w:val="24"/>
                <w:highlight w:val="none"/>
                <w:lang w:val="en-US" w:eastAsia="zh-CN"/>
              </w:rPr>
              <w:t>2、</w:t>
            </w:r>
            <w:r>
              <w:rPr>
                <w:rFonts w:hint="eastAsia" w:cs="宋体"/>
                <w:sz w:val="24"/>
                <w:highlight w:val="none"/>
              </w:rPr>
              <w:t>监理大纲部分：45分 </w:t>
            </w:r>
          </w:p>
          <w:p w14:paraId="2526233C">
            <w:pPr>
              <w:spacing w:line="240" w:lineRule="auto"/>
              <w:rPr>
                <w:rFonts w:hint="eastAsia" w:cs="宋体"/>
                <w:sz w:val="24"/>
                <w:highlight w:val="none"/>
              </w:rPr>
            </w:pPr>
            <w:r>
              <w:rPr>
                <w:rFonts w:hint="eastAsia" w:cs="宋体"/>
                <w:sz w:val="24"/>
                <w:highlight w:val="none"/>
                <w:lang w:val="en-US" w:eastAsia="zh-CN"/>
              </w:rPr>
              <w:t>3、</w:t>
            </w:r>
            <w:r>
              <w:rPr>
                <w:rFonts w:hint="eastAsia" w:cs="宋体"/>
                <w:sz w:val="24"/>
                <w:highlight w:val="none"/>
              </w:rPr>
              <w:t>投标报价：10分</w:t>
            </w:r>
          </w:p>
          <w:p w14:paraId="128C9CFA">
            <w:pPr>
              <w:spacing w:line="240" w:lineRule="auto"/>
              <w:rPr>
                <w:rFonts w:hint="eastAsia" w:cs="宋体"/>
                <w:sz w:val="24"/>
                <w:highlight w:val="none"/>
              </w:rPr>
            </w:pPr>
            <w:r>
              <w:rPr>
                <w:rFonts w:hint="eastAsia" w:cs="宋体"/>
                <w:sz w:val="24"/>
                <w:highlight w:val="none"/>
              </w:rPr>
              <w:t>投标人综合得分=资信业绩部分得分+监理大纲部分得分+投标报价得分；监理大纲部分得分为各评委评分的算术平均分（分数出现小数点时，保留小数点后二位，第三位小数四舍五入）。</w:t>
            </w:r>
          </w:p>
        </w:tc>
      </w:tr>
      <w:tr w14:paraId="17008F9C">
        <w:tblPrEx>
          <w:tblCellMar>
            <w:top w:w="0" w:type="dxa"/>
            <w:left w:w="0" w:type="dxa"/>
            <w:bottom w:w="0" w:type="dxa"/>
            <w:right w:w="0" w:type="dxa"/>
          </w:tblCellMar>
        </w:tblPrEx>
        <w:trPr>
          <w:trHeight w:val="1558" w:hRule="atLeast"/>
          <w:jc w:val="center"/>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09316298">
            <w:pPr>
              <w:autoSpaceDE w:val="0"/>
              <w:autoSpaceDN w:val="0"/>
              <w:snapToGrid w:val="0"/>
              <w:spacing w:line="240" w:lineRule="auto"/>
              <w:ind w:left="32" w:right="6"/>
              <w:jc w:val="center"/>
              <w:rPr>
                <w:rFonts w:hint="eastAsia" w:ascii="宋体" w:hAnsi="宋体" w:cs="宋体"/>
                <w:szCs w:val="24"/>
                <w:highlight w:val="none"/>
              </w:rPr>
            </w:pPr>
            <w:r>
              <w:rPr>
                <w:rFonts w:hint="eastAsia" w:ascii="宋体" w:hAnsi="宋体" w:cs="宋体"/>
                <w:szCs w:val="24"/>
                <w:highlight w:val="none"/>
              </w:rPr>
              <w:t>2.2.2</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1853453">
            <w:pPr>
              <w:autoSpaceDE w:val="0"/>
              <w:autoSpaceDN w:val="0"/>
              <w:snapToGrid w:val="0"/>
              <w:spacing w:before="0" w:line="240" w:lineRule="auto"/>
              <w:ind w:left="-6" w:right="-20"/>
              <w:jc w:val="center"/>
              <w:rPr>
                <w:rFonts w:hint="eastAsia" w:ascii="宋体" w:hAnsi="宋体" w:cs="宋体"/>
                <w:szCs w:val="24"/>
                <w:highlight w:val="none"/>
              </w:rPr>
            </w:pPr>
            <w:r>
              <w:rPr>
                <w:rFonts w:hint="eastAsia" w:ascii="宋体" w:hAnsi="宋体" w:cs="宋体"/>
                <w:szCs w:val="24"/>
                <w:highlight w:val="none"/>
              </w:rPr>
              <w:t>评标基准价计算</w:t>
            </w:r>
          </w:p>
          <w:p w14:paraId="3AC1BD7D">
            <w:pPr>
              <w:autoSpaceDE w:val="0"/>
              <w:autoSpaceDN w:val="0"/>
              <w:snapToGrid w:val="0"/>
              <w:spacing w:before="0" w:line="240" w:lineRule="auto"/>
              <w:ind w:left="-6" w:right="-20"/>
              <w:jc w:val="center"/>
              <w:rPr>
                <w:rFonts w:hint="eastAsia" w:ascii="宋体" w:hAnsi="宋体" w:cs="宋体"/>
                <w:szCs w:val="24"/>
                <w:highlight w:val="none"/>
              </w:rPr>
            </w:pPr>
            <w:r>
              <w:rPr>
                <w:rFonts w:hint="eastAsia" w:ascii="宋体" w:hAnsi="宋体" w:cs="宋体"/>
                <w:szCs w:val="24"/>
                <w:highlight w:val="none"/>
              </w:rPr>
              <w:t>方法</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6957FB72">
            <w:pPr>
              <w:autoSpaceDE w:val="0"/>
              <w:autoSpaceDN w:val="0"/>
              <w:snapToGrid w:val="0"/>
              <w:spacing w:line="240" w:lineRule="auto"/>
              <w:ind w:left="77" w:leftChars="32" w:right="86" w:rightChars="36"/>
              <w:rPr>
                <w:rFonts w:hint="eastAsia" w:ascii="宋体" w:hAnsi="宋体" w:cs="宋体"/>
                <w:color w:val="auto"/>
                <w:szCs w:val="24"/>
                <w:highlight w:val="none"/>
              </w:rPr>
            </w:pPr>
            <w:r>
              <w:rPr>
                <w:rFonts w:hint="eastAsia" w:ascii="宋体" w:hAnsi="宋体" w:cs="宋体"/>
                <w:color w:val="auto"/>
                <w:szCs w:val="24"/>
                <w:highlight w:val="none"/>
              </w:rPr>
              <w:t>（1）当通过形式评审、资格评审、响应性评审且投标总报价处于计算评标基准价的有效投标价范围内的有效投标人大于5家时，去掉一个最高价和一个最低价，取余下有效报价的算术平均值作为报价基准价。（保留小数点后二位，第三位小数四舍五入）</w:t>
            </w:r>
          </w:p>
          <w:p w14:paraId="6B472472">
            <w:pPr>
              <w:autoSpaceDE w:val="0"/>
              <w:autoSpaceDN w:val="0"/>
              <w:snapToGrid w:val="0"/>
              <w:spacing w:line="240" w:lineRule="auto"/>
              <w:ind w:left="77" w:leftChars="32" w:right="86" w:rightChars="36"/>
              <w:rPr>
                <w:rFonts w:hint="eastAsia" w:ascii="宋体" w:hAnsi="宋体" w:cs="宋体"/>
                <w:color w:val="auto"/>
                <w:szCs w:val="24"/>
                <w:highlight w:val="none"/>
              </w:rPr>
            </w:pPr>
            <w:r>
              <w:rPr>
                <w:rFonts w:hint="eastAsia" w:ascii="宋体" w:hAnsi="宋体" w:cs="宋体"/>
                <w:color w:val="auto"/>
                <w:szCs w:val="24"/>
                <w:highlight w:val="none"/>
              </w:rPr>
              <w:t>（2）当通过形式评审、资格评审、响应性评审且投标总报价处于计算评标基准价的有效投标价范围内的有效投标人小于或等于5家时，取所有入围有效报价的算术平均值作为报价基准价（保留小数点后二位，第三位小数四舍五入）</w:t>
            </w:r>
          </w:p>
          <w:p w14:paraId="7F264668">
            <w:pPr>
              <w:autoSpaceDE w:val="0"/>
              <w:autoSpaceDN w:val="0"/>
              <w:snapToGrid w:val="0"/>
              <w:spacing w:line="240" w:lineRule="auto"/>
              <w:ind w:left="77" w:leftChars="32" w:right="86" w:rightChars="36"/>
              <w:rPr>
                <w:rFonts w:hint="eastAsia" w:ascii="宋体" w:hAnsi="宋体" w:cs="宋体"/>
                <w:szCs w:val="24"/>
                <w:highlight w:val="none"/>
              </w:rPr>
            </w:pPr>
            <w:r>
              <w:rPr>
                <w:rFonts w:hint="eastAsia" w:ascii="宋体" w:hAnsi="宋体" w:cs="宋体"/>
                <w:color w:val="auto"/>
                <w:szCs w:val="24"/>
                <w:highlight w:val="none"/>
              </w:rPr>
              <w:t>（3）计算评标基准价的有效投标价范围为[最高投标限价×90%，最高投标限价]，超过此范围的投标总报价不参与评标基准价的计算。用于计算评标基准价的投标总报价均为经算术复核后的投标总报价。</w:t>
            </w:r>
          </w:p>
        </w:tc>
      </w:tr>
      <w:tr w14:paraId="74E5ADC7">
        <w:tblPrEx>
          <w:tblCellMar>
            <w:top w:w="0" w:type="dxa"/>
            <w:left w:w="0" w:type="dxa"/>
            <w:bottom w:w="0" w:type="dxa"/>
            <w:right w:w="0" w:type="dxa"/>
          </w:tblCellMar>
        </w:tblPrEx>
        <w:trPr>
          <w:trHeight w:val="1232" w:hRule="atLeast"/>
          <w:jc w:val="center"/>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38D7DF95">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szCs w:val="24"/>
                <w:highlight w:val="none"/>
              </w:rPr>
              <w:t>2.2.3</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D9B3EFA">
            <w:pPr>
              <w:tabs>
                <w:tab w:val="left" w:pos="2403"/>
              </w:tabs>
              <w:autoSpaceDE w:val="0"/>
              <w:autoSpaceDN w:val="0"/>
              <w:snapToGrid w:val="0"/>
              <w:spacing w:before="0" w:line="240" w:lineRule="auto"/>
              <w:ind w:left="-6"/>
              <w:jc w:val="center"/>
              <w:rPr>
                <w:rFonts w:hint="eastAsia" w:ascii="宋体" w:hAnsi="宋体" w:cs="宋体"/>
                <w:szCs w:val="24"/>
                <w:highlight w:val="none"/>
              </w:rPr>
            </w:pPr>
            <w:r>
              <w:rPr>
                <w:rFonts w:hint="eastAsia" w:ascii="宋体" w:hAnsi="宋体" w:cs="宋体"/>
                <w:szCs w:val="24"/>
                <w:highlight w:val="none"/>
              </w:rPr>
              <w:t xml:space="preserve">投标报价的偏差率 </w:t>
            </w:r>
          </w:p>
          <w:p w14:paraId="41B8F7AB">
            <w:pPr>
              <w:tabs>
                <w:tab w:val="left" w:pos="2403"/>
              </w:tabs>
              <w:autoSpaceDE w:val="0"/>
              <w:autoSpaceDN w:val="0"/>
              <w:snapToGrid w:val="0"/>
              <w:spacing w:before="0" w:line="240" w:lineRule="auto"/>
              <w:ind w:left="-6"/>
              <w:jc w:val="center"/>
              <w:rPr>
                <w:rFonts w:hint="eastAsia" w:ascii="宋体" w:hAnsi="宋体" w:cs="宋体"/>
                <w:szCs w:val="24"/>
                <w:highlight w:val="none"/>
              </w:rPr>
            </w:pPr>
            <w:r>
              <w:rPr>
                <w:rFonts w:hint="eastAsia" w:ascii="宋体" w:hAnsi="宋体" w:cs="宋体"/>
                <w:szCs w:val="24"/>
                <w:highlight w:val="none"/>
              </w:rPr>
              <w:t>计算公式</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7DA9B186">
            <w:pPr>
              <w:snapToGrid w:val="0"/>
              <w:spacing w:line="240" w:lineRule="auto"/>
              <w:ind w:left="103" w:leftChars="43"/>
              <w:rPr>
                <w:rFonts w:hint="eastAsia" w:ascii="宋体" w:hAnsi="宋体" w:cs="宋体"/>
                <w:szCs w:val="24"/>
                <w:highlight w:val="none"/>
              </w:rPr>
            </w:pPr>
            <w:r>
              <w:rPr>
                <w:rFonts w:hint="eastAsia" w:ascii="宋体" w:hAnsi="宋体" w:cs="宋体"/>
                <w:sz w:val="24"/>
                <w:szCs w:val="24"/>
                <w:highlight w:val="none"/>
                <w:u w:val="single"/>
              </w:rPr>
              <w:t>投标报价的偏差率=(投标报价-评标基准价)/评标基准价×100%(偏差率出现小数点时，保留小数点后2位，第三位小数四舍五入</w:t>
            </w:r>
            <w:r>
              <w:rPr>
                <w:rFonts w:hint="eastAsia" w:ascii="宋体" w:hAnsi="宋体" w:cs="宋体"/>
                <w:spacing w:val="-1"/>
                <w:sz w:val="24"/>
                <w:szCs w:val="24"/>
                <w:highlight w:val="none"/>
                <w:u w:val="single"/>
              </w:rPr>
              <w:t>)。</w:t>
            </w:r>
          </w:p>
        </w:tc>
      </w:tr>
      <w:tr w14:paraId="7E05BAC3">
        <w:tblPrEx>
          <w:tblCellMar>
            <w:top w:w="0" w:type="dxa"/>
            <w:left w:w="0" w:type="dxa"/>
            <w:bottom w:w="0" w:type="dxa"/>
            <w:right w:w="0" w:type="dxa"/>
          </w:tblCellMar>
        </w:tblPrEx>
        <w:trPr>
          <w:trHeight w:val="389" w:hRule="atLeast"/>
          <w:jc w:val="center"/>
        </w:trPr>
        <w:tc>
          <w:tcPr>
            <w:tcW w:w="807" w:type="dxa"/>
            <w:vMerge w:val="restart"/>
            <w:tcBorders>
              <w:top w:val="single" w:color="auto" w:sz="4" w:space="0"/>
              <w:left w:val="single" w:color="auto" w:sz="4" w:space="0"/>
              <w:right w:val="single" w:color="auto" w:sz="4" w:space="0"/>
            </w:tcBorders>
            <w:noWrap w:val="0"/>
            <w:vAlign w:val="center"/>
          </w:tcPr>
          <w:p w14:paraId="13E2262D">
            <w:pPr>
              <w:autoSpaceDE w:val="0"/>
              <w:autoSpaceDN w:val="0"/>
              <w:snapToGrid w:val="0"/>
              <w:spacing w:line="240" w:lineRule="auto"/>
              <w:ind w:right="-20"/>
              <w:jc w:val="center"/>
              <w:rPr>
                <w:rFonts w:hint="eastAsia" w:ascii="宋体" w:hAnsi="宋体" w:cs="宋体"/>
                <w:szCs w:val="24"/>
                <w:highlight w:val="none"/>
              </w:rPr>
            </w:pPr>
            <w:r>
              <w:rPr>
                <w:rFonts w:hint="eastAsia" w:ascii="宋体" w:hAnsi="宋体" w:cs="宋体"/>
                <w:szCs w:val="24"/>
                <w:highlight w:val="none"/>
              </w:rPr>
              <w:t>2.2.4</w:t>
            </w:r>
          </w:p>
          <w:p w14:paraId="297B995E">
            <w:pPr>
              <w:autoSpaceDE w:val="0"/>
              <w:autoSpaceDN w:val="0"/>
              <w:snapToGrid w:val="0"/>
              <w:spacing w:before="0" w:line="240" w:lineRule="auto"/>
              <w:ind w:right="-20"/>
              <w:jc w:val="center"/>
              <w:rPr>
                <w:rFonts w:hint="eastAsia" w:ascii="宋体" w:hAnsi="宋体" w:cs="宋体"/>
                <w:szCs w:val="24"/>
                <w:highlight w:val="none"/>
              </w:rPr>
            </w:pPr>
            <w:r>
              <w:rPr>
                <w:rFonts w:hint="eastAsia" w:ascii="宋体" w:hAnsi="宋体" w:cs="宋体"/>
                <w:szCs w:val="24"/>
                <w:highlight w:val="none"/>
              </w:rPr>
              <w:t>（1）</w:t>
            </w:r>
          </w:p>
        </w:tc>
        <w:tc>
          <w:tcPr>
            <w:tcW w:w="718" w:type="dxa"/>
            <w:vMerge w:val="restart"/>
            <w:tcBorders>
              <w:top w:val="single" w:color="auto" w:sz="4" w:space="0"/>
              <w:left w:val="single" w:color="auto" w:sz="4" w:space="0"/>
              <w:right w:val="single" w:color="auto" w:sz="4" w:space="0"/>
            </w:tcBorders>
            <w:noWrap w:val="0"/>
            <w:vAlign w:val="center"/>
          </w:tcPr>
          <w:p w14:paraId="181233FA">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szCs w:val="24"/>
                <w:highlight w:val="none"/>
              </w:rPr>
              <w:t>资信业绩部分</w:t>
            </w:r>
          </w:p>
          <w:p w14:paraId="480B1D57">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45</w:t>
            </w:r>
            <w:r>
              <w:rPr>
                <w:rFonts w:hint="eastAsia" w:ascii="宋体" w:hAnsi="宋体" w:cs="宋体"/>
                <w:szCs w:val="24"/>
                <w:highlight w:val="none"/>
              </w:rPr>
              <w:t>分）</w:t>
            </w:r>
          </w:p>
        </w:tc>
        <w:tc>
          <w:tcPr>
            <w:tcW w:w="2435" w:type="dxa"/>
            <w:tcBorders>
              <w:top w:val="single" w:color="auto" w:sz="4" w:space="0"/>
              <w:left w:val="single" w:color="auto" w:sz="4" w:space="0"/>
              <w:right w:val="single" w:color="auto" w:sz="4" w:space="0"/>
            </w:tcBorders>
            <w:noWrap w:val="0"/>
            <w:vAlign w:val="center"/>
          </w:tcPr>
          <w:p w14:paraId="4A929577">
            <w:pPr>
              <w:keepNext w:val="0"/>
              <w:keepLines w:val="0"/>
              <w:pageBreakBefore w:val="0"/>
              <w:widowControl w:val="0"/>
              <w:wordWrap w:val="0"/>
              <w:bidi w:val="0"/>
              <w:snapToGrid w:val="0"/>
              <w:spacing w:line="240" w:lineRule="auto"/>
              <w:jc w:val="center"/>
              <w:rPr>
                <w:rFonts w:hint="eastAsia" w:asciiTheme="majorEastAsia" w:hAnsiTheme="majorEastAsia" w:eastAsiaTheme="majorEastAsia" w:cstheme="majorEastAsia"/>
                <w:spacing w:val="-3"/>
                <w:sz w:val="24"/>
                <w:szCs w:val="24"/>
                <w:highlight w:val="none"/>
                <w:lang w:val="zh-CN"/>
              </w:rPr>
            </w:pPr>
            <w:r>
              <w:rPr>
                <w:rFonts w:hint="eastAsia" w:asciiTheme="majorEastAsia" w:hAnsiTheme="majorEastAsia" w:eastAsiaTheme="majorEastAsia" w:cstheme="majorEastAsia"/>
                <w:spacing w:val="-3"/>
                <w:sz w:val="24"/>
                <w:szCs w:val="24"/>
                <w:highlight w:val="none"/>
                <w:lang w:val="zh-CN"/>
              </w:rPr>
              <w:t>类似项目业绩</w:t>
            </w:r>
          </w:p>
          <w:p w14:paraId="0D391D71">
            <w:pPr>
              <w:keepNext w:val="0"/>
              <w:keepLines w:val="0"/>
              <w:pageBreakBefore w:val="0"/>
              <w:widowControl w:val="0"/>
              <w:wordWrap w:val="0"/>
              <w:bidi w:val="0"/>
              <w:snapToGrid w:val="0"/>
              <w:spacing w:line="240" w:lineRule="auto"/>
              <w:jc w:val="center"/>
              <w:rPr>
                <w:rFonts w:hint="eastAsia" w:asciiTheme="majorEastAsia" w:hAnsiTheme="majorEastAsia" w:eastAsiaTheme="majorEastAsia" w:cstheme="majorEastAsia"/>
                <w:position w:val="-2"/>
                <w:sz w:val="24"/>
                <w:szCs w:val="24"/>
                <w:highlight w:val="none"/>
              </w:rPr>
            </w:pPr>
            <w:r>
              <w:rPr>
                <w:rFonts w:hint="eastAsia" w:asciiTheme="majorEastAsia" w:hAnsiTheme="majorEastAsia" w:eastAsiaTheme="majorEastAsia" w:cstheme="majorEastAsia"/>
                <w:spacing w:val="-3"/>
                <w:sz w:val="24"/>
                <w:szCs w:val="24"/>
                <w:highlight w:val="none"/>
                <w:lang w:val="zh-CN"/>
              </w:rPr>
              <w:t>（</w:t>
            </w:r>
            <w:r>
              <w:rPr>
                <w:rFonts w:hint="eastAsia" w:asciiTheme="majorEastAsia" w:hAnsiTheme="majorEastAsia" w:eastAsiaTheme="majorEastAsia" w:cstheme="majorEastAsia"/>
                <w:spacing w:val="-3"/>
                <w:sz w:val="24"/>
                <w:szCs w:val="24"/>
                <w:highlight w:val="none"/>
                <w:lang w:val="en-US" w:eastAsia="zh-CN"/>
              </w:rPr>
              <w:t>16</w:t>
            </w:r>
            <w:r>
              <w:rPr>
                <w:rFonts w:hint="eastAsia" w:asciiTheme="majorEastAsia" w:hAnsiTheme="majorEastAsia" w:eastAsiaTheme="majorEastAsia" w:cstheme="majorEastAsia"/>
                <w:spacing w:val="-3"/>
                <w:sz w:val="24"/>
                <w:szCs w:val="24"/>
                <w:highlight w:val="none"/>
                <w:lang w:val="zh-CN"/>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5051C499">
            <w:pPr>
              <w:keepNext w:val="0"/>
              <w:keepLines w:val="0"/>
              <w:pageBreakBefore w:val="0"/>
              <w:widowControl/>
              <w:wordWrap/>
              <w:bidi w:val="0"/>
              <w:snapToGrid/>
              <w:spacing w:line="240" w:lineRule="auto"/>
              <w:jc w:val="left"/>
              <w:rPr>
                <w:rFonts w:hint="eastAsia" w:asciiTheme="majorEastAsia" w:hAnsiTheme="majorEastAsia" w:eastAsiaTheme="majorEastAsia" w:cstheme="majorEastAsia"/>
                <w:spacing w:val="-3"/>
                <w:sz w:val="24"/>
                <w:szCs w:val="24"/>
                <w:highlight w:val="none"/>
                <w:lang w:val="zh-CN"/>
              </w:rPr>
            </w:pPr>
            <w:r>
              <w:rPr>
                <w:rFonts w:hint="eastAsia" w:asciiTheme="majorEastAsia" w:hAnsiTheme="majorEastAsia" w:eastAsiaTheme="majorEastAsia" w:cstheme="majorEastAsia"/>
                <w:spacing w:val="-3"/>
                <w:sz w:val="24"/>
                <w:szCs w:val="24"/>
                <w:highlight w:val="none"/>
                <w:lang w:val="zh-CN"/>
              </w:rPr>
              <w:t>20</w:t>
            </w:r>
            <w:r>
              <w:rPr>
                <w:rFonts w:hint="eastAsia" w:asciiTheme="majorEastAsia" w:hAnsiTheme="majorEastAsia" w:eastAsiaTheme="majorEastAsia" w:cstheme="majorEastAsia"/>
                <w:spacing w:val="-3"/>
                <w:sz w:val="24"/>
                <w:szCs w:val="24"/>
                <w:highlight w:val="none"/>
                <w:lang w:val="en-US" w:eastAsia="zh-CN"/>
              </w:rPr>
              <w:t>21</w:t>
            </w:r>
            <w:r>
              <w:rPr>
                <w:rFonts w:hint="eastAsia" w:asciiTheme="majorEastAsia" w:hAnsiTheme="majorEastAsia" w:eastAsiaTheme="majorEastAsia" w:cstheme="majorEastAsia"/>
                <w:spacing w:val="-3"/>
                <w:sz w:val="24"/>
                <w:szCs w:val="24"/>
                <w:highlight w:val="none"/>
                <w:lang w:val="zh-CN"/>
              </w:rPr>
              <w:t>年1月1日至今，</w:t>
            </w:r>
            <w:r>
              <w:rPr>
                <w:rFonts w:hint="eastAsia" w:asciiTheme="majorEastAsia" w:hAnsiTheme="majorEastAsia" w:eastAsiaTheme="majorEastAsia" w:cstheme="majorEastAsia"/>
                <w:spacing w:val="-3"/>
                <w:sz w:val="24"/>
                <w:szCs w:val="24"/>
                <w:highlight w:val="none"/>
                <w:lang w:val="en-US" w:eastAsia="zh-CN"/>
              </w:rPr>
              <w:t>投标人独立承接</w:t>
            </w:r>
            <w:r>
              <w:rPr>
                <w:rFonts w:hint="eastAsia" w:asciiTheme="majorEastAsia" w:hAnsiTheme="majorEastAsia" w:eastAsiaTheme="majorEastAsia" w:cstheme="majorEastAsia"/>
                <w:spacing w:val="-3"/>
                <w:sz w:val="24"/>
                <w:szCs w:val="24"/>
                <w:highlight w:val="none"/>
                <w:lang w:val="zh-CN"/>
              </w:rPr>
              <w:t>过</w:t>
            </w:r>
            <w:r>
              <w:rPr>
                <w:rFonts w:hint="eastAsia" w:asciiTheme="majorEastAsia" w:hAnsiTheme="majorEastAsia" w:eastAsiaTheme="majorEastAsia" w:cstheme="majorEastAsia"/>
                <w:spacing w:val="-3"/>
                <w:sz w:val="24"/>
                <w:szCs w:val="24"/>
                <w:highlight w:val="none"/>
                <w:lang w:val="en-US" w:eastAsia="zh-CN"/>
              </w:rPr>
              <w:t>水利</w:t>
            </w:r>
            <w:r>
              <w:rPr>
                <w:rFonts w:hint="eastAsia" w:asciiTheme="majorEastAsia" w:hAnsiTheme="majorEastAsia" w:eastAsiaTheme="majorEastAsia" w:cstheme="majorEastAsia"/>
                <w:sz w:val="24"/>
                <w:szCs w:val="24"/>
                <w:highlight w:val="none"/>
              </w:rPr>
              <w:t>工程</w:t>
            </w:r>
            <w:r>
              <w:rPr>
                <w:rFonts w:hint="eastAsia" w:asciiTheme="majorEastAsia" w:hAnsiTheme="majorEastAsia" w:eastAsiaTheme="majorEastAsia" w:cstheme="majorEastAsia"/>
                <w:sz w:val="24"/>
                <w:szCs w:val="24"/>
                <w:highlight w:val="none"/>
                <w:lang w:val="en-US" w:eastAsia="zh-CN"/>
              </w:rPr>
              <w:t>施工</w:t>
            </w:r>
            <w:r>
              <w:rPr>
                <w:rFonts w:hint="eastAsia" w:asciiTheme="majorEastAsia" w:hAnsiTheme="majorEastAsia" w:eastAsiaTheme="majorEastAsia" w:cstheme="majorEastAsia"/>
                <w:sz w:val="24"/>
                <w:szCs w:val="24"/>
                <w:highlight w:val="none"/>
              </w:rPr>
              <w:t>监理项目</w:t>
            </w:r>
            <w:r>
              <w:rPr>
                <w:rFonts w:hint="eastAsia" w:asciiTheme="majorEastAsia" w:hAnsiTheme="majorEastAsia" w:eastAsiaTheme="majorEastAsia" w:cstheme="majorEastAsia"/>
                <w:spacing w:val="-3"/>
                <w:sz w:val="24"/>
                <w:szCs w:val="24"/>
                <w:highlight w:val="none"/>
                <w:lang w:val="zh-CN"/>
              </w:rPr>
              <w:t>业绩：</w:t>
            </w:r>
            <w:r>
              <w:rPr>
                <w:rFonts w:hint="eastAsia" w:asciiTheme="majorEastAsia" w:hAnsiTheme="majorEastAsia" w:eastAsiaTheme="majorEastAsia" w:cstheme="majorEastAsia"/>
                <w:spacing w:val="-3"/>
                <w:sz w:val="24"/>
                <w:szCs w:val="24"/>
                <w:highlight w:val="none"/>
                <w:lang w:val="en-US" w:eastAsia="zh-CN"/>
              </w:rPr>
              <w:t>单项合同额（人民币）2</w:t>
            </w:r>
            <w:r>
              <w:rPr>
                <w:rFonts w:hint="eastAsia" w:asciiTheme="majorEastAsia" w:hAnsiTheme="majorEastAsia" w:eastAsiaTheme="majorEastAsia" w:cstheme="majorEastAsia"/>
                <w:spacing w:val="-3"/>
                <w:sz w:val="24"/>
                <w:szCs w:val="24"/>
                <w:highlight w:val="none"/>
                <w:lang w:val="en-US" w:eastAsia="zh-CN"/>
              </w:rPr>
              <w:t>00.00万元</w:t>
            </w:r>
            <w:r>
              <w:rPr>
                <w:rFonts w:hint="eastAsia" w:asciiTheme="majorEastAsia" w:hAnsiTheme="majorEastAsia" w:eastAsiaTheme="majorEastAsia" w:cstheme="majorEastAsia"/>
                <w:spacing w:val="-3"/>
                <w:sz w:val="24"/>
                <w:szCs w:val="24"/>
                <w:highlight w:val="none"/>
                <w:lang w:val="en-US" w:eastAsia="zh-CN"/>
              </w:rPr>
              <w:t>（或以上）的，</w:t>
            </w:r>
            <w:r>
              <w:rPr>
                <w:rFonts w:hint="eastAsia" w:asciiTheme="majorEastAsia" w:hAnsiTheme="majorEastAsia" w:eastAsiaTheme="majorEastAsia" w:cstheme="majorEastAsia"/>
                <w:spacing w:val="-3"/>
                <w:sz w:val="24"/>
                <w:szCs w:val="24"/>
                <w:highlight w:val="none"/>
                <w:lang w:val="zh-CN"/>
              </w:rPr>
              <w:t>每项得</w:t>
            </w:r>
            <w:r>
              <w:rPr>
                <w:rFonts w:hint="eastAsia" w:asciiTheme="majorEastAsia" w:hAnsiTheme="majorEastAsia" w:eastAsiaTheme="majorEastAsia" w:cstheme="majorEastAsia"/>
                <w:spacing w:val="-3"/>
                <w:sz w:val="24"/>
                <w:szCs w:val="24"/>
                <w:highlight w:val="none"/>
                <w:lang w:val="en-US" w:eastAsia="zh-CN"/>
              </w:rPr>
              <w:t>4</w:t>
            </w:r>
            <w:r>
              <w:rPr>
                <w:rFonts w:hint="eastAsia" w:asciiTheme="majorEastAsia" w:hAnsiTheme="majorEastAsia" w:eastAsiaTheme="majorEastAsia" w:cstheme="majorEastAsia"/>
                <w:spacing w:val="-3"/>
                <w:sz w:val="24"/>
                <w:szCs w:val="24"/>
                <w:highlight w:val="none"/>
                <w:lang w:val="zh-CN"/>
              </w:rPr>
              <w:t>分；</w:t>
            </w:r>
            <w:r>
              <w:rPr>
                <w:rFonts w:hint="eastAsia" w:asciiTheme="majorEastAsia" w:hAnsiTheme="majorEastAsia" w:eastAsiaTheme="majorEastAsia" w:cstheme="majorEastAsia"/>
                <w:spacing w:val="-3"/>
                <w:sz w:val="24"/>
                <w:szCs w:val="24"/>
                <w:highlight w:val="none"/>
                <w:lang w:val="en-US" w:eastAsia="zh-CN"/>
              </w:rPr>
              <w:t>无或其他不得分</w:t>
            </w:r>
            <w:r>
              <w:rPr>
                <w:rFonts w:hint="eastAsia" w:asciiTheme="majorEastAsia" w:hAnsiTheme="majorEastAsia" w:eastAsiaTheme="majorEastAsia" w:cstheme="majorEastAsia"/>
                <w:spacing w:val="-3"/>
                <w:sz w:val="24"/>
                <w:szCs w:val="24"/>
                <w:highlight w:val="none"/>
                <w:lang w:val="zh-CN"/>
              </w:rPr>
              <w:t>。</w:t>
            </w:r>
          </w:p>
          <w:p w14:paraId="52BB8F8F">
            <w:pPr>
              <w:keepNext w:val="0"/>
              <w:keepLines w:val="0"/>
              <w:pageBreakBefore w:val="0"/>
              <w:widowControl/>
              <w:wordWrap/>
              <w:topLinePunct w:val="0"/>
              <w:bidi w:val="0"/>
              <w:spacing w:line="240" w:lineRule="auto"/>
              <w:rPr>
                <w:rFonts w:hint="eastAsia"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lang w:val="zh-CN"/>
              </w:rPr>
              <w:t>注：</w:t>
            </w:r>
            <w:r>
              <w:rPr>
                <w:rFonts w:hint="eastAsia" w:asciiTheme="majorEastAsia" w:hAnsiTheme="majorEastAsia" w:eastAsiaTheme="majorEastAsia" w:cstheme="majorEastAsia"/>
                <w:spacing w:val="-3"/>
                <w:sz w:val="24"/>
                <w:szCs w:val="24"/>
                <w:highlight w:val="none"/>
                <w:lang w:val="en-US" w:eastAsia="zh-CN"/>
              </w:rPr>
              <w:t>本项最高得16分。</w:t>
            </w:r>
            <w:r>
              <w:rPr>
                <w:rFonts w:hint="eastAsia" w:asciiTheme="majorEastAsia" w:hAnsiTheme="majorEastAsia" w:eastAsiaTheme="majorEastAsia" w:cstheme="majorEastAsia"/>
                <w:spacing w:val="-3"/>
                <w:sz w:val="24"/>
                <w:szCs w:val="24"/>
                <w:highlight w:val="none"/>
                <w:lang w:val="zh-CN"/>
              </w:rPr>
              <w:t>须提供</w:t>
            </w:r>
            <w:r>
              <w:rPr>
                <w:rFonts w:hint="eastAsia" w:asciiTheme="majorEastAsia" w:hAnsiTheme="majorEastAsia" w:eastAsiaTheme="majorEastAsia" w:cstheme="majorEastAsia"/>
                <w:spacing w:val="-3"/>
                <w:sz w:val="24"/>
                <w:szCs w:val="24"/>
                <w:highlight w:val="none"/>
                <w:lang w:val="en-US" w:eastAsia="zh-CN"/>
              </w:rPr>
              <w:t>有效</w:t>
            </w:r>
            <w:r>
              <w:rPr>
                <w:rFonts w:hint="eastAsia" w:asciiTheme="majorEastAsia" w:hAnsiTheme="majorEastAsia" w:eastAsiaTheme="majorEastAsia" w:cstheme="majorEastAsia"/>
                <w:spacing w:val="-3"/>
                <w:sz w:val="24"/>
                <w:szCs w:val="24"/>
                <w:highlight w:val="none"/>
                <w:lang w:val="zh-CN"/>
              </w:rPr>
              <w:t>监理合同；业绩时间以</w:t>
            </w:r>
            <w:r>
              <w:rPr>
                <w:rFonts w:hint="eastAsia" w:asciiTheme="majorEastAsia" w:hAnsiTheme="majorEastAsia" w:eastAsiaTheme="majorEastAsia" w:cstheme="majorEastAsia"/>
                <w:spacing w:val="-3"/>
                <w:sz w:val="24"/>
                <w:szCs w:val="24"/>
                <w:highlight w:val="none"/>
                <w:lang w:val="en-US" w:eastAsia="zh-CN"/>
              </w:rPr>
              <w:t>监理合同</w:t>
            </w:r>
            <w:r>
              <w:rPr>
                <w:rFonts w:hint="eastAsia" w:asciiTheme="majorEastAsia" w:hAnsiTheme="majorEastAsia" w:eastAsiaTheme="majorEastAsia" w:cstheme="majorEastAsia"/>
                <w:spacing w:val="-3"/>
                <w:sz w:val="24"/>
                <w:szCs w:val="24"/>
                <w:highlight w:val="none"/>
                <w:lang w:val="zh-CN"/>
              </w:rPr>
              <w:t>时间为准；</w:t>
            </w:r>
            <w:r>
              <w:rPr>
                <w:rFonts w:hint="eastAsia" w:asciiTheme="majorEastAsia" w:hAnsiTheme="majorEastAsia" w:eastAsiaTheme="majorEastAsia" w:cstheme="majorEastAsia"/>
                <w:spacing w:val="-3"/>
                <w:sz w:val="24"/>
                <w:szCs w:val="24"/>
                <w:highlight w:val="none"/>
                <w:lang w:val="en-US" w:eastAsia="zh-CN"/>
              </w:rPr>
              <w:t>合同额以监理合同载明为准，</w:t>
            </w:r>
            <w:r>
              <w:rPr>
                <w:rFonts w:hint="eastAsia" w:asciiTheme="majorEastAsia" w:hAnsiTheme="majorEastAsia" w:eastAsiaTheme="majorEastAsia" w:cstheme="majorEastAsia"/>
                <w:spacing w:val="-3"/>
                <w:sz w:val="24"/>
                <w:szCs w:val="24"/>
                <w:highlight w:val="none"/>
                <w:lang w:val="zh-CN"/>
              </w:rPr>
              <w:t>若合同无法体现</w:t>
            </w:r>
            <w:r>
              <w:rPr>
                <w:rFonts w:hint="eastAsia" w:asciiTheme="majorEastAsia" w:hAnsiTheme="majorEastAsia" w:eastAsiaTheme="majorEastAsia" w:cstheme="majorEastAsia"/>
                <w:spacing w:val="-3"/>
                <w:sz w:val="24"/>
                <w:szCs w:val="24"/>
                <w:highlight w:val="none"/>
                <w:lang w:val="en-US" w:eastAsia="zh-CN"/>
              </w:rPr>
              <w:t>合同额</w:t>
            </w:r>
            <w:r>
              <w:rPr>
                <w:rFonts w:hint="eastAsia" w:asciiTheme="majorEastAsia" w:hAnsiTheme="majorEastAsia" w:eastAsiaTheme="majorEastAsia" w:cstheme="majorEastAsia"/>
                <w:spacing w:val="-3"/>
                <w:sz w:val="24"/>
                <w:szCs w:val="24"/>
                <w:highlight w:val="none"/>
                <w:lang w:val="zh-CN"/>
              </w:rPr>
              <w:t>，则需提供其他有效证明材料</w:t>
            </w:r>
            <w:r>
              <w:rPr>
                <w:rFonts w:hint="eastAsia" w:asciiTheme="majorEastAsia" w:hAnsiTheme="majorEastAsia" w:eastAsiaTheme="majorEastAsia" w:cstheme="majorEastAsia"/>
                <w:spacing w:val="-3"/>
                <w:sz w:val="24"/>
                <w:szCs w:val="24"/>
                <w:highlight w:val="none"/>
                <w:lang w:val="zh-CN" w:eastAsia="zh-CN"/>
              </w:rPr>
              <w:t>。同一项目不重复计分。</w:t>
            </w:r>
          </w:p>
        </w:tc>
      </w:tr>
      <w:tr w14:paraId="46180E65">
        <w:tblPrEx>
          <w:tblCellMar>
            <w:top w:w="0" w:type="dxa"/>
            <w:left w:w="0" w:type="dxa"/>
            <w:bottom w:w="0" w:type="dxa"/>
            <w:right w:w="0" w:type="dxa"/>
          </w:tblCellMar>
        </w:tblPrEx>
        <w:trPr>
          <w:trHeight w:val="1783" w:hRule="atLeast"/>
          <w:jc w:val="center"/>
        </w:trPr>
        <w:tc>
          <w:tcPr>
            <w:tcW w:w="807" w:type="dxa"/>
            <w:vMerge w:val="continue"/>
            <w:tcBorders>
              <w:left w:val="single" w:color="auto" w:sz="4" w:space="0"/>
              <w:right w:val="single" w:color="auto" w:sz="4" w:space="0"/>
            </w:tcBorders>
            <w:noWrap w:val="0"/>
            <w:vAlign w:val="top"/>
          </w:tcPr>
          <w:p w14:paraId="3A722A12">
            <w:pPr>
              <w:autoSpaceDE w:val="0"/>
              <w:autoSpaceDN w:val="0"/>
              <w:snapToGrid w:val="0"/>
              <w:spacing w:line="240" w:lineRule="auto"/>
              <w:ind w:left="2082" w:right="2063"/>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top"/>
          </w:tcPr>
          <w:p w14:paraId="42791823">
            <w:pPr>
              <w:autoSpaceDE w:val="0"/>
              <w:autoSpaceDN w:val="0"/>
              <w:snapToGrid w:val="0"/>
              <w:spacing w:line="240" w:lineRule="auto"/>
              <w:ind w:left="2082" w:right="2063"/>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EC5BE3C">
            <w:pPr>
              <w:keepNext w:val="0"/>
              <w:keepLines w:val="0"/>
              <w:pageBreakBefore w:val="0"/>
              <w:widowControl w:val="0"/>
              <w:wordWrap w:val="0"/>
              <w:bidi w:val="0"/>
              <w:snapToGrid w:val="0"/>
              <w:spacing w:line="240" w:lineRule="auto"/>
              <w:jc w:val="center"/>
              <w:rPr>
                <w:rFonts w:hint="eastAsia" w:asciiTheme="majorEastAsia" w:hAnsiTheme="majorEastAsia" w:eastAsiaTheme="majorEastAsia" w:cstheme="majorEastAsia"/>
                <w:spacing w:val="-3"/>
                <w:sz w:val="24"/>
                <w:szCs w:val="24"/>
                <w:highlight w:val="none"/>
                <w:lang w:val="zh-CN"/>
              </w:rPr>
            </w:pPr>
            <w:r>
              <w:rPr>
                <w:rFonts w:hint="eastAsia" w:asciiTheme="majorEastAsia" w:hAnsiTheme="majorEastAsia" w:eastAsiaTheme="majorEastAsia" w:cstheme="majorEastAsia"/>
                <w:spacing w:val="-3"/>
                <w:sz w:val="24"/>
                <w:szCs w:val="24"/>
                <w:highlight w:val="none"/>
                <w:lang w:val="zh-CN"/>
              </w:rPr>
              <w:t>业绩获奖</w:t>
            </w:r>
          </w:p>
          <w:p w14:paraId="5AF1C38D">
            <w:pPr>
              <w:keepNext w:val="0"/>
              <w:keepLines w:val="0"/>
              <w:pageBreakBefore w:val="0"/>
              <w:widowControl w:val="0"/>
              <w:wordWrap w:val="0"/>
              <w:bidi w:val="0"/>
              <w:snapToGrid w:val="0"/>
              <w:spacing w:line="24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lang w:val="zh-CN"/>
              </w:rPr>
              <w:t>（</w:t>
            </w:r>
            <w:r>
              <w:rPr>
                <w:rFonts w:hint="eastAsia" w:asciiTheme="majorEastAsia" w:hAnsiTheme="majorEastAsia" w:eastAsiaTheme="majorEastAsia" w:cstheme="majorEastAsia"/>
                <w:spacing w:val="-3"/>
                <w:sz w:val="24"/>
                <w:szCs w:val="24"/>
                <w:highlight w:val="none"/>
                <w:lang w:val="en-US" w:eastAsia="zh-CN"/>
              </w:rPr>
              <w:t>12</w:t>
            </w:r>
            <w:r>
              <w:rPr>
                <w:rFonts w:hint="eastAsia" w:asciiTheme="majorEastAsia" w:hAnsiTheme="majorEastAsia" w:eastAsiaTheme="majorEastAsia" w:cstheme="majorEastAsia"/>
                <w:spacing w:val="-3"/>
                <w:sz w:val="24"/>
                <w:szCs w:val="24"/>
                <w:highlight w:val="none"/>
                <w:lang w:val="zh-CN"/>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3135E9EC">
            <w:pPr>
              <w:keepNext w:val="0"/>
              <w:keepLines w:val="0"/>
              <w:pageBreakBefore w:val="0"/>
              <w:widowControl w:val="0"/>
              <w:wordWrap w:val="0"/>
              <w:bidi w:val="0"/>
              <w:snapToGrid w:val="0"/>
              <w:spacing w:line="240" w:lineRule="auto"/>
              <w:jc w:val="left"/>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rPr>
              <w:t>20</w:t>
            </w:r>
            <w:r>
              <w:rPr>
                <w:rFonts w:hint="eastAsia" w:asciiTheme="majorEastAsia" w:hAnsiTheme="majorEastAsia" w:eastAsiaTheme="majorEastAsia" w:cstheme="majorEastAsia"/>
                <w:spacing w:val="-3"/>
                <w:sz w:val="24"/>
                <w:szCs w:val="24"/>
                <w:highlight w:val="none"/>
                <w:lang w:val="en-US" w:eastAsia="zh-CN"/>
              </w:rPr>
              <w:t>21</w:t>
            </w:r>
            <w:r>
              <w:rPr>
                <w:rFonts w:hint="eastAsia" w:asciiTheme="majorEastAsia" w:hAnsiTheme="majorEastAsia" w:eastAsiaTheme="majorEastAsia" w:cstheme="majorEastAsia"/>
                <w:spacing w:val="-3"/>
                <w:sz w:val="24"/>
                <w:szCs w:val="24"/>
                <w:highlight w:val="none"/>
                <w:lang w:val="zh-CN"/>
              </w:rPr>
              <w:t>年</w:t>
            </w:r>
            <w:r>
              <w:rPr>
                <w:rFonts w:hint="eastAsia" w:asciiTheme="majorEastAsia" w:hAnsiTheme="majorEastAsia" w:eastAsiaTheme="majorEastAsia" w:cstheme="majorEastAsia"/>
                <w:spacing w:val="-3"/>
                <w:sz w:val="24"/>
                <w:szCs w:val="24"/>
                <w:highlight w:val="none"/>
                <w:lang w:val="zh-CN" w:eastAsia="zh-CN"/>
              </w:rPr>
              <w:t>1月1日至今，</w:t>
            </w:r>
            <w:r>
              <w:rPr>
                <w:rFonts w:hint="eastAsia" w:asciiTheme="majorEastAsia" w:hAnsiTheme="majorEastAsia" w:eastAsiaTheme="majorEastAsia" w:cstheme="majorEastAsia"/>
                <w:spacing w:val="-3"/>
                <w:sz w:val="24"/>
                <w:szCs w:val="24"/>
                <w:highlight w:val="none"/>
                <w:lang w:val="en-US" w:eastAsia="zh-CN"/>
              </w:rPr>
              <w:t>投标人</w:t>
            </w:r>
            <w:r>
              <w:rPr>
                <w:rFonts w:hint="eastAsia" w:asciiTheme="majorEastAsia" w:hAnsiTheme="majorEastAsia" w:eastAsiaTheme="majorEastAsia" w:cstheme="majorEastAsia"/>
                <w:spacing w:val="-3"/>
                <w:sz w:val="24"/>
                <w:szCs w:val="24"/>
                <w:highlight w:val="none"/>
                <w:lang w:val="zh-CN" w:eastAsia="zh-CN"/>
              </w:rPr>
              <w:t>完成过</w:t>
            </w:r>
            <w:r>
              <w:rPr>
                <w:rFonts w:hint="eastAsia" w:asciiTheme="majorEastAsia" w:hAnsiTheme="majorEastAsia" w:eastAsiaTheme="majorEastAsia" w:cstheme="majorEastAsia"/>
                <w:spacing w:val="-3"/>
                <w:sz w:val="24"/>
                <w:szCs w:val="24"/>
                <w:highlight w:val="none"/>
                <w:lang w:val="en-US" w:eastAsia="zh-CN"/>
              </w:rPr>
              <w:t>的水利工程</w:t>
            </w:r>
            <w:r>
              <w:rPr>
                <w:rFonts w:hint="eastAsia" w:asciiTheme="majorEastAsia" w:hAnsiTheme="majorEastAsia" w:eastAsiaTheme="majorEastAsia" w:cstheme="majorEastAsia"/>
                <w:spacing w:val="-3"/>
                <w:sz w:val="24"/>
                <w:szCs w:val="24"/>
                <w:highlight w:val="none"/>
                <w:lang w:val="zh-CN" w:eastAsia="zh-CN"/>
              </w:rPr>
              <w:t>监理项目：</w:t>
            </w:r>
          </w:p>
          <w:p w14:paraId="6D9AC081">
            <w:pPr>
              <w:keepNext w:val="0"/>
              <w:keepLines w:val="0"/>
              <w:pageBreakBefore w:val="0"/>
              <w:widowControl w:val="0"/>
              <w:wordWrap w:val="0"/>
              <w:bidi w:val="0"/>
              <w:snapToGrid w:val="0"/>
              <w:spacing w:line="240" w:lineRule="auto"/>
              <w:jc w:val="left"/>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eastAsia="zh-CN"/>
              </w:rPr>
              <w:t>获得</w:t>
            </w:r>
            <w:r>
              <w:rPr>
                <w:rFonts w:hint="eastAsia" w:asciiTheme="majorEastAsia" w:hAnsiTheme="majorEastAsia" w:eastAsiaTheme="majorEastAsia" w:cstheme="majorEastAsia"/>
                <w:spacing w:val="-3"/>
                <w:sz w:val="24"/>
                <w:szCs w:val="24"/>
                <w:highlight w:val="none"/>
                <w:lang w:val="en-US" w:eastAsia="zh-CN"/>
              </w:rPr>
              <w:t>过</w:t>
            </w:r>
            <w:r>
              <w:rPr>
                <w:rFonts w:hint="eastAsia" w:asciiTheme="majorEastAsia" w:hAnsiTheme="majorEastAsia" w:eastAsiaTheme="majorEastAsia" w:cstheme="majorEastAsia"/>
                <w:spacing w:val="-3"/>
                <w:sz w:val="24"/>
                <w:szCs w:val="24"/>
                <w:highlight w:val="none"/>
                <w:lang w:val="zh-CN" w:eastAsia="zh-CN"/>
              </w:rPr>
              <w:t>国家级</w:t>
            </w:r>
            <w:r>
              <w:rPr>
                <w:rFonts w:hint="eastAsia" w:asciiTheme="majorEastAsia" w:hAnsiTheme="majorEastAsia" w:eastAsiaTheme="majorEastAsia" w:cstheme="majorEastAsia"/>
                <w:spacing w:val="-3"/>
                <w:sz w:val="24"/>
                <w:szCs w:val="24"/>
                <w:highlight w:val="none"/>
                <w:lang w:val="en-US" w:eastAsia="zh-CN"/>
              </w:rPr>
              <w:t>质量类</w:t>
            </w:r>
            <w:r>
              <w:rPr>
                <w:rFonts w:hint="eastAsia" w:asciiTheme="majorEastAsia" w:hAnsiTheme="majorEastAsia" w:eastAsiaTheme="majorEastAsia" w:cstheme="majorEastAsia"/>
                <w:spacing w:val="-3"/>
                <w:sz w:val="24"/>
                <w:szCs w:val="24"/>
                <w:highlight w:val="none"/>
                <w:lang w:val="zh-CN" w:eastAsia="zh-CN"/>
              </w:rPr>
              <w:t>奖项</w:t>
            </w:r>
            <w:r>
              <w:rPr>
                <w:rFonts w:hint="eastAsia" w:asciiTheme="majorEastAsia" w:hAnsiTheme="majorEastAsia" w:eastAsiaTheme="majorEastAsia" w:cstheme="majorEastAsia"/>
                <w:spacing w:val="-3"/>
                <w:sz w:val="24"/>
                <w:szCs w:val="24"/>
                <w:highlight w:val="none"/>
                <w:lang w:val="en-US" w:eastAsia="zh-CN"/>
              </w:rPr>
              <w:t>的，</w:t>
            </w:r>
            <w:r>
              <w:rPr>
                <w:rFonts w:hint="eastAsia" w:asciiTheme="majorEastAsia" w:hAnsiTheme="majorEastAsia" w:eastAsiaTheme="majorEastAsia" w:cstheme="majorEastAsia"/>
                <w:spacing w:val="-3"/>
                <w:sz w:val="24"/>
                <w:szCs w:val="24"/>
                <w:highlight w:val="none"/>
                <w:lang w:val="zh-CN" w:eastAsia="zh-CN"/>
              </w:rPr>
              <w:t>每项得</w:t>
            </w:r>
            <w:r>
              <w:rPr>
                <w:rFonts w:hint="eastAsia" w:asciiTheme="majorEastAsia" w:hAnsiTheme="majorEastAsia" w:eastAsiaTheme="majorEastAsia" w:cstheme="majorEastAsia"/>
                <w:spacing w:val="-3"/>
                <w:sz w:val="24"/>
                <w:szCs w:val="24"/>
                <w:highlight w:val="none"/>
                <w:lang w:val="en-US" w:eastAsia="zh-CN"/>
              </w:rPr>
              <w:t>6</w:t>
            </w:r>
            <w:r>
              <w:rPr>
                <w:rFonts w:hint="eastAsia" w:asciiTheme="majorEastAsia" w:hAnsiTheme="majorEastAsia" w:eastAsiaTheme="majorEastAsia" w:cstheme="majorEastAsia"/>
                <w:spacing w:val="-3"/>
                <w:sz w:val="24"/>
                <w:szCs w:val="24"/>
                <w:highlight w:val="none"/>
                <w:lang w:val="zh-CN" w:eastAsia="zh-CN"/>
              </w:rPr>
              <w:t>分；</w:t>
            </w:r>
          </w:p>
          <w:p w14:paraId="4A0E3CCE">
            <w:pPr>
              <w:keepNext w:val="0"/>
              <w:keepLines w:val="0"/>
              <w:pageBreakBefore w:val="0"/>
              <w:widowControl w:val="0"/>
              <w:wordWrap w:val="0"/>
              <w:bidi w:val="0"/>
              <w:snapToGrid w:val="0"/>
              <w:spacing w:line="240" w:lineRule="auto"/>
              <w:jc w:val="left"/>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eastAsia="zh-CN"/>
              </w:rPr>
              <w:t>获得</w:t>
            </w:r>
            <w:r>
              <w:rPr>
                <w:rFonts w:hint="eastAsia" w:asciiTheme="majorEastAsia" w:hAnsiTheme="majorEastAsia" w:eastAsiaTheme="majorEastAsia" w:cstheme="majorEastAsia"/>
                <w:spacing w:val="-3"/>
                <w:sz w:val="24"/>
                <w:szCs w:val="24"/>
                <w:highlight w:val="none"/>
                <w:lang w:val="en-US" w:eastAsia="zh-CN"/>
              </w:rPr>
              <w:t>过</w:t>
            </w:r>
            <w:r>
              <w:rPr>
                <w:rFonts w:hint="eastAsia" w:asciiTheme="majorEastAsia" w:hAnsiTheme="majorEastAsia" w:eastAsiaTheme="majorEastAsia" w:cstheme="majorEastAsia"/>
                <w:spacing w:val="-3"/>
                <w:sz w:val="24"/>
                <w:szCs w:val="24"/>
                <w:highlight w:val="none"/>
                <w:lang w:val="zh-CN" w:eastAsia="zh-CN"/>
              </w:rPr>
              <w:t>省级</w:t>
            </w:r>
            <w:r>
              <w:rPr>
                <w:rFonts w:hint="eastAsia" w:asciiTheme="majorEastAsia" w:hAnsiTheme="majorEastAsia" w:eastAsiaTheme="majorEastAsia" w:cstheme="majorEastAsia"/>
                <w:spacing w:val="-3"/>
                <w:sz w:val="24"/>
                <w:szCs w:val="24"/>
                <w:highlight w:val="none"/>
                <w:lang w:val="en-US" w:eastAsia="zh-CN"/>
              </w:rPr>
              <w:t>质量类</w:t>
            </w:r>
            <w:r>
              <w:rPr>
                <w:rFonts w:hint="eastAsia" w:asciiTheme="majorEastAsia" w:hAnsiTheme="majorEastAsia" w:eastAsiaTheme="majorEastAsia" w:cstheme="majorEastAsia"/>
                <w:spacing w:val="-3"/>
                <w:sz w:val="24"/>
                <w:szCs w:val="24"/>
                <w:highlight w:val="none"/>
                <w:lang w:val="zh-CN" w:eastAsia="zh-CN"/>
              </w:rPr>
              <w:t>奖项</w:t>
            </w:r>
            <w:r>
              <w:rPr>
                <w:rFonts w:hint="eastAsia" w:asciiTheme="majorEastAsia" w:hAnsiTheme="majorEastAsia" w:eastAsiaTheme="majorEastAsia" w:cstheme="majorEastAsia"/>
                <w:spacing w:val="-3"/>
                <w:sz w:val="24"/>
                <w:szCs w:val="24"/>
                <w:highlight w:val="none"/>
                <w:lang w:val="en-US" w:eastAsia="zh-CN"/>
              </w:rPr>
              <w:t>的，</w:t>
            </w:r>
            <w:r>
              <w:rPr>
                <w:rFonts w:hint="eastAsia" w:asciiTheme="majorEastAsia" w:hAnsiTheme="majorEastAsia" w:eastAsiaTheme="majorEastAsia" w:cstheme="majorEastAsia"/>
                <w:spacing w:val="-3"/>
                <w:sz w:val="24"/>
                <w:szCs w:val="24"/>
                <w:highlight w:val="none"/>
                <w:lang w:val="zh-CN" w:eastAsia="zh-CN"/>
              </w:rPr>
              <w:t>每项得</w:t>
            </w:r>
            <w:r>
              <w:rPr>
                <w:rFonts w:hint="eastAsia" w:asciiTheme="majorEastAsia" w:hAnsiTheme="majorEastAsia" w:eastAsiaTheme="majorEastAsia" w:cstheme="majorEastAsia"/>
                <w:spacing w:val="-3"/>
                <w:sz w:val="24"/>
                <w:szCs w:val="24"/>
                <w:highlight w:val="none"/>
                <w:lang w:val="en-US" w:eastAsia="zh-CN"/>
              </w:rPr>
              <w:t>3</w:t>
            </w:r>
            <w:r>
              <w:rPr>
                <w:rFonts w:hint="eastAsia" w:asciiTheme="majorEastAsia" w:hAnsiTheme="majorEastAsia" w:eastAsiaTheme="majorEastAsia" w:cstheme="majorEastAsia"/>
                <w:spacing w:val="-3"/>
                <w:sz w:val="24"/>
                <w:szCs w:val="24"/>
                <w:highlight w:val="none"/>
                <w:lang w:val="zh-CN" w:eastAsia="zh-CN"/>
              </w:rPr>
              <w:t>分；</w:t>
            </w:r>
          </w:p>
          <w:p w14:paraId="2C3DDA68">
            <w:pPr>
              <w:keepNext w:val="0"/>
              <w:keepLines w:val="0"/>
              <w:pageBreakBefore w:val="0"/>
              <w:widowControl w:val="0"/>
              <w:wordWrap w:val="0"/>
              <w:bidi w:val="0"/>
              <w:snapToGrid w:val="0"/>
              <w:spacing w:line="240" w:lineRule="auto"/>
              <w:jc w:val="left"/>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eastAsia="zh-CN"/>
              </w:rPr>
              <w:t>获得</w:t>
            </w:r>
            <w:r>
              <w:rPr>
                <w:rFonts w:hint="eastAsia" w:asciiTheme="majorEastAsia" w:hAnsiTheme="majorEastAsia" w:eastAsiaTheme="majorEastAsia" w:cstheme="majorEastAsia"/>
                <w:spacing w:val="-3"/>
                <w:sz w:val="24"/>
                <w:szCs w:val="24"/>
                <w:highlight w:val="none"/>
                <w:lang w:val="en-US" w:eastAsia="zh-CN"/>
              </w:rPr>
              <w:t>过市</w:t>
            </w:r>
            <w:r>
              <w:rPr>
                <w:rFonts w:hint="eastAsia" w:asciiTheme="majorEastAsia" w:hAnsiTheme="majorEastAsia" w:eastAsiaTheme="majorEastAsia" w:cstheme="majorEastAsia"/>
                <w:spacing w:val="-3"/>
                <w:sz w:val="24"/>
                <w:szCs w:val="24"/>
                <w:highlight w:val="none"/>
                <w:lang w:val="zh-CN" w:eastAsia="zh-CN"/>
              </w:rPr>
              <w:t>级</w:t>
            </w:r>
            <w:r>
              <w:rPr>
                <w:rFonts w:hint="eastAsia" w:asciiTheme="majorEastAsia" w:hAnsiTheme="majorEastAsia" w:eastAsiaTheme="majorEastAsia" w:cstheme="majorEastAsia"/>
                <w:spacing w:val="-3"/>
                <w:sz w:val="24"/>
                <w:szCs w:val="24"/>
                <w:highlight w:val="none"/>
                <w:lang w:val="en-US" w:eastAsia="zh-CN"/>
              </w:rPr>
              <w:t>质量类</w:t>
            </w:r>
            <w:r>
              <w:rPr>
                <w:rFonts w:hint="eastAsia" w:asciiTheme="majorEastAsia" w:hAnsiTheme="majorEastAsia" w:eastAsiaTheme="majorEastAsia" w:cstheme="majorEastAsia"/>
                <w:spacing w:val="-3"/>
                <w:sz w:val="24"/>
                <w:szCs w:val="24"/>
                <w:highlight w:val="none"/>
                <w:lang w:val="zh-CN" w:eastAsia="zh-CN"/>
              </w:rPr>
              <w:t>奖项</w:t>
            </w:r>
            <w:r>
              <w:rPr>
                <w:rFonts w:hint="eastAsia" w:asciiTheme="majorEastAsia" w:hAnsiTheme="majorEastAsia" w:eastAsiaTheme="majorEastAsia" w:cstheme="majorEastAsia"/>
                <w:spacing w:val="-3"/>
                <w:sz w:val="24"/>
                <w:szCs w:val="24"/>
                <w:highlight w:val="none"/>
                <w:lang w:val="en-US" w:eastAsia="zh-CN"/>
              </w:rPr>
              <w:t>的，</w:t>
            </w:r>
            <w:r>
              <w:rPr>
                <w:rFonts w:hint="eastAsia" w:asciiTheme="majorEastAsia" w:hAnsiTheme="majorEastAsia" w:eastAsiaTheme="majorEastAsia" w:cstheme="majorEastAsia"/>
                <w:spacing w:val="-3"/>
                <w:sz w:val="24"/>
                <w:szCs w:val="24"/>
                <w:highlight w:val="none"/>
                <w:lang w:val="zh-CN" w:eastAsia="zh-CN"/>
              </w:rPr>
              <w:t>每项得</w:t>
            </w:r>
            <w:r>
              <w:rPr>
                <w:rFonts w:hint="eastAsia" w:asciiTheme="majorEastAsia" w:hAnsiTheme="majorEastAsia" w:eastAsiaTheme="majorEastAsia" w:cstheme="majorEastAsia"/>
                <w:spacing w:val="-3"/>
                <w:sz w:val="24"/>
                <w:szCs w:val="24"/>
                <w:highlight w:val="none"/>
                <w:lang w:val="en-US" w:eastAsia="zh-CN"/>
              </w:rPr>
              <w:t>1</w:t>
            </w:r>
            <w:r>
              <w:rPr>
                <w:rFonts w:hint="eastAsia" w:asciiTheme="majorEastAsia" w:hAnsiTheme="majorEastAsia" w:eastAsiaTheme="majorEastAsia" w:cstheme="majorEastAsia"/>
                <w:spacing w:val="-3"/>
                <w:sz w:val="24"/>
                <w:szCs w:val="24"/>
                <w:highlight w:val="none"/>
                <w:lang w:val="zh-CN" w:eastAsia="zh-CN"/>
              </w:rPr>
              <w:t>分。</w:t>
            </w:r>
          </w:p>
          <w:p w14:paraId="2E6A9472">
            <w:pPr>
              <w:keepNext w:val="0"/>
              <w:keepLines w:val="0"/>
              <w:pageBreakBefore w:val="0"/>
              <w:widowControl w:val="0"/>
              <w:wordWrap w:val="0"/>
              <w:bidi w:val="0"/>
              <w:snapToGrid w:val="0"/>
              <w:spacing w:line="240" w:lineRule="auto"/>
              <w:jc w:val="left"/>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pacing w:val="-3"/>
                <w:sz w:val="24"/>
                <w:szCs w:val="24"/>
                <w:highlight w:val="none"/>
                <w:lang w:val="zh-CN" w:eastAsia="zh-CN"/>
              </w:rPr>
              <w:t>注：</w:t>
            </w:r>
            <w:r>
              <w:rPr>
                <w:rFonts w:hint="eastAsia" w:asciiTheme="majorEastAsia" w:hAnsiTheme="majorEastAsia" w:eastAsiaTheme="majorEastAsia" w:cstheme="majorEastAsia"/>
                <w:spacing w:val="-3"/>
                <w:sz w:val="24"/>
                <w:szCs w:val="24"/>
                <w:highlight w:val="none"/>
                <w:lang w:val="en-US" w:eastAsia="zh-CN"/>
              </w:rPr>
              <w:t>本项最高得12分。须</w:t>
            </w:r>
            <w:r>
              <w:rPr>
                <w:rFonts w:hint="eastAsia" w:asciiTheme="majorEastAsia" w:hAnsiTheme="majorEastAsia" w:eastAsiaTheme="majorEastAsia" w:cstheme="majorEastAsia"/>
                <w:spacing w:val="-3"/>
                <w:sz w:val="24"/>
                <w:szCs w:val="24"/>
                <w:highlight w:val="none"/>
                <w:lang w:val="zh-CN" w:eastAsia="zh-CN"/>
              </w:rPr>
              <w:t>提供获奖证书，时间以获奖证书发证日期为准。如颁证单位为</w:t>
            </w:r>
            <w:r>
              <w:rPr>
                <w:rFonts w:hint="eastAsia" w:asciiTheme="majorEastAsia" w:hAnsiTheme="majorEastAsia" w:eastAsiaTheme="majorEastAsia" w:cstheme="majorEastAsia"/>
                <w:spacing w:val="-3"/>
                <w:sz w:val="24"/>
                <w:szCs w:val="24"/>
                <w:highlight w:val="none"/>
                <w:lang w:val="en-US" w:eastAsia="zh-CN"/>
              </w:rPr>
              <w:t>行业</w:t>
            </w:r>
            <w:r>
              <w:rPr>
                <w:rFonts w:hint="eastAsia" w:asciiTheme="majorEastAsia" w:hAnsiTheme="majorEastAsia" w:eastAsiaTheme="majorEastAsia" w:cstheme="majorEastAsia"/>
                <w:spacing w:val="-3"/>
                <w:sz w:val="24"/>
                <w:szCs w:val="24"/>
                <w:highlight w:val="none"/>
                <w:lang w:val="zh-CN" w:eastAsia="zh-CN"/>
              </w:rPr>
              <w:t>协会（</w:t>
            </w:r>
            <w:r>
              <w:rPr>
                <w:rFonts w:hint="eastAsia" w:asciiTheme="majorEastAsia" w:hAnsiTheme="majorEastAsia" w:eastAsiaTheme="majorEastAsia" w:cstheme="majorEastAsia"/>
                <w:spacing w:val="-3"/>
                <w:sz w:val="24"/>
                <w:szCs w:val="24"/>
                <w:highlight w:val="none"/>
                <w:lang w:val="en-US" w:eastAsia="zh-CN"/>
              </w:rPr>
              <w:t>或学会）</w:t>
            </w:r>
            <w:r>
              <w:rPr>
                <w:rFonts w:hint="eastAsia" w:asciiTheme="majorEastAsia" w:hAnsiTheme="majorEastAsia" w:eastAsiaTheme="majorEastAsia" w:cstheme="majorEastAsia"/>
                <w:spacing w:val="-3"/>
                <w:sz w:val="24"/>
                <w:szCs w:val="24"/>
                <w:highlight w:val="none"/>
                <w:lang w:val="zh-CN" w:eastAsia="zh-CN"/>
              </w:rPr>
              <w:t>的，还应提供该协会（</w:t>
            </w:r>
            <w:r>
              <w:rPr>
                <w:rFonts w:hint="eastAsia" w:asciiTheme="majorEastAsia" w:hAnsiTheme="majorEastAsia" w:eastAsiaTheme="majorEastAsia" w:cstheme="majorEastAsia"/>
                <w:spacing w:val="-3"/>
                <w:sz w:val="24"/>
                <w:szCs w:val="24"/>
                <w:highlight w:val="none"/>
                <w:lang w:val="en-US" w:eastAsia="zh-CN"/>
              </w:rPr>
              <w:t>或学会）</w:t>
            </w:r>
            <w:r>
              <w:rPr>
                <w:rFonts w:hint="eastAsia" w:asciiTheme="majorEastAsia" w:hAnsiTheme="majorEastAsia" w:eastAsiaTheme="majorEastAsia" w:cstheme="majorEastAsia"/>
                <w:spacing w:val="-3"/>
                <w:sz w:val="24"/>
                <w:szCs w:val="24"/>
                <w:highlight w:val="none"/>
                <w:lang w:val="zh-CN" w:eastAsia="zh-CN"/>
              </w:rPr>
              <w:t>在“</w:t>
            </w:r>
            <w:r>
              <w:rPr>
                <w:rFonts w:hint="eastAsia" w:asciiTheme="majorEastAsia" w:hAnsiTheme="majorEastAsia" w:eastAsiaTheme="majorEastAsia" w:cstheme="majorEastAsia"/>
                <w:spacing w:val="-3"/>
                <w:sz w:val="24"/>
                <w:szCs w:val="24"/>
                <w:highlight w:val="none"/>
                <w:lang w:val="en-US" w:eastAsia="zh-CN"/>
              </w:rPr>
              <w:t>中国社会组织政务服务平台</w:t>
            </w:r>
            <w:r>
              <w:rPr>
                <w:rFonts w:hint="eastAsia" w:asciiTheme="majorEastAsia" w:hAnsiTheme="majorEastAsia" w:eastAsiaTheme="majorEastAsia" w:cstheme="majorEastAsia"/>
                <w:spacing w:val="-3"/>
                <w:sz w:val="24"/>
                <w:szCs w:val="24"/>
                <w:highlight w:val="none"/>
                <w:lang w:val="zh-CN" w:eastAsia="zh-CN"/>
              </w:rPr>
              <w:t>”登记的网页截图，否则不得分。同一工程项目按最高奖项计取，不重复计分。</w:t>
            </w:r>
          </w:p>
        </w:tc>
      </w:tr>
      <w:tr w14:paraId="6E6C7244">
        <w:tblPrEx>
          <w:tblCellMar>
            <w:top w:w="0" w:type="dxa"/>
            <w:left w:w="0" w:type="dxa"/>
            <w:bottom w:w="0" w:type="dxa"/>
            <w:right w:w="0" w:type="dxa"/>
          </w:tblCellMar>
        </w:tblPrEx>
        <w:trPr>
          <w:trHeight w:val="321" w:hRule="atLeast"/>
          <w:jc w:val="center"/>
        </w:trPr>
        <w:tc>
          <w:tcPr>
            <w:tcW w:w="807" w:type="dxa"/>
            <w:vMerge w:val="continue"/>
            <w:tcBorders>
              <w:left w:val="single" w:color="auto" w:sz="4" w:space="0"/>
              <w:right w:val="single" w:color="auto" w:sz="4" w:space="0"/>
            </w:tcBorders>
            <w:noWrap w:val="0"/>
            <w:vAlign w:val="top"/>
          </w:tcPr>
          <w:p w14:paraId="5A49BDB5">
            <w:pPr>
              <w:autoSpaceDE w:val="0"/>
              <w:autoSpaceDN w:val="0"/>
              <w:snapToGrid w:val="0"/>
              <w:spacing w:line="240" w:lineRule="auto"/>
              <w:ind w:left="2082" w:right="2063"/>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top"/>
          </w:tcPr>
          <w:p w14:paraId="0D3B755D">
            <w:pPr>
              <w:autoSpaceDE w:val="0"/>
              <w:autoSpaceDN w:val="0"/>
              <w:snapToGrid w:val="0"/>
              <w:spacing w:line="240" w:lineRule="auto"/>
              <w:ind w:left="2082" w:right="2063"/>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17B6E7B">
            <w:pPr>
              <w:keepNext w:val="0"/>
              <w:keepLines w:val="0"/>
              <w:pageBreakBefore w:val="0"/>
              <w:kinsoku/>
              <w:wordWrap w:val="0"/>
              <w:overflowPunct/>
              <w:topLinePunct w:val="0"/>
              <w:bidi w:val="0"/>
              <w:adjustRightInd/>
              <w:snapToGrid w:val="0"/>
              <w:spacing w:after="0" w:line="240" w:lineRule="auto"/>
              <w:jc w:val="center"/>
              <w:textAlignment w:val="auto"/>
              <w:rPr>
                <w:rFonts w:hint="eastAsia" w:asciiTheme="majorEastAsia" w:hAnsiTheme="majorEastAsia" w:eastAsiaTheme="majorEastAsia" w:cstheme="majorEastAsia"/>
                <w:color w:val="auto"/>
                <w:spacing w:val="-3"/>
                <w:highlight w:val="none"/>
                <w:lang w:val="zh-CN" w:eastAsia="zh-CN"/>
              </w:rPr>
            </w:pPr>
            <w:r>
              <w:rPr>
                <w:rFonts w:hint="eastAsia" w:asciiTheme="majorEastAsia" w:hAnsiTheme="majorEastAsia" w:eastAsiaTheme="majorEastAsia" w:cstheme="majorEastAsia"/>
                <w:color w:val="auto"/>
                <w:spacing w:val="-3"/>
                <w:highlight w:val="none"/>
                <w:lang w:val="zh-CN" w:eastAsia="zh-CN"/>
              </w:rPr>
              <w:t>企业实力</w:t>
            </w:r>
          </w:p>
          <w:p w14:paraId="01E76989">
            <w:pPr>
              <w:keepNext w:val="0"/>
              <w:keepLines w:val="0"/>
              <w:pageBreakBefore w:val="0"/>
              <w:kinsoku/>
              <w:wordWrap w:val="0"/>
              <w:overflowPunct/>
              <w:topLinePunct w:val="0"/>
              <w:bidi w:val="0"/>
              <w:adjustRightInd/>
              <w:snapToGrid w:val="0"/>
              <w:spacing w:line="240" w:lineRule="auto"/>
              <w:jc w:val="center"/>
              <w:textAlignment w:val="auto"/>
              <w:rPr>
                <w:rFonts w:hint="eastAsia" w:asciiTheme="majorEastAsia" w:hAnsiTheme="majorEastAsia" w:eastAsiaTheme="majorEastAsia" w:cstheme="majorEastAsia"/>
                <w:spacing w:val="-3"/>
                <w:sz w:val="24"/>
                <w:szCs w:val="24"/>
                <w:highlight w:val="none"/>
                <w:lang w:val="zh-CN"/>
              </w:rPr>
            </w:pPr>
            <w:r>
              <w:rPr>
                <w:rFonts w:hint="eastAsia" w:asciiTheme="majorEastAsia" w:hAnsiTheme="majorEastAsia" w:eastAsiaTheme="majorEastAsia" w:cstheme="majorEastAsia"/>
                <w:color w:val="auto"/>
                <w:spacing w:val="-3"/>
                <w:highlight w:val="none"/>
                <w:lang w:val="zh-CN" w:eastAsia="zh-CN"/>
              </w:rPr>
              <w:t>（</w:t>
            </w:r>
            <w:r>
              <w:rPr>
                <w:rFonts w:hint="eastAsia" w:asciiTheme="majorEastAsia" w:hAnsiTheme="majorEastAsia" w:eastAsiaTheme="majorEastAsia" w:cstheme="majorEastAsia"/>
                <w:spacing w:val="-3"/>
                <w:highlight w:val="none"/>
                <w:lang w:val="en-US" w:eastAsia="zh-CN"/>
              </w:rPr>
              <w:t>6</w:t>
            </w:r>
            <w:r>
              <w:rPr>
                <w:rFonts w:hint="eastAsia" w:asciiTheme="majorEastAsia" w:hAnsiTheme="majorEastAsia" w:eastAsiaTheme="majorEastAsia" w:cstheme="majorEastAsia"/>
                <w:color w:val="auto"/>
                <w:spacing w:val="-3"/>
                <w:highlight w:val="none"/>
                <w:lang w:val="zh-CN" w:eastAsia="zh-CN"/>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0A3A2EF1">
            <w:pPr>
              <w:keepNext w:val="0"/>
              <w:keepLines w:val="0"/>
              <w:pageBreakBefore w:val="0"/>
              <w:kinsoku/>
              <w:wordWrap/>
              <w:overflowPunct/>
              <w:topLinePunct w:val="0"/>
              <w:bidi w:val="0"/>
              <w:adjustRightInd/>
              <w:snapToGrid/>
              <w:spacing w:line="240" w:lineRule="auto"/>
              <w:jc w:val="left"/>
              <w:textAlignment w:val="auto"/>
              <w:rPr>
                <w:rFonts w:hint="eastAsia" w:asciiTheme="majorEastAsia" w:hAnsiTheme="majorEastAsia" w:eastAsiaTheme="majorEastAsia" w:cstheme="majorEastAsia"/>
                <w:spacing w:val="-3"/>
                <w:highlight w:val="none"/>
                <w:lang w:val="zh-CN" w:eastAsia="zh-CN"/>
              </w:rPr>
            </w:pPr>
            <w:r>
              <w:rPr>
                <w:rFonts w:hint="eastAsia" w:asciiTheme="majorEastAsia" w:hAnsiTheme="majorEastAsia" w:eastAsiaTheme="majorEastAsia" w:cstheme="majorEastAsia"/>
                <w:spacing w:val="-3"/>
                <w:sz w:val="24"/>
                <w:szCs w:val="24"/>
                <w:highlight w:val="none"/>
                <w:lang w:val="zh-CN"/>
              </w:rPr>
              <w:t>20</w:t>
            </w:r>
            <w:r>
              <w:rPr>
                <w:rFonts w:hint="eastAsia" w:asciiTheme="majorEastAsia" w:hAnsiTheme="majorEastAsia" w:eastAsiaTheme="majorEastAsia" w:cstheme="majorEastAsia"/>
                <w:spacing w:val="-3"/>
                <w:sz w:val="24"/>
                <w:szCs w:val="24"/>
                <w:highlight w:val="none"/>
                <w:lang w:val="en-US" w:eastAsia="zh-CN"/>
              </w:rPr>
              <w:t>21</w:t>
            </w:r>
            <w:r>
              <w:rPr>
                <w:rFonts w:hint="eastAsia" w:asciiTheme="majorEastAsia" w:hAnsiTheme="majorEastAsia" w:eastAsiaTheme="majorEastAsia" w:cstheme="majorEastAsia"/>
                <w:spacing w:val="-3"/>
                <w:sz w:val="24"/>
                <w:szCs w:val="24"/>
                <w:highlight w:val="none"/>
                <w:lang w:val="zh-CN"/>
              </w:rPr>
              <w:t>年</w:t>
            </w:r>
            <w:r>
              <w:rPr>
                <w:rFonts w:hint="eastAsia" w:asciiTheme="majorEastAsia" w:hAnsiTheme="majorEastAsia" w:eastAsiaTheme="majorEastAsia" w:cstheme="majorEastAsia"/>
                <w:spacing w:val="-3"/>
                <w:sz w:val="24"/>
                <w:szCs w:val="24"/>
                <w:highlight w:val="none"/>
                <w:lang w:val="zh-CN" w:eastAsia="zh-CN"/>
              </w:rPr>
              <w:t>1月1日至今，</w:t>
            </w:r>
            <w:r>
              <w:rPr>
                <w:rFonts w:hint="eastAsia" w:asciiTheme="majorEastAsia" w:hAnsiTheme="majorEastAsia" w:eastAsiaTheme="majorEastAsia" w:cstheme="majorEastAsia"/>
                <w:spacing w:val="-3"/>
                <w:sz w:val="24"/>
                <w:szCs w:val="24"/>
                <w:highlight w:val="none"/>
                <w:lang w:val="en-US" w:eastAsia="zh-CN"/>
              </w:rPr>
              <w:t>投标人</w:t>
            </w:r>
            <w:r>
              <w:rPr>
                <w:rFonts w:hint="eastAsia" w:asciiTheme="majorEastAsia" w:hAnsiTheme="majorEastAsia" w:eastAsiaTheme="majorEastAsia" w:cstheme="majorEastAsia"/>
                <w:color w:val="auto"/>
                <w:spacing w:val="-3"/>
                <w:highlight w:val="none"/>
                <w:lang w:val="zh-CN" w:eastAsia="zh-CN"/>
              </w:rPr>
              <w:t>获得过</w:t>
            </w:r>
            <w:r>
              <w:rPr>
                <w:rFonts w:hint="eastAsia" w:asciiTheme="majorEastAsia" w:hAnsiTheme="majorEastAsia" w:eastAsiaTheme="majorEastAsia" w:cstheme="majorEastAsia"/>
                <w:spacing w:val="-3"/>
                <w:highlight w:val="none"/>
                <w:lang w:val="zh-CN" w:eastAsia="zh-CN"/>
              </w:rPr>
              <w:t>：</w:t>
            </w:r>
            <w:r>
              <w:rPr>
                <w:rFonts w:hint="eastAsia" w:asciiTheme="majorEastAsia" w:hAnsiTheme="majorEastAsia" w:eastAsiaTheme="majorEastAsia" w:cstheme="majorEastAsia"/>
                <w:color w:val="auto"/>
                <w:spacing w:val="-3"/>
                <w:highlight w:val="none"/>
                <w:lang w:val="zh-CN" w:eastAsia="zh-CN"/>
              </w:rPr>
              <w:t>省级或以上政府部门或行业协会（</w:t>
            </w:r>
            <w:r>
              <w:rPr>
                <w:rFonts w:hint="eastAsia" w:asciiTheme="majorEastAsia" w:hAnsiTheme="majorEastAsia" w:eastAsiaTheme="majorEastAsia" w:cstheme="majorEastAsia"/>
                <w:color w:val="auto"/>
                <w:spacing w:val="-3"/>
                <w:highlight w:val="none"/>
                <w:lang w:val="en-US" w:eastAsia="zh-CN"/>
              </w:rPr>
              <w:t>或</w:t>
            </w:r>
            <w:r>
              <w:rPr>
                <w:rFonts w:hint="eastAsia" w:asciiTheme="majorEastAsia" w:hAnsiTheme="majorEastAsia" w:eastAsiaTheme="majorEastAsia" w:cstheme="majorEastAsia"/>
                <w:color w:val="auto"/>
                <w:spacing w:val="-3"/>
                <w:highlight w:val="none"/>
                <w:lang w:val="zh-CN" w:eastAsia="zh-CN"/>
              </w:rPr>
              <w:t>学会）颁发的科学技术进步奖或科学技术奖的，每项得</w:t>
            </w:r>
            <w:r>
              <w:rPr>
                <w:rFonts w:hint="eastAsia" w:asciiTheme="majorEastAsia" w:hAnsiTheme="majorEastAsia" w:eastAsiaTheme="majorEastAsia" w:cstheme="majorEastAsia"/>
                <w:color w:val="auto"/>
                <w:spacing w:val="-3"/>
                <w:highlight w:val="none"/>
                <w:lang w:val="en-US" w:eastAsia="zh-CN"/>
              </w:rPr>
              <w:t>2</w:t>
            </w:r>
            <w:r>
              <w:rPr>
                <w:rFonts w:hint="eastAsia" w:asciiTheme="majorEastAsia" w:hAnsiTheme="majorEastAsia" w:eastAsiaTheme="majorEastAsia" w:cstheme="majorEastAsia"/>
                <w:color w:val="auto"/>
                <w:spacing w:val="-3"/>
                <w:highlight w:val="none"/>
                <w:lang w:val="zh-CN" w:eastAsia="zh-CN"/>
              </w:rPr>
              <w:t>分；市级政府部门或行业协会（</w:t>
            </w:r>
            <w:r>
              <w:rPr>
                <w:rFonts w:hint="eastAsia" w:asciiTheme="majorEastAsia" w:hAnsiTheme="majorEastAsia" w:eastAsiaTheme="majorEastAsia" w:cstheme="majorEastAsia"/>
                <w:color w:val="auto"/>
                <w:spacing w:val="-3"/>
                <w:highlight w:val="none"/>
                <w:lang w:val="en-US" w:eastAsia="zh-CN"/>
              </w:rPr>
              <w:t>或</w:t>
            </w:r>
            <w:r>
              <w:rPr>
                <w:rFonts w:hint="eastAsia" w:asciiTheme="majorEastAsia" w:hAnsiTheme="majorEastAsia" w:eastAsiaTheme="majorEastAsia" w:cstheme="majorEastAsia"/>
                <w:color w:val="auto"/>
                <w:spacing w:val="-3"/>
                <w:highlight w:val="none"/>
                <w:lang w:val="zh-CN" w:eastAsia="zh-CN"/>
              </w:rPr>
              <w:t>学会）颁发的科学技术进步奖或科学技术奖的，每项得</w:t>
            </w:r>
            <w:r>
              <w:rPr>
                <w:rFonts w:hint="eastAsia" w:asciiTheme="majorEastAsia" w:hAnsiTheme="majorEastAsia" w:eastAsiaTheme="majorEastAsia" w:cstheme="majorEastAsia"/>
                <w:spacing w:val="-3"/>
                <w:highlight w:val="none"/>
                <w:lang w:val="en-US" w:eastAsia="zh-CN"/>
              </w:rPr>
              <w:t>1</w:t>
            </w:r>
            <w:r>
              <w:rPr>
                <w:rFonts w:hint="eastAsia" w:asciiTheme="majorEastAsia" w:hAnsiTheme="majorEastAsia" w:eastAsiaTheme="majorEastAsia" w:cstheme="majorEastAsia"/>
                <w:color w:val="auto"/>
                <w:spacing w:val="-3"/>
                <w:highlight w:val="none"/>
                <w:lang w:val="zh-CN" w:eastAsia="zh-CN"/>
              </w:rPr>
              <w:t>分</w:t>
            </w:r>
            <w:r>
              <w:rPr>
                <w:rFonts w:hint="eastAsia" w:asciiTheme="majorEastAsia" w:hAnsiTheme="majorEastAsia" w:eastAsiaTheme="majorEastAsia" w:cstheme="majorEastAsia"/>
                <w:spacing w:val="-3"/>
                <w:sz w:val="24"/>
                <w:szCs w:val="24"/>
                <w:highlight w:val="none"/>
                <w:lang w:val="zh-CN"/>
              </w:rPr>
              <w:t>；</w:t>
            </w:r>
            <w:r>
              <w:rPr>
                <w:rFonts w:hint="eastAsia" w:asciiTheme="majorEastAsia" w:hAnsiTheme="majorEastAsia" w:eastAsiaTheme="majorEastAsia" w:cstheme="majorEastAsia"/>
                <w:spacing w:val="-3"/>
                <w:sz w:val="24"/>
                <w:szCs w:val="24"/>
                <w:highlight w:val="none"/>
                <w:lang w:val="en-US" w:eastAsia="zh-CN"/>
              </w:rPr>
              <w:t>无或其他不得分</w:t>
            </w:r>
            <w:r>
              <w:rPr>
                <w:rFonts w:hint="eastAsia" w:asciiTheme="majorEastAsia" w:hAnsiTheme="majorEastAsia" w:eastAsiaTheme="majorEastAsia" w:cstheme="majorEastAsia"/>
                <w:color w:val="auto"/>
                <w:spacing w:val="-3"/>
                <w:highlight w:val="none"/>
                <w:lang w:val="zh-CN" w:eastAsia="zh-CN"/>
              </w:rPr>
              <w:t>。</w:t>
            </w:r>
          </w:p>
          <w:p w14:paraId="55BB2875">
            <w:pPr>
              <w:keepNext w:val="0"/>
              <w:keepLines w:val="0"/>
              <w:pageBreakBefore w:val="0"/>
              <w:kinsoku/>
              <w:wordWrap/>
              <w:overflowPunct/>
              <w:topLinePunct w:val="0"/>
              <w:bidi w:val="0"/>
              <w:adjustRightInd/>
              <w:snapToGrid/>
              <w:spacing w:line="240" w:lineRule="auto"/>
              <w:jc w:val="left"/>
              <w:textAlignment w:val="auto"/>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eastAsia="zh-CN"/>
              </w:rPr>
              <w:t>注：</w:t>
            </w:r>
            <w:r>
              <w:rPr>
                <w:rFonts w:hint="eastAsia" w:asciiTheme="majorEastAsia" w:hAnsiTheme="majorEastAsia" w:eastAsiaTheme="majorEastAsia" w:cstheme="majorEastAsia"/>
                <w:spacing w:val="-3"/>
                <w:sz w:val="24"/>
                <w:szCs w:val="24"/>
                <w:highlight w:val="none"/>
                <w:lang w:val="en-US" w:eastAsia="zh-CN"/>
              </w:rPr>
              <w:t>本项最高得6分。须</w:t>
            </w:r>
            <w:r>
              <w:rPr>
                <w:rFonts w:hint="eastAsia" w:asciiTheme="majorEastAsia" w:hAnsiTheme="majorEastAsia" w:eastAsiaTheme="majorEastAsia" w:cstheme="majorEastAsia"/>
                <w:spacing w:val="-3"/>
                <w:sz w:val="24"/>
                <w:szCs w:val="24"/>
                <w:highlight w:val="none"/>
                <w:lang w:val="zh-CN" w:eastAsia="zh-CN"/>
              </w:rPr>
              <w:t>提供获奖证书，时间以获奖证书发证日期为准。如颁证单位为</w:t>
            </w:r>
            <w:r>
              <w:rPr>
                <w:rFonts w:hint="eastAsia" w:asciiTheme="majorEastAsia" w:hAnsiTheme="majorEastAsia" w:eastAsiaTheme="majorEastAsia" w:cstheme="majorEastAsia"/>
                <w:spacing w:val="-3"/>
                <w:sz w:val="24"/>
                <w:szCs w:val="24"/>
                <w:highlight w:val="none"/>
                <w:lang w:val="en-US" w:eastAsia="zh-CN"/>
              </w:rPr>
              <w:t>行业</w:t>
            </w:r>
            <w:r>
              <w:rPr>
                <w:rFonts w:hint="eastAsia" w:asciiTheme="majorEastAsia" w:hAnsiTheme="majorEastAsia" w:eastAsiaTheme="majorEastAsia" w:cstheme="majorEastAsia"/>
                <w:spacing w:val="-3"/>
                <w:sz w:val="24"/>
                <w:szCs w:val="24"/>
                <w:highlight w:val="none"/>
                <w:lang w:val="zh-CN" w:eastAsia="zh-CN"/>
              </w:rPr>
              <w:t>协会（</w:t>
            </w:r>
            <w:r>
              <w:rPr>
                <w:rFonts w:hint="eastAsia" w:asciiTheme="majorEastAsia" w:hAnsiTheme="majorEastAsia" w:eastAsiaTheme="majorEastAsia" w:cstheme="majorEastAsia"/>
                <w:spacing w:val="-3"/>
                <w:sz w:val="24"/>
                <w:szCs w:val="24"/>
                <w:highlight w:val="none"/>
                <w:lang w:val="en-US" w:eastAsia="zh-CN"/>
              </w:rPr>
              <w:t>或学会）</w:t>
            </w:r>
            <w:r>
              <w:rPr>
                <w:rFonts w:hint="eastAsia" w:asciiTheme="majorEastAsia" w:hAnsiTheme="majorEastAsia" w:eastAsiaTheme="majorEastAsia" w:cstheme="majorEastAsia"/>
                <w:spacing w:val="-3"/>
                <w:sz w:val="24"/>
                <w:szCs w:val="24"/>
                <w:highlight w:val="none"/>
                <w:lang w:val="zh-CN" w:eastAsia="zh-CN"/>
              </w:rPr>
              <w:t>的，还应提供该协会（</w:t>
            </w:r>
            <w:r>
              <w:rPr>
                <w:rFonts w:hint="eastAsia" w:asciiTheme="majorEastAsia" w:hAnsiTheme="majorEastAsia" w:eastAsiaTheme="majorEastAsia" w:cstheme="majorEastAsia"/>
                <w:spacing w:val="-3"/>
                <w:sz w:val="24"/>
                <w:szCs w:val="24"/>
                <w:highlight w:val="none"/>
                <w:lang w:val="en-US" w:eastAsia="zh-CN"/>
              </w:rPr>
              <w:t>或学会）</w:t>
            </w:r>
            <w:r>
              <w:rPr>
                <w:rFonts w:hint="eastAsia" w:asciiTheme="majorEastAsia" w:hAnsiTheme="majorEastAsia" w:eastAsiaTheme="majorEastAsia" w:cstheme="majorEastAsia"/>
                <w:spacing w:val="-3"/>
                <w:sz w:val="24"/>
                <w:szCs w:val="24"/>
                <w:highlight w:val="none"/>
                <w:lang w:val="zh-CN" w:eastAsia="zh-CN"/>
              </w:rPr>
              <w:t>在“</w:t>
            </w:r>
            <w:r>
              <w:rPr>
                <w:rFonts w:hint="eastAsia" w:asciiTheme="majorEastAsia" w:hAnsiTheme="majorEastAsia" w:eastAsiaTheme="majorEastAsia" w:cstheme="majorEastAsia"/>
                <w:spacing w:val="-3"/>
                <w:sz w:val="24"/>
                <w:szCs w:val="24"/>
                <w:highlight w:val="none"/>
                <w:lang w:val="en-US" w:eastAsia="zh-CN"/>
              </w:rPr>
              <w:t>中国社会组织政务服务平台</w:t>
            </w:r>
            <w:r>
              <w:rPr>
                <w:rFonts w:hint="eastAsia" w:asciiTheme="majorEastAsia" w:hAnsiTheme="majorEastAsia" w:eastAsiaTheme="majorEastAsia" w:cstheme="majorEastAsia"/>
                <w:spacing w:val="-3"/>
                <w:sz w:val="24"/>
                <w:szCs w:val="24"/>
                <w:highlight w:val="none"/>
                <w:lang w:val="zh-CN" w:eastAsia="zh-CN"/>
              </w:rPr>
              <w:t>”登记的网页截图，否则不得分。同一项目按最高奖项计取，不重复计分。</w:t>
            </w:r>
          </w:p>
        </w:tc>
      </w:tr>
      <w:tr w14:paraId="7A79D2ED">
        <w:tblPrEx>
          <w:tblCellMar>
            <w:top w:w="0" w:type="dxa"/>
            <w:left w:w="0" w:type="dxa"/>
            <w:bottom w:w="0" w:type="dxa"/>
            <w:right w:w="0" w:type="dxa"/>
          </w:tblCellMar>
        </w:tblPrEx>
        <w:trPr>
          <w:trHeight w:val="310" w:hRule="atLeast"/>
          <w:jc w:val="center"/>
        </w:trPr>
        <w:tc>
          <w:tcPr>
            <w:tcW w:w="807" w:type="dxa"/>
            <w:vMerge w:val="continue"/>
            <w:tcBorders>
              <w:left w:val="single" w:color="auto" w:sz="4" w:space="0"/>
              <w:right w:val="single" w:color="auto" w:sz="4" w:space="0"/>
            </w:tcBorders>
            <w:noWrap w:val="0"/>
            <w:vAlign w:val="top"/>
          </w:tcPr>
          <w:p w14:paraId="65AB42B3">
            <w:pPr>
              <w:pStyle w:val="48"/>
              <w:spacing w:line="240" w:lineRule="auto"/>
              <w:rPr>
                <w:rFonts w:hint="eastAsia" w:ascii="宋体" w:hAnsi="宋体" w:cs="宋体"/>
                <w:sz w:val="24"/>
                <w:szCs w:val="24"/>
                <w:highlight w:val="none"/>
              </w:rPr>
            </w:pPr>
          </w:p>
        </w:tc>
        <w:tc>
          <w:tcPr>
            <w:tcW w:w="718" w:type="dxa"/>
            <w:vMerge w:val="continue"/>
            <w:tcBorders>
              <w:left w:val="single" w:color="auto" w:sz="4" w:space="0"/>
              <w:right w:val="single" w:color="auto" w:sz="4" w:space="0"/>
            </w:tcBorders>
            <w:noWrap w:val="0"/>
            <w:vAlign w:val="top"/>
          </w:tcPr>
          <w:p w14:paraId="49F9F413">
            <w:pPr>
              <w:pStyle w:val="48"/>
              <w:spacing w:line="240" w:lineRule="auto"/>
              <w:rPr>
                <w:rFonts w:hint="eastAsia" w:ascii="宋体" w:hAnsi="宋体" w:cs="宋体"/>
                <w:sz w:val="24"/>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48582B0">
            <w:pPr>
              <w:keepNext w:val="0"/>
              <w:keepLines w:val="0"/>
              <w:pageBreakBefore w:val="0"/>
              <w:widowControl w:val="0"/>
              <w:wordWrap w:val="0"/>
              <w:bidi w:val="0"/>
              <w:snapToGrid w:val="0"/>
              <w:spacing w:line="240" w:lineRule="auto"/>
              <w:jc w:val="center"/>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eastAsia="zh-CN"/>
              </w:rPr>
              <w:t>总监理工程师</w:t>
            </w:r>
          </w:p>
          <w:p w14:paraId="46BEBE1B">
            <w:pPr>
              <w:keepNext w:val="0"/>
              <w:keepLines w:val="0"/>
              <w:pageBreakBefore w:val="0"/>
              <w:widowControl w:val="0"/>
              <w:wordWrap w:val="0"/>
              <w:bidi w:val="0"/>
              <w:snapToGrid w:val="0"/>
              <w:spacing w:line="240" w:lineRule="auto"/>
              <w:jc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lang w:val="zh-CN" w:eastAsia="zh-CN"/>
              </w:rPr>
              <w:t>资历（</w:t>
            </w:r>
            <w:r>
              <w:rPr>
                <w:rFonts w:hint="eastAsia" w:asciiTheme="majorEastAsia" w:hAnsiTheme="majorEastAsia" w:eastAsiaTheme="majorEastAsia" w:cstheme="majorEastAsia"/>
                <w:spacing w:val="-3"/>
                <w:sz w:val="24"/>
                <w:szCs w:val="24"/>
                <w:highlight w:val="none"/>
                <w:lang w:val="en-US" w:eastAsia="zh-CN"/>
              </w:rPr>
              <w:t>3</w:t>
            </w:r>
            <w:r>
              <w:rPr>
                <w:rFonts w:hint="eastAsia" w:asciiTheme="majorEastAsia" w:hAnsiTheme="majorEastAsia" w:eastAsiaTheme="majorEastAsia" w:cstheme="majorEastAsia"/>
                <w:spacing w:val="-3"/>
                <w:sz w:val="24"/>
                <w:szCs w:val="24"/>
                <w:highlight w:val="none"/>
                <w:lang w:val="zh-CN" w:eastAsia="zh-CN"/>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77B1B919">
            <w:pPr>
              <w:pStyle w:val="10"/>
              <w:rPr>
                <w:rFonts w:hint="eastAsia" w:asciiTheme="majorEastAsia" w:hAnsiTheme="majorEastAsia" w:eastAsiaTheme="majorEastAsia" w:cstheme="majorEastAsia"/>
                <w:spacing w:val="-3"/>
                <w:sz w:val="24"/>
                <w:szCs w:val="24"/>
                <w:highlight w:val="none"/>
                <w:lang w:val="zh-CN" w:eastAsia="zh-CN"/>
              </w:rPr>
            </w:pPr>
            <w:r>
              <w:rPr>
                <w:rFonts w:hint="eastAsia" w:asciiTheme="majorEastAsia" w:hAnsiTheme="majorEastAsia" w:eastAsiaTheme="majorEastAsia" w:cstheme="majorEastAsia"/>
                <w:spacing w:val="-3"/>
                <w:sz w:val="24"/>
                <w:szCs w:val="24"/>
                <w:highlight w:val="none"/>
                <w:lang w:val="zh-CN" w:eastAsia="zh-CN"/>
              </w:rPr>
              <w:t>拟派总监理工程师具有</w:t>
            </w:r>
            <w:r>
              <w:rPr>
                <w:rFonts w:hint="eastAsia" w:asciiTheme="majorEastAsia" w:hAnsiTheme="majorEastAsia" w:eastAsiaTheme="majorEastAsia" w:cstheme="majorEastAsia"/>
                <w:spacing w:val="-3"/>
                <w:sz w:val="24"/>
                <w:szCs w:val="24"/>
                <w:highlight w:val="none"/>
                <w:lang w:val="en-US" w:eastAsia="zh-CN"/>
              </w:rPr>
              <w:t>15</w:t>
            </w:r>
            <w:r>
              <w:rPr>
                <w:rFonts w:hint="eastAsia" w:asciiTheme="majorEastAsia" w:hAnsiTheme="majorEastAsia" w:eastAsiaTheme="majorEastAsia" w:cstheme="majorEastAsia"/>
                <w:spacing w:val="-3"/>
                <w:sz w:val="24"/>
                <w:szCs w:val="24"/>
                <w:highlight w:val="none"/>
                <w:lang w:val="zh-CN" w:eastAsia="zh-CN"/>
              </w:rPr>
              <w:t>年（不含本数）以上工作经验的得</w:t>
            </w:r>
            <w:r>
              <w:rPr>
                <w:rFonts w:hint="eastAsia" w:asciiTheme="majorEastAsia" w:hAnsiTheme="majorEastAsia" w:eastAsiaTheme="majorEastAsia" w:cstheme="majorEastAsia"/>
                <w:spacing w:val="-3"/>
                <w:sz w:val="24"/>
                <w:szCs w:val="24"/>
                <w:highlight w:val="none"/>
                <w:lang w:val="en-US" w:eastAsia="zh-CN"/>
              </w:rPr>
              <w:t>3</w:t>
            </w:r>
            <w:r>
              <w:rPr>
                <w:rFonts w:hint="eastAsia" w:asciiTheme="majorEastAsia" w:hAnsiTheme="majorEastAsia" w:eastAsiaTheme="majorEastAsia" w:cstheme="majorEastAsia"/>
                <w:spacing w:val="-3"/>
                <w:sz w:val="24"/>
                <w:szCs w:val="24"/>
                <w:highlight w:val="none"/>
                <w:lang w:val="zh-CN" w:eastAsia="zh-CN"/>
              </w:rPr>
              <w:t>分；具有10年（不含本数）-</w:t>
            </w:r>
            <w:r>
              <w:rPr>
                <w:rFonts w:hint="eastAsia" w:asciiTheme="majorEastAsia" w:hAnsiTheme="majorEastAsia" w:eastAsiaTheme="majorEastAsia" w:cstheme="majorEastAsia"/>
                <w:spacing w:val="-3"/>
                <w:sz w:val="24"/>
                <w:szCs w:val="24"/>
                <w:highlight w:val="none"/>
                <w:lang w:val="en-US" w:eastAsia="zh-CN"/>
              </w:rPr>
              <w:t>15</w:t>
            </w:r>
            <w:r>
              <w:rPr>
                <w:rFonts w:hint="eastAsia" w:asciiTheme="majorEastAsia" w:hAnsiTheme="majorEastAsia" w:eastAsiaTheme="majorEastAsia" w:cstheme="majorEastAsia"/>
                <w:spacing w:val="-3"/>
                <w:sz w:val="24"/>
                <w:szCs w:val="24"/>
                <w:highlight w:val="none"/>
                <w:lang w:val="zh-CN" w:eastAsia="zh-CN"/>
              </w:rPr>
              <w:t>年（含本数）工作经验的得</w:t>
            </w:r>
            <w:r>
              <w:rPr>
                <w:rFonts w:hint="eastAsia" w:asciiTheme="majorEastAsia" w:hAnsiTheme="majorEastAsia" w:eastAsiaTheme="majorEastAsia" w:cstheme="majorEastAsia"/>
                <w:spacing w:val="-3"/>
                <w:sz w:val="24"/>
                <w:szCs w:val="24"/>
                <w:highlight w:val="none"/>
                <w:lang w:val="en-US" w:eastAsia="zh-CN"/>
              </w:rPr>
              <w:t>2</w:t>
            </w:r>
            <w:r>
              <w:rPr>
                <w:rFonts w:hint="eastAsia" w:asciiTheme="majorEastAsia" w:hAnsiTheme="majorEastAsia" w:eastAsiaTheme="majorEastAsia" w:cstheme="majorEastAsia"/>
                <w:spacing w:val="-3"/>
                <w:sz w:val="24"/>
                <w:szCs w:val="24"/>
                <w:highlight w:val="none"/>
                <w:lang w:val="zh-CN" w:eastAsia="zh-CN"/>
              </w:rPr>
              <w:t>分；具有</w:t>
            </w:r>
            <w:r>
              <w:rPr>
                <w:rFonts w:hint="eastAsia" w:asciiTheme="majorEastAsia" w:hAnsiTheme="majorEastAsia" w:eastAsiaTheme="majorEastAsia" w:cstheme="majorEastAsia"/>
                <w:spacing w:val="-3"/>
                <w:sz w:val="24"/>
                <w:szCs w:val="24"/>
                <w:highlight w:val="none"/>
                <w:lang w:val="en-US" w:eastAsia="zh-CN"/>
              </w:rPr>
              <w:t>5</w:t>
            </w:r>
            <w:r>
              <w:rPr>
                <w:rFonts w:hint="eastAsia" w:asciiTheme="majorEastAsia" w:hAnsiTheme="majorEastAsia" w:eastAsiaTheme="majorEastAsia" w:cstheme="majorEastAsia"/>
                <w:spacing w:val="-3"/>
                <w:sz w:val="24"/>
                <w:szCs w:val="24"/>
                <w:highlight w:val="none"/>
                <w:lang w:val="zh-CN" w:eastAsia="zh-CN"/>
              </w:rPr>
              <w:t>年（不含本数）-</w:t>
            </w:r>
            <w:r>
              <w:rPr>
                <w:rFonts w:hint="eastAsia" w:asciiTheme="majorEastAsia" w:hAnsiTheme="majorEastAsia" w:eastAsiaTheme="majorEastAsia" w:cstheme="majorEastAsia"/>
                <w:spacing w:val="-3"/>
                <w:sz w:val="24"/>
                <w:szCs w:val="24"/>
                <w:highlight w:val="none"/>
                <w:lang w:val="en-US" w:eastAsia="zh-CN"/>
              </w:rPr>
              <w:t>10</w:t>
            </w:r>
            <w:r>
              <w:rPr>
                <w:rFonts w:hint="eastAsia" w:asciiTheme="majorEastAsia" w:hAnsiTheme="majorEastAsia" w:eastAsiaTheme="majorEastAsia" w:cstheme="majorEastAsia"/>
                <w:spacing w:val="-3"/>
                <w:sz w:val="24"/>
                <w:szCs w:val="24"/>
                <w:highlight w:val="none"/>
                <w:lang w:val="zh-CN" w:eastAsia="zh-CN"/>
              </w:rPr>
              <w:t>年（含本数）工作经验的得</w:t>
            </w:r>
            <w:r>
              <w:rPr>
                <w:rFonts w:hint="eastAsia" w:asciiTheme="majorEastAsia" w:hAnsiTheme="majorEastAsia" w:eastAsiaTheme="majorEastAsia" w:cstheme="majorEastAsia"/>
                <w:spacing w:val="-3"/>
                <w:sz w:val="24"/>
                <w:szCs w:val="24"/>
                <w:highlight w:val="none"/>
                <w:lang w:val="en-US" w:eastAsia="zh-CN"/>
              </w:rPr>
              <w:t>1</w:t>
            </w:r>
            <w:r>
              <w:rPr>
                <w:rFonts w:hint="eastAsia" w:asciiTheme="majorEastAsia" w:hAnsiTheme="majorEastAsia" w:eastAsiaTheme="majorEastAsia" w:cstheme="majorEastAsia"/>
                <w:spacing w:val="-3"/>
                <w:sz w:val="24"/>
                <w:szCs w:val="24"/>
                <w:highlight w:val="none"/>
                <w:lang w:val="zh-CN" w:eastAsia="zh-CN"/>
              </w:rPr>
              <w:t>分。</w:t>
            </w:r>
          </w:p>
          <w:p w14:paraId="73838F86">
            <w:pPr>
              <w:rPr>
                <w:rFonts w:hint="eastAsia" w:asciiTheme="majorEastAsia" w:hAnsiTheme="majorEastAsia" w:eastAsiaTheme="majorEastAsia" w:cstheme="majorEastAsia"/>
                <w:bCs/>
                <w:sz w:val="24"/>
                <w:szCs w:val="24"/>
                <w:highlight w:val="none"/>
              </w:rPr>
            </w:pPr>
            <w:r>
              <w:rPr>
                <w:rFonts w:hint="eastAsia" w:asciiTheme="majorEastAsia" w:hAnsiTheme="majorEastAsia" w:eastAsiaTheme="majorEastAsia" w:cstheme="majorEastAsia"/>
                <w:spacing w:val="-3"/>
                <w:sz w:val="24"/>
                <w:szCs w:val="24"/>
                <w:highlight w:val="none"/>
                <w:lang w:val="zh-CN" w:eastAsia="zh-CN"/>
              </w:rPr>
              <w:t>注：本项最高得</w:t>
            </w:r>
            <w:r>
              <w:rPr>
                <w:rFonts w:hint="eastAsia" w:asciiTheme="majorEastAsia" w:hAnsiTheme="majorEastAsia" w:eastAsiaTheme="majorEastAsia" w:cstheme="majorEastAsia"/>
                <w:spacing w:val="-3"/>
                <w:sz w:val="24"/>
                <w:szCs w:val="24"/>
                <w:highlight w:val="none"/>
                <w:lang w:val="en-US" w:eastAsia="zh-CN"/>
              </w:rPr>
              <w:t>3</w:t>
            </w:r>
            <w:r>
              <w:rPr>
                <w:rFonts w:hint="eastAsia" w:asciiTheme="majorEastAsia" w:hAnsiTheme="majorEastAsia" w:eastAsiaTheme="majorEastAsia" w:cstheme="majorEastAsia"/>
                <w:spacing w:val="-3"/>
                <w:sz w:val="24"/>
                <w:szCs w:val="24"/>
                <w:highlight w:val="none"/>
                <w:lang w:val="zh-CN" w:eastAsia="zh-CN"/>
              </w:rPr>
              <w:t>分。须提供毕业证</w:t>
            </w:r>
            <w:r>
              <w:rPr>
                <w:rFonts w:hint="eastAsia" w:asciiTheme="majorEastAsia" w:hAnsiTheme="majorEastAsia" w:eastAsiaTheme="majorEastAsia" w:cstheme="majorEastAsia"/>
                <w:spacing w:val="-3"/>
                <w:sz w:val="24"/>
                <w:szCs w:val="24"/>
                <w:highlight w:val="none"/>
                <w:lang w:val="en-US" w:eastAsia="zh-CN"/>
              </w:rPr>
              <w:t>及近一个月（即2026年2月）在投标人购买社保的证明</w:t>
            </w:r>
            <w:r>
              <w:rPr>
                <w:rFonts w:hint="eastAsia" w:asciiTheme="majorEastAsia" w:hAnsiTheme="majorEastAsia" w:eastAsiaTheme="majorEastAsia" w:cstheme="majorEastAsia"/>
                <w:spacing w:val="-3"/>
                <w:sz w:val="24"/>
                <w:szCs w:val="24"/>
                <w:highlight w:val="none"/>
                <w:lang w:val="zh-CN" w:eastAsia="zh-CN"/>
              </w:rPr>
              <w:t>，否则不得分。工作经验以</w:t>
            </w:r>
            <w:r>
              <w:rPr>
                <w:rFonts w:hint="eastAsia" w:asciiTheme="majorEastAsia" w:hAnsiTheme="majorEastAsia" w:eastAsiaTheme="majorEastAsia" w:cstheme="majorEastAsia"/>
                <w:spacing w:val="-3"/>
                <w:sz w:val="24"/>
                <w:szCs w:val="24"/>
                <w:highlight w:val="none"/>
                <w:lang w:val="en-US" w:eastAsia="zh-CN"/>
              </w:rPr>
              <w:t>专</w:t>
            </w:r>
            <w:r>
              <w:rPr>
                <w:rFonts w:hint="eastAsia" w:asciiTheme="majorEastAsia" w:hAnsiTheme="majorEastAsia" w:eastAsiaTheme="majorEastAsia" w:cstheme="majorEastAsia"/>
                <w:spacing w:val="-3"/>
                <w:sz w:val="24"/>
                <w:szCs w:val="24"/>
                <w:highlight w:val="none"/>
                <w:lang w:val="zh-CN" w:eastAsia="zh-CN"/>
              </w:rPr>
              <w:t>科</w:t>
            </w:r>
            <w:r>
              <w:rPr>
                <w:rFonts w:hint="eastAsia" w:asciiTheme="majorEastAsia" w:hAnsiTheme="majorEastAsia" w:eastAsiaTheme="majorEastAsia" w:cstheme="majorEastAsia"/>
                <w:spacing w:val="-3"/>
                <w:sz w:val="24"/>
                <w:szCs w:val="24"/>
                <w:highlight w:val="none"/>
                <w:lang w:val="en-US" w:eastAsia="zh-CN"/>
              </w:rPr>
              <w:t>（</w:t>
            </w:r>
            <w:r>
              <w:rPr>
                <w:rFonts w:hint="eastAsia" w:asciiTheme="majorEastAsia" w:hAnsiTheme="majorEastAsia" w:eastAsiaTheme="majorEastAsia" w:cstheme="majorEastAsia"/>
                <w:spacing w:val="-3"/>
                <w:sz w:val="24"/>
                <w:szCs w:val="24"/>
                <w:highlight w:val="none"/>
                <w:lang w:val="zh-CN" w:eastAsia="zh-CN"/>
              </w:rPr>
              <w:t>或以上</w:t>
            </w:r>
            <w:r>
              <w:rPr>
                <w:rFonts w:hint="eastAsia" w:asciiTheme="majorEastAsia" w:hAnsiTheme="majorEastAsia" w:eastAsiaTheme="majorEastAsia" w:cstheme="majorEastAsia"/>
                <w:spacing w:val="-3"/>
                <w:sz w:val="24"/>
                <w:szCs w:val="24"/>
                <w:highlight w:val="none"/>
                <w:lang w:val="en-US" w:eastAsia="zh-CN"/>
              </w:rPr>
              <w:t>）</w:t>
            </w:r>
            <w:r>
              <w:rPr>
                <w:rFonts w:hint="eastAsia" w:asciiTheme="majorEastAsia" w:hAnsiTheme="majorEastAsia" w:eastAsiaTheme="majorEastAsia" w:cstheme="majorEastAsia"/>
                <w:spacing w:val="-3"/>
                <w:sz w:val="24"/>
                <w:szCs w:val="24"/>
                <w:highlight w:val="none"/>
                <w:lang w:val="zh-CN" w:eastAsia="zh-CN"/>
              </w:rPr>
              <w:t>学历证明的发证时间起至投标截止时间为准。</w:t>
            </w:r>
          </w:p>
        </w:tc>
      </w:tr>
      <w:tr w14:paraId="374E2200">
        <w:tblPrEx>
          <w:tblCellMar>
            <w:top w:w="0" w:type="dxa"/>
            <w:left w:w="0" w:type="dxa"/>
            <w:bottom w:w="0" w:type="dxa"/>
            <w:right w:w="0" w:type="dxa"/>
          </w:tblCellMar>
        </w:tblPrEx>
        <w:trPr>
          <w:trHeight w:val="366" w:hRule="atLeast"/>
          <w:jc w:val="center"/>
        </w:trPr>
        <w:tc>
          <w:tcPr>
            <w:tcW w:w="807" w:type="dxa"/>
            <w:vMerge w:val="continue"/>
            <w:tcBorders>
              <w:left w:val="single" w:color="auto" w:sz="4" w:space="0"/>
              <w:right w:val="single" w:color="auto" w:sz="4" w:space="0"/>
            </w:tcBorders>
            <w:noWrap w:val="0"/>
            <w:vAlign w:val="top"/>
          </w:tcPr>
          <w:p w14:paraId="197F22C3">
            <w:pPr>
              <w:autoSpaceDE w:val="0"/>
              <w:autoSpaceDN w:val="0"/>
              <w:snapToGrid w:val="0"/>
              <w:spacing w:line="240" w:lineRule="auto"/>
              <w:ind w:left="2079" w:right="2059"/>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top"/>
          </w:tcPr>
          <w:p w14:paraId="2E3A2409">
            <w:pPr>
              <w:autoSpaceDE w:val="0"/>
              <w:autoSpaceDN w:val="0"/>
              <w:snapToGrid w:val="0"/>
              <w:spacing w:line="240" w:lineRule="auto"/>
              <w:ind w:left="2079" w:right="2059"/>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455628E">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监理机构人员和专业的配备</w:t>
            </w:r>
          </w:p>
          <w:p w14:paraId="09D86FCD">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pacing w:val="-3"/>
                <w:sz w:val="24"/>
                <w:szCs w:val="24"/>
                <w:highlight w:val="none"/>
                <w:lang w:val="zh-CN"/>
              </w:rPr>
              <w:t>（</w:t>
            </w:r>
            <w:r>
              <w:rPr>
                <w:rFonts w:hint="eastAsia" w:asciiTheme="majorEastAsia" w:hAnsiTheme="majorEastAsia" w:eastAsiaTheme="majorEastAsia" w:cstheme="majorEastAsia"/>
                <w:spacing w:val="-3"/>
                <w:sz w:val="24"/>
                <w:szCs w:val="24"/>
                <w:highlight w:val="none"/>
                <w:lang w:val="en-US" w:eastAsia="zh-CN"/>
              </w:rPr>
              <w:t>8</w:t>
            </w:r>
            <w:r>
              <w:rPr>
                <w:rFonts w:hint="eastAsia" w:asciiTheme="majorEastAsia" w:hAnsiTheme="majorEastAsia" w:eastAsiaTheme="majorEastAsia" w:cstheme="majorEastAsia"/>
                <w:spacing w:val="-3"/>
                <w:sz w:val="24"/>
                <w:szCs w:val="24"/>
                <w:highlight w:val="none"/>
                <w:lang w:val="zh-CN"/>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7F2157F6">
            <w:pPr>
              <w:pStyle w:val="10"/>
              <w:rPr>
                <w:rFonts w:hint="eastAsia" w:asciiTheme="majorEastAsia" w:hAnsiTheme="majorEastAsia" w:eastAsiaTheme="majorEastAsia" w:cstheme="majorEastAsia"/>
                <w:spacing w:val="-3"/>
                <w:sz w:val="24"/>
                <w:szCs w:val="24"/>
                <w:highlight w:val="none"/>
                <w:lang w:val="en-US" w:eastAsia="zh-CN"/>
              </w:rPr>
            </w:pPr>
            <w:r>
              <w:rPr>
                <w:rFonts w:hint="eastAsia" w:asciiTheme="majorEastAsia" w:hAnsiTheme="majorEastAsia" w:eastAsiaTheme="majorEastAsia" w:cstheme="majorEastAsia"/>
                <w:spacing w:val="-3"/>
                <w:sz w:val="24"/>
                <w:szCs w:val="24"/>
                <w:highlight w:val="none"/>
                <w:lang w:val="en-US" w:eastAsia="zh-CN"/>
              </w:rPr>
              <w:t>拟投入本工程监理机构人员</w:t>
            </w:r>
            <w:r>
              <w:rPr>
                <w:rFonts w:hint="eastAsia" w:asciiTheme="majorEastAsia" w:hAnsiTheme="majorEastAsia" w:eastAsiaTheme="majorEastAsia" w:cstheme="majorEastAsia"/>
                <w:spacing w:val="-3"/>
                <w:sz w:val="24"/>
                <w:szCs w:val="24"/>
                <w:highlight w:val="none"/>
                <w:lang w:val="zh-CN" w:eastAsia="zh-CN"/>
              </w:rPr>
              <w:t>（除总监理工程师外）</w:t>
            </w:r>
          </w:p>
          <w:p w14:paraId="2CDEBA9C">
            <w:pPr>
              <w:pStyle w:val="10"/>
              <w:numPr>
                <w:ilvl w:val="-1"/>
                <w:numId w:val="0"/>
              </w:numPr>
              <w:rPr>
                <w:rFonts w:hint="eastAsia" w:asciiTheme="majorEastAsia" w:hAnsiTheme="majorEastAsia" w:eastAsiaTheme="majorEastAsia" w:cstheme="majorEastAsia"/>
                <w:spacing w:val="-3"/>
                <w:sz w:val="24"/>
                <w:szCs w:val="24"/>
                <w:highlight w:val="none"/>
                <w:lang w:val="en-US" w:eastAsia="zh-CN"/>
              </w:rPr>
            </w:pPr>
            <w:r>
              <w:rPr>
                <w:rFonts w:hint="eastAsia" w:asciiTheme="majorEastAsia" w:hAnsiTheme="majorEastAsia" w:eastAsiaTheme="majorEastAsia" w:cstheme="majorEastAsia"/>
                <w:spacing w:val="-3"/>
                <w:sz w:val="24"/>
                <w:szCs w:val="24"/>
                <w:highlight w:val="none"/>
                <w:lang w:val="en-US" w:eastAsia="zh-CN"/>
              </w:rPr>
              <w:t>（1）除总监外，满足本项目各专业监理人员配备（详见第二章《项目监理人员组成配备要求表》）要求得4分；</w:t>
            </w:r>
          </w:p>
          <w:p w14:paraId="000D3D8D">
            <w:pPr>
              <w:pStyle w:val="10"/>
              <w:numPr>
                <w:ilvl w:val="-1"/>
                <w:numId w:val="0"/>
              </w:numPr>
              <w:rPr>
                <w:rFonts w:hint="eastAsia" w:asciiTheme="majorEastAsia" w:hAnsiTheme="majorEastAsia" w:eastAsiaTheme="majorEastAsia" w:cstheme="majorEastAsia"/>
                <w:spacing w:val="-3"/>
                <w:sz w:val="24"/>
                <w:szCs w:val="24"/>
                <w:highlight w:val="none"/>
                <w:lang w:val="en-US" w:eastAsia="zh-CN"/>
              </w:rPr>
            </w:pPr>
            <w:r>
              <w:rPr>
                <w:rFonts w:hint="eastAsia" w:asciiTheme="majorEastAsia" w:hAnsiTheme="majorEastAsia" w:eastAsiaTheme="majorEastAsia" w:cstheme="majorEastAsia"/>
                <w:spacing w:val="-3"/>
                <w:sz w:val="24"/>
                <w:szCs w:val="24"/>
                <w:highlight w:val="none"/>
                <w:lang w:val="en-US" w:eastAsia="zh-CN"/>
              </w:rPr>
              <w:t>（2）每增加一名具有有效的《中华人民共和国监理工程师注册证书》（水利工程施工监理专业）监理工程师，且在投标人单位执业，得2分，本小项最高得4分；</w:t>
            </w:r>
          </w:p>
          <w:p w14:paraId="6E455AAC">
            <w:pPr>
              <w:pStyle w:val="10"/>
              <w:rPr>
                <w:rFonts w:hint="eastAsia" w:asciiTheme="majorEastAsia" w:hAnsiTheme="majorEastAsia" w:eastAsiaTheme="majorEastAsia" w:cstheme="majorEastAsia"/>
                <w:kern w:val="2"/>
                <w:sz w:val="24"/>
                <w:szCs w:val="24"/>
                <w:highlight w:val="none"/>
                <w:lang w:val="en-US" w:eastAsia="zh-CN" w:bidi="ar-SA"/>
              </w:rPr>
            </w:pPr>
            <w:r>
              <w:rPr>
                <w:rFonts w:hint="eastAsia" w:asciiTheme="majorEastAsia" w:hAnsiTheme="majorEastAsia" w:eastAsiaTheme="majorEastAsia" w:cstheme="majorEastAsia"/>
                <w:spacing w:val="-3"/>
                <w:sz w:val="24"/>
                <w:szCs w:val="24"/>
                <w:highlight w:val="none"/>
                <w:lang w:val="en-US" w:eastAsia="zh-CN"/>
              </w:rPr>
              <w:t>注：本项最高得8分。须提供上述人员相关证书及近一个月（即2026年2月）</w:t>
            </w:r>
            <w:r>
              <w:rPr>
                <w:rFonts w:hint="eastAsia" w:asciiTheme="majorEastAsia" w:hAnsiTheme="majorEastAsia" w:eastAsiaTheme="majorEastAsia" w:cstheme="majorEastAsia"/>
                <w:spacing w:val="-3"/>
                <w:sz w:val="24"/>
                <w:szCs w:val="24"/>
                <w:highlight w:val="none"/>
                <w:lang w:val="zh-CN" w:eastAsia="zh-CN"/>
              </w:rPr>
              <w:t>在投标人购买社保的证明</w:t>
            </w:r>
            <w:r>
              <w:rPr>
                <w:rFonts w:hint="eastAsia" w:asciiTheme="majorEastAsia" w:hAnsiTheme="majorEastAsia" w:eastAsiaTheme="majorEastAsia" w:cstheme="majorEastAsia"/>
                <w:spacing w:val="-3"/>
                <w:sz w:val="24"/>
                <w:szCs w:val="24"/>
                <w:highlight w:val="none"/>
                <w:lang w:val="en-US" w:eastAsia="zh-CN"/>
              </w:rPr>
              <w:t>，否则不得分。</w:t>
            </w:r>
          </w:p>
        </w:tc>
      </w:tr>
      <w:tr w14:paraId="286A27FB">
        <w:tblPrEx>
          <w:tblCellMar>
            <w:top w:w="0" w:type="dxa"/>
            <w:left w:w="0" w:type="dxa"/>
            <w:bottom w:w="0" w:type="dxa"/>
            <w:right w:w="0" w:type="dxa"/>
          </w:tblCellMar>
        </w:tblPrEx>
        <w:trPr>
          <w:trHeight w:val="1062" w:hRule="atLeast"/>
          <w:jc w:val="center"/>
        </w:trPr>
        <w:tc>
          <w:tcPr>
            <w:tcW w:w="807" w:type="dxa"/>
            <w:vMerge w:val="restart"/>
            <w:tcBorders>
              <w:top w:val="single" w:color="auto" w:sz="4" w:space="0"/>
              <w:left w:val="single" w:color="auto" w:sz="4" w:space="0"/>
              <w:bottom w:val="single" w:color="auto" w:sz="4" w:space="0"/>
              <w:right w:val="single" w:color="auto" w:sz="4" w:space="0"/>
            </w:tcBorders>
            <w:noWrap w:val="0"/>
            <w:vAlign w:val="center"/>
          </w:tcPr>
          <w:p w14:paraId="5B06F1A4">
            <w:pPr>
              <w:autoSpaceDE w:val="0"/>
              <w:autoSpaceDN w:val="0"/>
              <w:snapToGrid w:val="0"/>
              <w:spacing w:line="240" w:lineRule="auto"/>
              <w:ind w:right="17"/>
              <w:jc w:val="center"/>
              <w:rPr>
                <w:rFonts w:hint="eastAsia" w:ascii="宋体" w:hAnsi="宋体" w:cs="宋体"/>
                <w:szCs w:val="24"/>
                <w:highlight w:val="none"/>
              </w:rPr>
            </w:pPr>
            <w:r>
              <w:rPr>
                <w:rFonts w:hint="eastAsia" w:ascii="宋体" w:hAnsi="宋体" w:cs="宋体"/>
                <w:szCs w:val="24"/>
                <w:highlight w:val="none"/>
              </w:rPr>
              <w:t>2.2.4</w:t>
            </w:r>
          </w:p>
          <w:p w14:paraId="397D9695">
            <w:pPr>
              <w:autoSpaceDE w:val="0"/>
              <w:autoSpaceDN w:val="0"/>
              <w:snapToGrid w:val="0"/>
              <w:spacing w:before="0" w:line="240" w:lineRule="auto"/>
              <w:ind w:right="17"/>
              <w:jc w:val="center"/>
              <w:rPr>
                <w:rFonts w:hint="eastAsia" w:ascii="宋体" w:hAnsi="宋体" w:cs="宋体"/>
                <w:szCs w:val="24"/>
                <w:highlight w:val="none"/>
              </w:rPr>
            </w:pPr>
            <w:r>
              <w:rPr>
                <w:rFonts w:hint="eastAsia" w:ascii="宋体" w:hAnsi="宋体" w:cs="宋体"/>
                <w:szCs w:val="24"/>
                <w:highlight w:val="none"/>
              </w:rPr>
              <w:t>（2）</w:t>
            </w:r>
          </w:p>
        </w:tc>
        <w:tc>
          <w:tcPr>
            <w:tcW w:w="718" w:type="dxa"/>
            <w:vMerge w:val="restart"/>
            <w:tcBorders>
              <w:top w:val="single" w:color="auto" w:sz="4" w:space="0"/>
              <w:left w:val="single" w:color="auto" w:sz="4" w:space="0"/>
              <w:bottom w:val="single" w:color="auto" w:sz="4" w:space="0"/>
              <w:right w:val="single" w:color="auto" w:sz="4" w:space="0"/>
            </w:tcBorders>
            <w:noWrap w:val="0"/>
            <w:vAlign w:val="center"/>
          </w:tcPr>
          <w:p w14:paraId="654DE071">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highlight w:val="none"/>
                <w:lang w:val="en-US" w:eastAsia="zh-CN"/>
              </w:rPr>
              <w:t>监理大纲部分</w:t>
            </w:r>
          </w:p>
          <w:p w14:paraId="72C4F549">
            <w:pPr>
              <w:autoSpaceDE w:val="0"/>
              <w:autoSpaceDN w:val="0"/>
              <w:snapToGrid w:val="0"/>
              <w:spacing w:line="240" w:lineRule="auto"/>
              <w:ind w:right="6"/>
              <w:jc w:val="center"/>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45</w:t>
            </w:r>
            <w:r>
              <w:rPr>
                <w:rFonts w:hint="eastAsia" w:ascii="宋体" w:hAnsi="宋体" w:cs="宋体"/>
                <w:szCs w:val="24"/>
                <w:highlight w:val="none"/>
              </w:rPr>
              <w:t>分）</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7E7234B1">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监理范围、监理内容（</w:t>
            </w: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2758A05">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优(2分)</w:t>
            </w:r>
            <w:r>
              <w:rPr>
                <w:rFonts w:hint="eastAsia" w:asciiTheme="majorEastAsia" w:hAnsiTheme="majorEastAsia" w:eastAsiaTheme="majorEastAsia" w:cstheme="majorEastAsia"/>
                <w:i w:val="0"/>
                <w:iCs w:val="0"/>
                <w:caps w:val="0"/>
                <w:spacing w:val="-3"/>
                <w:sz w:val="24"/>
                <w:szCs w:val="24"/>
                <w:highlight w:val="none"/>
                <w:shd w:val="clear" w:fill="FFFFFF"/>
              </w:rPr>
              <w:t>：范围界定非常清晰，全面涵盖各阶段、各专业；内容极其具体明确，完全符合规范，可操作性极强。</w:t>
            </w:r>
          </w:p>
          <w:p w14:paraId="1C0E20A2">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中(1分)</w:t>
            </w:r>
            <w:r>
              <w:rPr>
                <w:rFonts w:hint="eastAsia" w:asciiTheme="majorEastAsia" w:hAnsiTheme="majorEastAsia" w:eastAsiaTheme="majorEastAsia" w:cstheme="majorEastAsia"/>
                <w:i w:val="0"/>
                <w:iCs w:val="0"/>
                <w:caps w:val="0"/>
                <w:spacing w:val="-3"/>
                <w:sz w:val="24"/>
                <w:szCs w:val="24"/>
                <w:highlight w:val="none"/>
                <w:shd w:val="clear" w:fill="FFFFFF"/>
              </w:rPr>
              <w:t>：范围界定较清晰，基本涵盖主要阶段和专业；内容较明确，较符合规范，有一定可操作性。</w:t>
            </w:r>
          </w:p>
          <w:p w14:paraId="3F15AAC2">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差(0.5分)</w:t>
            </w:r>
            <w:r>
              <w:rPr>
                <w:rFonts w:hint="eastAsia" w:asciiTheme="majorEastAsia" w:hAnsiTheme="majorEastAsia" w:eastAsiaTheme="majorEastAsia" w:cstheme="majorEastAsia"/>
                <w:i w:val="0"/>
                <w:iCs w:val="0"/>
                <w:caps w:val="0"/>
                <w:spacing w:val="-3"/>
                <w:sz w:val="24"/>
                <w:szCs w:val="24"/>
                <w:highlight w:val="none"/>
                <w:shd w:val="clear" w:fill="FFFFFF"/>
              </w:rPr>
              <w:t>：范围界定模糊，有遗漏；内容不具体，不符合规范，可操作性差。</w:t>
            </w:r>
          </w:p>
          <w:p w14:paraId="2C143BE4">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不提供(0分)</w:t>
            </w:r>
            <w:r>
              <w:rPr>
                <w:rFonts w:hint="eastAsia" w:asciiTheme="majorEastAsia" w:hAnsiTheme="majorEastAsia" w:eastAsiaTheme="majorEastAsia" w:cstheme="majorEastAsia"/>
                <w:i w:val="0"/>
                <w:iCs w:val="0"/>
                <w:caps w:val="0"/>
                <w:spacing w:val="-3"/>
                <w:sz w:val="24"/>
                <w:szCs w:val="24"/>
                <w:highlight w:val="none"/>
                <w:shd w:val="clear" w:fill="FFFFFF"/>
              </w:rPr>
              <w:t>：未提供相关内容。</w:t>
            </w:r>
          </w:p>
        </w:tc>
      </w:tr>
      <w:tr w14:paraId="00EBFEC7">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0CBE3FD4">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51BBD35C">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1237A4B">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监理依据、监理工作目标(</w:t>
            </w: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36BDA2E">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优(2分)</w:t>
            </w:r>
            <w:r>
              <w:rPr>
                <w:rFonts w:hint="eastAsia" w:asciiTheme="majorEastAsia" w:hAnsiTheme="majorEastAsia" w:eastAsiaTheme="majorEastAsia" w:cstheme="majorEastAsia"/>
                <w:i w:val="0"/>
                <w:iCs w:val="0"/>
                <w:caps w:val="0"/>
                <w:spacing w:val="-3"/>
                <w:sz w:val="24"/>
                <w:szCs w:val="24"/>
                <w:highlight w:val="none"/>
                <w:shd w:val="clear" w:fill="FFFFFF"/>
              </w:rPr>
              <w:t>：依据非常充分、准确；目标非常明确、具体、可量化。</w:t>
            </w:r>
          </w:p>
          <w:p w14:paraId="7564DD30">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中(1分)</w:t>
            </w:r>
            <w:r>
              <w:rPr>
                <w:rFonts w:hint="eastAsia" w:asciiTheme="majorEastAsia" w:hAnsiTheme="majorEastAsia" w:eastAsiaTheme="majorEastAsia" w:cstheme="majorEastAsia"/>
                <w:i w:val="0"/>
                <w:iCs w:val="0"/>
                <w:caps w:val="0"/>
                <w:spacing w:val="-3"/>
                <w:sz w:val="24"/>
                <w:szCs w:val="24"/>
                <w:highlight w:val="none"/>
                <w:shd w:val="clear" w:fill="FFFFFF"/>
              </w:rPr>
              <w:t>：依据较充分；目标较明确。</w:t>
            </w:r>
          </w:p>
          <w:p w14:paraId="79FC458D">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差(0.5分)</w:t>
            </w:r>
            <w:r>
              <w:rPr>
                <w:rFonts w:hint="eastAsia" w:asciiTheme="majorEastAsia" w:hAnsiTheme="majorEastAsia" w:eastAsiaTheme="majorEastAsia" w:cstheme="majorEastAsia"/>
                <w:i w:val="0"/>
                <w:iCs w:val="0"/>
                <w:caps w:val="0"/>
                <w:spacing w:val="-3"/>
                <w:sz w:val="24"/>
                <w:szCs w:val="24"/>
                <w:highlight w:val="none"/>
                <w:shd w:val="clear" w:fill="FFFFFF"/>
              </w:rPr>
              <w:t>：依据不充分或不准确；目标不明确或不切实际。</w:t>
            </w:r>
          </w:p>
          <w:p w14:paraId="31D780A5">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不提供(0分)</w:t>
            </w:r>
            <w:r>
              <w:rPr>
                <w:rFonts w:hint="eastAsia" w:asciiTheme="majorEastAsia" w:hAnsiTheme="majorEastAsia" w:eastAsiaTheme="majorEastAsia" w:cstheme="majorEastAsia"/>
                <w:i w:val="0"/>
                <w:iCs w:val="0"/>
                <w:caps w:val="0"/>
                <w:spacing w:val="-3"/>
                <w:sz w:val="24"/>
                <w:szCs w:val="24"/>
                <w:highlight w:val="none"/>
                <w:shd w:val="clear" w:fill="FFFFFF"/>
              </w:rPr>
              <w:t>：未提供相关内容。</w:t>
            </w:r>
          </w:p>
        </w:tc>
      </w:tr>
      <w:tr w14:paraId="37324ACF">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7866AB6C">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6FDB8BB5">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44E7678">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监理机构（框图）设置和岗位职责(</w:t>
            </w:r>
            <w:r>
              <w:rPr>
                <w:rFonts w:hint="eastAsia" w:asciiTheme="majorEastAsia" w:hAnsiTheme="majorEastAsia" w:eastAsiaTheme="majorEastAsia" w:cstheme="majorEastAsia"/>
                <w:kern w:val="0"/>
                <w:sz w:val="24"/>
                <w:szCs w:val="24"/>
                <w:highlight w:val="none"/>
                <w:lang w:val="en-US" w:eastAsia="zh-CN"/>
              </w:rPr>
              <w:t>2</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2BFDC9C">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优(2分)</w:t>
            </w:r>
            <w:r>
              <w:rPr>
                <w:rFonts w:hint="eastAsia" w:asciiTheme="majorEastAsia" w:hAnsiTheme="majorEastAsia" w:eastAsiaTheme="majorEastAsia" w:cstheme="majorEastAsia"/>
                <w:i w:val="0"/>
                <w:iCs w:val="0"/>
                <w:caps w:val="0"/>
                <w:spacing w:val="-3"/>
                <w:sz w:val="24"/>
                <w:szCs w:val="24"/>
                <w:highlight w:val="none"/>
                <w:shd w:val="clear" w:fill="FFFFFF"/>
              </w:rPr>
              <w:t>：机构设置非常合理，专业配套完善；岗位职责分工非常明确、细致、无交叉或遗漏。</w:t>
            </w:r>
          </w:p>
          <w:p w14:paraId="1FB59953">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中(1分)</w:t>
            </w:r>
            <w:r>
              <w:rPr>
                <w:rFonts w:hint="eastAsia" w:asciiTheme="majorEastAsia" w:hAnsiTheme="majorEastAsia" w:eastAsiaTheme="majorEastAsia" w:cstheme="majorEastAsia"/>
                <w:i w:val="0"/>
                <w:iCs w:val="0"/>
                <w:caps w:val="0"/>
                <w:spacing w:val="-3"/>
                <w:sz w:val="24"/>
                <w:szCs w:val="24"/>
                <w:highlight w:val="none"/>
                <w:shd w:val="clear" w:fill="FFFFFF"/>
              </w:rPr>
              <w:t>：机构设置较合理；岗位职责分工较明确。</w:t>
            </w:r>
          </w:p>
          <w:p w14:paraId="012374F2">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3"/>
                <w:sz w:val="24"/>
                <w:szCs w:val="24"/>
                <w:highlight w:val="none"/>
                <w:shd w:val="clear" w:fill="FFFFFF"/>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差(0.5分)</w:t>
            </w:r>
            <w:r>
              <w:rPr>
                <w:rFonts w:hint="eastAsia" w:asciiTheme="majorEastAsia" w:hAnsiTheme="majorEastAsia" w:eastAsiaTheme="majorEastAsia" w:cstheme="majorEastAsia"/>
                <w:i w:val="0"/>
                <w:iCs w:val="0"/>
                <w:caps w:val="0"/>
                <w:spacing w:val="-3"/>
                <w:sz w:val="24"/>
                <w:szCs w:val="24"/>
                <w:highlight w:val="none"/>
                <w:shd w:val="clear" w:fill="FFFFFF"/>
              </w:rPr>
              <w:t>：机构设置不合理；岗位职责分工不明确或有明显缺陷。</w:t>
            </w:r>
          </w:p>
          <w:p w14:paraId="750C6479">
            <w:pPr>
              <w:pStyle w:val="10"/>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3"/>
                <w:sz w:val="24"/>
                <w:szCs w:val="24"/>
                <w:highlight w:val="none"/>
                <w:shd w:val="clear" w:fill="FFFFFF"/>
              </w:rPr>
              <w:t>不提供(0分)</w:t>
            </w:r>
            <w:r>
              <w:rPr>
                <w:rFonts w:hint="eastAsia" w:asciiTheme="majorEastAsia" w:hAnsiTheme="majorEastAsia" w:eastAsiaTheme="majorEastAsia" w:cstheme="majorEastAsia"/>
                <w:i w:val="0"/>
                <w:iCs w:val="0"/>
                <w:caps w:val="0"/>
                <w:spacing w:val="-3"/>
                <w:sz w:val="24"/>
                <w:szCs w:val="24"/>
                <w:highlight w:val="none"/>
                <w:shd w:val="clear" w:fill="FFFFFF"/>
              </w:rPr>
              <w:t>：未提供相关内容。</w:t>
            </w:r>
          </w:p>
        </w:tc>
      </w:tr>
      <w:tr w14:paraId="5DA43C91">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23754949">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658C19A8">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99489E9">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监理工作程序、方法和制度</w:t>
            </w:r>
          </w:p>
          <w:p w14:paraId="3FC8442A">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FABE082">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优(4分)：程序非常清晰、科学，有完善的流程图；方法非常先进、合理；制度非常健全、完善。</w:t>
            </w:r>
          </w:p>
          <w:p w14:paraId="2FA3D975">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中(2分)：程序较清晰；方法较合理；制度较健全。差(1分)：程序混乱；方法不合理；制度不健全。</w:t>
            </w:r>
          </w:p>
          <w:p w14:paraId="02ACD2F1">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不提供(0分)：未提供相关内容。</w:t>
            </w:r>
          </w:p>
        </w:tc>
      </w:tr>
      <w:tr w14:paraId="4477BE9C">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42276231">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1DAF6BF6">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303AAC9E">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质量监理措施</w:t>
            </w:r>
          </w:p>
          <w:p w14:paraId="42C920F4">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7804B642">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优(4分)：目标非常明确；方法非常科学、可行；措施非常具体、针对性极强，有预控方案。</w:t>
            </w:r>
          </w:p>
          <w:p w14:paraId="3048E73E">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中(2分)：目标明确；方法合理；措施较具体、有一定针对性。</w:t>
            </w:r>
          </w:p>
          <w:p w14:paraId="34572D6E">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差(1分)：目标不明确；方法不可行；措施笼统、缺乏针对性。</w:t>
            </w:r>
          </w:p>
          <w:p w14:paraId="6B4DE099">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不提供(0分)：未提供相关内容。</w:t>
            </w:r>
          </w:p>
        </w:tc>
      </w:tr>
      <w:tr w14:paraId="551AB61D">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1F37F4B1">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5881E174">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7EFFBE9E">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进度监理措施</w:t>
            </w:r>
          </w:p>
          <w:p w14:paraId="2A738A1F">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61BBEF7">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优(4分)</w:t>
            </w:r>
            <w:r>
              <w:rPr>
                <w:rFonts w:hint="eastAsia" w:asciiTheme="majorEastAsia" w:hAnsiTheme="majorEastAsia" w:eastAsiaTheme="majorEastAsia" w:cstheme="majorEastAsia"/>
                <w:i w:val="0"/>
                <w:iCs w:val="0"/>
                <w:caps w:val="0"/>
                <w:spacing w:val="0"/>
                <w:sz w:val="24"/>
                <w:szCs w:val="24"/>
                <w:highlight w:val="none"/>
                <w:shd w:val="clear" w:fill="auto"/>
              </w:rPr>
              <w:t>：目标非常明确；方法非常科学、可行；措施非常具体、针对性极强，有纠偏和保障机制。</w:t>
            </w:r>
          </w:p>
          <w:p w14:paraId="516E5F34">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中(2分)</w:t>
            </w:r>
            <w:r>
              <w:rPr>
                <w:rFonts w:hint="eastAsia" w:asciiTheme="majorEastAsia" w:hAnsiTheme="majorEastAsia" w:eastAsiaTheme="majorEastAsia" w:cstheme="majorEastAsia"/>
                <w:i w:val="0"/>
                <w:iCs w:val="0"/>
                <w:caps w:val="0"/>
                <w:spacing w:val="0"/>
                <w:sz w:val="24"/>
                <w:szCs w:val="24"/>
                <w:highlight w:val="none"/>
                <w:shd w:val="clear" w:fill="auto"/>
              </w:rPr>
              <w:t>：目标明确；方法合理；措施较具体、有一定针对性。</w:t>
            </w:r>
          </w:p>
          <w:p w14:paraId="2FDE9709">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差(1分)</w:t>
            </w:r>
            <w:r>
              <w:rPr>
                <w:rFonts w:hint="eastAsia" w:asciiTheme="majorEastAsia" w:hAnsiTheme="majorEastAsia" w:eastAsiaTheme="majorEastAsia" w:cstheme="majorEastAsia"/>
                <w:i w:val="0"/>
                <w:iCs w:val="0"/>
                <w:caps w:val="0"/>
                <w:spacing w:val="0"/>
                <w:sz w:val="24"/>
                <w:szCs w:val="24"/>
                <w:highlight w:val="none"/>
                <w:shd w:val="clear" w:fill="auto"/>
              </w:rPr>
              <w:t>：目标不明确；方法不可行；措施笼统、缺乏针对性。</w:t>
            </w:r>
          </w:p>
          <w:p w14:paraId="4D0EA3DF">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不提供(0分)</w:t>
            </w:r>
            <w:r>
              <w:rPr>
                <w:rFonts w:hint="eastAsia" w:asciiTheme="majorEastAsia" w:hAnsiTheme="majorEastAsia" w:eastAsiaTheme="majorEastAsia" w:cstheme="majorEastAsia"/>
                <w:i w:val="0"/>
                <w:iCs w:val="0"/>
                <w:caps w:val="0"/>
                <w:spacing w:val="0"/>
                <w:sz w:val="24"/>
                <w:szCs w:val="24"/>
                <w:highlight w:val="none"/>
                <w:shd w:val="clear" w:fill="auto"/>
              </w:rPr>
              <w:t>：未提供相关内容。</w:t>
            </w:r>
          </w:p>
        </w:tc>
      </w:tr>
      <w:tr w14:paraId="0D3E4F42">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56F6D0FE">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5026B6F1">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FE00140">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投资监理措施</w:t>
            </w:r>
          </w:p>
          <w:p w14:paraId="1BD96EA0">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D0A3F0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优(4分)：目标非常明确；方法非常科学、可行；措施非常具体、针对性极强，有风险控制和节约投资建议。</w:t>
            </w:r>
          </w:p>
          <w:p w14:paraId="3AC9545A">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中(2分)：目标明确；方法合理；措施较具体、有一定针对性。</w:t>
            </w:r>
          </w:p>
          <w:p w14:paraId="719C649F">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差(1分)：目标不明确；方法不可行；措施笼统、缺乏针对性。</w:t>
            </w:r>
          </w:p>
          <w:p w14:paraId="4E2ECB6F">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不提供(0分)：未提供相关内容。</w:t>
            </w:r>
          </w:p>
        </w:tc>
      </w:tr>
      <w:tr w14:paraId="786D5018">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51344D68">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7D5991D9">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ECED754">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安全监理措施</w:t>
            </w:r>
          </w:p>
          <w:p w14:paraId="038F0736">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4</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B7881DD">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优(4分)：目标非常明确；方法非常科学、可行；措施非常具体、针对性极强，有应急预案和专项方案审查。</w:t>
            </w:r>
          </w:p>
          <w:p w14:paraId="354F501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中(2分)：目标明确；方法合理；措施较具体、有一定针对性。</w:t>
            </w:r>
          </w:p>
          <w:p w14:paraId="306137FD">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差(1分)：目标不明确；方法不可行；措施笼统、缺乏针对性。</w:t>
            </w:r>
          </w:p>
          <w:p w14:paraId="4723DD94">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不提供(0分)：未提供相关内容。</w:t>
            </w:r>
          </w:p>
        </w:tc>
      </w:tr>
      <w:tr w14:paraId="38021281">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72D09909">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37D36BF3">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CE82500">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环保监理措施</w:t>
            </w:r>
          </w:p>
          <w:p w14:paraId="6E89D45E">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lang w:val="en-US" w:eastAsia="zh-CN"/>
              </w:rPr>
              <w:t>（4分）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4D14D22E">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优(4分)：针对性极强；措施非常具体、可操作性强，有绿色施工和污染防治方案。</w:t>
            </w:r>
          </w:p>
          <w:p w14:paraId="198AA6FD">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中(2分)：针对性较强；措施较具体、较可操作。</w:t>
            </w:r>
          </w:p>
          <w:p w14:paraId="37C0DD13">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差(1分)：针对性不强；措施不具体、可操作性差。不提供(0分)：未提供相关内容。</w:t>
            </w:r>
          </w:p>
        </w:tc>
      </w:tr>
      <w:tr w14:paraId="2CD63771">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11332A1A">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5BB66204">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64A2AF33">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合同、信息管理方案（</w:t>
            </w: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383EC0C7">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优(3分)：方案针对性极强；措施非常具体、高效，有完善的文档管理和索赔预防机制。</w:t>
            </w:r>
          </w:p>
          <w:p w14:paraId="03489E4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中(2分)：方案针对性较强；措施较具体。</w:t>
            </w:r>
          </w:p>
          <w:p w14:paraId="4C70A2F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kern w:val="0"/>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差(1分)：方案针对性不强；措施不具体。</w:t>
            </w:r>
          </w:p>
          <w:p w14:paraId="3DC89774">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kern w:val="0"/>
                <w:sz w:val="24"/>
                <w:szCs w:val="24"/>
                <w:highlight w:val="none"/>
                <w:lang w:val="en-US" w:eastAsia="zh-CN"/>
              </w:rPr>
              <w:t>不提供(0分)：未提供相关内容。</w:t>
            </w:r>
          </w:p>
        </w:tc>
      </w:tr>
      <w:tr w14:paraId="1AD830D0">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53C2AE0E">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4C4135AA">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22E5AADB">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监理组织协调内容及措施（</w:t>
            </w: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78E18D7A">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优(3分)</w:t>
            </w:r>
            <w:r>
              <w:rPr>
                <w:rFonts w:hint="eastAsia" w:asciiTheme="majorEastAsia" w:hAnsiTheme="majorEastAsia" w:eastAsiaTheme="majorEastAsia" w:cstheme="majorEastAsia"/>
                <w:i w:val="0"/>
                <w:iCs w:val="0"/>
                <w:caps w:val="0"/>
                <w:spacing w:val="0"/>
                <w:sz w:val="24"/>
                <w:szCs w:val="24"/>
                <w:highlight w:val="none"/>
                <w:shd w:val="clear" w:fill="auto"/>
              </w:rPr>
              <w:t>：协调内容界定非常清晰；方法非常得当，有具体的沟通机制和冲突解决策略。</w:t>
            </w:r>
          </w:p>
          <w:p w14:paraId="22983DD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中(2分)</w:t>
            </w:r>
            <w:r>
              <w:rPr>
                <w:rFonts w:hint="eastAsia" w:asciiTheme="majorEastAsia" w:hAnsiTheme="majorEastAsia" w:eastAsiaTheme="majorEastAsia" w:cstheme="majorEastAsia"/>
                <w:i w:val="0"/>
                <w:iCs w:val="0"/>
                <w:caps w:val="0"/>
                <w:spacing w:val="0"/>
                <w:sz w:val="24"/>
                <w:szCs w:val="24"/>
                <w:highlight w:val="none"/>
                <w:shd w:val="clear" w:fill="auto"/>
              </w:rPr>
              <w:t>：协调内容较清晰；方法较合理；有具体措施。</w:t>
            </w:r>
          </w:p>
          <w:p w14:paraId="14627289">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差(1分)</w:t>
            </w:r>
            <w:r>
              <w:rPr>
                <w:rFonts w:hint="eastAsia" w:asciiTheme="majorEastAsia" w:hAnsiTheme="majorEastAsia" w:eastAsiaTheme="majorEastAsia" w:cstheme="majorEastAsia"/>
                <w:i w:val="0"/>
                <w:iCs w:val="0"/>
                <w:caps w:val="0"/>
                <w:spacing w:val="0"/>
                <w:sz w:val="24"/>
                <w:szCs w:val="24"/>
                <w:highlight w:val="none"/>
                <w:shd w:val="clear" w:fill="auto"/>
              </w:rPr>
              <w:t>：协调内容不清晰；方法不合理；措施不具体。</w:t>
            </w:r>
          </w:p>
          <w:p w14:paraId="0C41B0EA">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不提供(0分)</w:t>
            </w:r>
            <w:r>
              <w:rPr>
                <w:rFonts w:hint="eastAsia" w:asciiTheme="majorEastAsia" w:hAnsiTheme="majorEastAsia" w:eastAsiaTheme="majorEastAsia" w:cstheme="majorEastAsia"/>
                <w:i w:val="0"/>
                <w:iCs w:val="0"/>
                <w:caps w:val="0"/>
                <w:spacing w:val="0"/>
                <w:sz w:val="24"/>
                <w:szCs w:val="24"/>
                <w:highlight w:val="none"/>
                <w:shd w:val="clear" w:fill="auto"/>
              </w:rPr>
              <w:t>：未提供相关内容。</w:t>
            </w:r>
          </w:p>
        </w:tc>
      </w:tr>
      <w:tr w14:paraId="5D343156">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1B3E5124">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37ED8015">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1EAFA794">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监理工作重点、难点分析（</w:t>
            </w: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71FB5CA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优(3分)</w:t>
            </w:r>
            <w:r>
              <w:rPr>
                <w:rFonts w:hint="eastAsia" w:asciiTheme="majorEastAsia" w:hAnsiTheme="majorEastAsia" w:eastAsiaTheme="majorEastAsia" w:cstheme="majorEastAsia"/>
                <w:i w:val="0"/>
                <w:iCs w:val="0"/>
                <w:caps w:val="0"/>
                <w:spacing w:val="0"/>
                <w:sz w:val="24"/>
                <w:szCs w:val="24"/>
                <w:highlight w:val="none"/>
                <w:shd w:val="clear" w:fill="auto"/>
              </w:rPr>
              <w:t>：分析非常深入、准确，完全切合项目实际；应对措施非常具体、针对性和可操作性极强。</w:t>
            </w:r>
          </w:p>
          <w:p w14:paraId="4DBDDCED">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中(2分)</w:t>
            </w:r>
            <w:r>
              <w:rPr>
                <w:rFonts w:hint="eastAsia" w:asciiTheme="majorEastAsia" w:hAnsiTheme="majorEastAsia" w:eastAsiaTheme="majorEastAsia" w:cstheme="majorEastAsia"/>
                <w:i w:val="0"/>
                <w:iCs w:val="0"/>
                <w:caps w:val="0"/>
                <w:spacing w:val="0"/>
                <w:sz w:val="24"/>
                <w:szCs w:val="24"/>
                <w:highlight w:val="none"/>
                <w:shd w:val="clear" w:fill="auto"/>
              </w:rPr>
              <w:t>：分析较深入；措施较具体、较有针对性。</w:t>
            </w:r>
          </w:p>
          <w:p w14:paraId="50B521FA">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差(1分)</w:t>
            </w:r>
            <w:r>
              <w:rPr>
                <w:rFonts w:hint="eastAsia" w:asciiTheme="majorEastAsia" w:hAnsiTheme="majorEastAsia" w:eastAsiaTheme="majorEastAsia" w:cstheme="majorEastAsia"/>
                <w:i w:val="0"/>
                <w:iCs w:val="0"/>
                <w:caps w:val="0"/>
                <w:spacing w:val="0"/>
                <w:sz w:val="24"/>
                <w:szCs w:val="24"/>
                <w:highlight w:val="none"/>
                <w:shd w:val="clear" w:fill="auto"/>
              </w:rPr>
              <w:t>：分析肤浅或不准确；措施笼统、缺乏针对性。</w:t>
            </w:r>
          </w:p>
          <w:p w14:paraId="067395AE">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不提供(0分)</w:t>
            </w:r>
            <w:r>
              <w:rPr>
                <w:rFonts w:hint="eastAsia" w:asciiTheme="majorEastAsia" w:hAnsiTheme="majorEastAsia" w:eastAsiaTheme="majorEastAsia" w:cstheme="majorEastAsia"/>
                <w:i w:val="0"/>
                <w:iCs w:val="0"/>
                <w:caps w:val="0"/>
                <w:spacing w:val="0"/>
                <w:sz w:val="24"/>
                <w:szCs w:val="24"/>
                <w:highlight w:val="none"/>
                <w:shd w:val="clear" w:fill="auto"/>
              </w:rPr>
              <w:t>：未提供相关内容。</w:t>
            </w:r>
          </w:p>
        </w:tc>
      </w:tr>
      <w:tr w14:paraId="3B00740F">
        <w:tblPrEx>
          <w:tblCellMar>
            <w:top w:w="0" w:type="dxa"/>
            <w:left w:w="0" w:type="dxa"/>
            <w:bottom w:w="0" w:type="dxa"/>
            <w:right w:w="0" w:type="dxa"/>
          </w:tblCellMar>
        </w:tblPrEx>
        <w:trPr>
          <w:trHeight w:val="1062" w:hRule="atLeast"/>
          <w:jc w:val="center"/>
        </w:trPr>
        <w:tc>
          <w:tcPr>
            <w:tcW w:w="807" w:type="dxa"/>
            <w:vMerge w:val="continue"/>
            <w:tcBorders>
              <w:left w:val="single" w:color="auto" w:sz="4" w:space="0"/>
              <w:right w:val="single" w:color="auto" w:sz="4" w:space="0"/>
            </w:tcBorders>
            <w:noWrap w:val="0"/>
            <w:vAlign w:val="center"/>
          </w:tcPr>
          <w:p w14:paraId="67022730">
            <w:pPr>
              <w:autoSpaceDE w:val="0"/>
              <w:autoSpaceDN w:val="0"/>
              <w:snapToGrid w:val="0"/>
              <w:spacing w:before="0" w:line="240" w:lineRule="auto"/>
              <w:ind w:right="17"/>
              <w:jc w:val="center"/>
              <w:rPr>
                <w:rFonts w:hint="eastAsia" w:ascii="宋体" w:hAnsi="宋体" w:cs="宋体"/>
                <w:szCs w:val="24"/>
                <w:highlight w:val="none"/>
              </w:rPr>
            </w:pPr>
          </w:p>
        </w:tc>
        <w:tc>
          <w:tcPr>
            <w:tcW w:w="718" w:type="dxa"/>
            <w:vMerge w:val="continue"/>
            <w:tcBorders>
              <w:left w:val="single" w:color="auto" w:sz="4" w:space="0"/>
              <w:right w:val="single" w:color="auto" w:sz="4" w:space="0"/>
            </w:tcBorders>
            <w:noWrap w:val="0"/>
            <w:vAlign w:val="center"/>
          </w:tcPr>
          <w:p w14:paraId="5EB3086D">
            <w:pPr>
              <w:autoSpaceDE w:val="0"/>
              <w:autoSpaceDN w:val="0"/>
              <w:snapToGrid w:val="0"/>
              <w:spacing w:line="240" w:lineRule="auto"/>
              <w:ind w:right="6"/>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E9AB218">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会议制度</w:t>
            </w:r>
          </w:p>
          <w:p w14:paraId="41E181B3">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060A7763">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优(3分)</w:t>
            </w:r>
            <w:r>
              <w:rPr>
                <w:rFonts w:hint="eastAsia" w:asciiTheme="majorEastAsia" w:hAnsiTheme="majorEastAsia" w:eastAsiaTheme="majorEastAsia" w:cstheme="majorEastAsia"/>
                <w:i w:val="0"/>
                <w:iCs w:val="0"/>
                <w:caps w:val="0"/>
                <w:spacing w:val="0"/>
                <w:sz w:val="24"/>
                <w:szCs w:val="24"/>
                <w:highlight w:val="none"/>
                <w:shd w:val="clear" w:fill="auto"/>
              </w:rPr>
              <w:t>：制度非常完善，涵盖各类会议；议程、时间、参加人等规定非常清晰、具体。</w:t>
            </w:r>
          </w:p>
          <w:p w14:paraId="7A043C74">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中(2分)</w:t>
            </w:r>
            <w:r>
              <w:rPr>
                <w:rFonts w:hint="eastAsia" w:asciiTheme="majorEastAsia" w:hAnsiTheme="majorEastAsia" w:eastAsiaTheme="majorEastAsia" w:cstheme="majorEastAsia"/>
                <w:i w:val="0"/>
                <w:iCs w:val="0"/>
                <w:caps w:val="0"/>
                <w:spacing w:val="0"/>
                <w:sz w:val="24"/>
                <w:szCs w:val="24"/>
                <w:highlight w:val="none"/>
                <w:shd w:val="clear" w:fill="auto"/>
              </w:rPr>
              <w:t>：制度较完善；规定较清晰。</w:t>
            </w:r>
          </w:p>
          <w:p w14:paraId="770D47F3">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差(1分)</w:t>
            </w:r>
            <w:r>
              <w:rPr>
                <w:rFonts w:hint="eastAsia" w:asciiTheme="majorEastAsia" w:hAnsiTheme="majorEastAsia" w:eastAsiaTheme="majorEastAsia" w:cstheme="majorEastAsia"/>
                <w:i w:val="0"/>
                <w:iCs w:val="0"/>
                <w:caps w:val="0"/>
                <w:spacing w:val="0"/>
                <w:sz w:val="24"/>
                <w:szCs w:val="24"/>
                <w:highlight w:val="none"/>
                <w:shd w:val="clear" w:fill="auto"/>
              </w:rPr>
              <w:t>：制度不完善；规定不清晰。</w:t>
            </w:r>
          </w:p>
          <w:p w14:paraId="48BD5E9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sz w:val="24"/>
                <w:szCs w:val="24"/>
                <w:highlight w:val="none"/>
                <w:lang w:val="en-US" w:eastAsia="zh-CN"/>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不提供(0分)</w:t>
            </w:r>
            <w:r>
              <w:rPr>
                <w:rFonts w:hint="eastAsia" w:asciiTheme="majorEastAsia" w:hAnsiTheme="majorEastAsia" w:eastAsiaTheme="majorEastAsia" w:cstheme="majorEastAsia"/>
                <w:i w:val="0"/>
                <w:iCs w:val="0"/>
                <w:caps w:val="0"/>
                <w:spacing w:val="0"/>
                <w:sz w:val="24"/>
                <w:szCs w:val="24"/>
                <w:highlight w:val="none"/>
                <w:shd w:val="clear" w:fill="auto"/>
              </w:rPr>
              <w:t>：未提供相关内容。</w:t>
            </w:r>
          </w:p>
        </w:tc>
      </w:tr>
      <w:tr w14:paraId="2C3A0EDC">
        <w:tblPrEx>
          <w:tblCellMar>
            <w:top w:w="0" w:type="dxa"/>
            <w:left w:w="0" w:type="dxa"/>
            <w:bottom w:w="0" w:type="dxa"/>
            <w:right w:w="0" w:type="dxa"/>
          </w:tblCellMar>
        </w:tblPrEx>
        <w:trPr>
          <w:trHeight w:val="698" w:hRule="atLeast"/>
          <w:jc w:val="center"/>
        </w:trPr>
        <w:tc>
          <w:tcPr>
            <w:tcW w:w="807" w:type="dxa"/>
            <w:vMerge w:val="continue"/>
            <w:tcBorders>
              <w:top w:val="single" w:color="auto" w:sz="4" w:space="0"/>
              <w:left w:val="single" w:color="auto" w:sz="4" w:space="0"/>
              <w:bottom w:val="single" w:color="auto" w:sz="4" w:space="0"/>
              <w:right w:val="single" w:color="auto" w:sz="4" w:space="0"/>
            </w:tcBorders>
            <w:noWrap w:val="0"/>
            <w:vAlign w:val="top"/>
          </w:tcPr>
          <w:p w14:paraId="7018BA1B">
            <w:pPr>
              <w:autoSpaceDE w:val="0"/>
              <w:autoSpaceDN w:val="0"/>
              <w:snapToGrid w:val="0"/>
              <w:spacing w:line="240" w:lineRule="auto"/>
              <w:ind w:left="2082" w:right="2063"/>
              <w:jc w:val="center"/>
              <w:rPr>
                <w:rFonts w:hint="eastAsia" w:ascii="宋体" w:hAnsi="宋体" w:cs="宋体"/>
                <w:szCs w:val="24"/>
                <w:highlight w:val="none"/>
              </w:rPr>
            </w:pPr>
          </w:p>
        </w:tc>
        <w:tc>
          <w:tcPr>
            <w:tcW w:w="718" w:type="dxa"/>
            <w:vMerge w:val="continue"/>
            <w:tcBorders>
              <w:top w:val="single" w:color="auto" w:sz="4" w:space="0"/>
              <w:left w:val="single" w:color="auto" w:sz="4" w:space="0"/>
              <w:bottom w:val="single" w:color="auto" w:sz="4" w:space="0"/>
              <w:right w:val="single" w:color="auto" w:sz="4" w:space="0"/>
            </w:tcBorders>
            <w:noWrap w:val="0"/>
            <w:vAlign w:val="top"/>
          </w:tcPr>
          <w:p w14:paraId="13A43CBA">
            <w:pPr>
              <w:autoSpaceDE w:val="0"/>
              <w:autoSpaceDN w:val="0"/>
              <w:snapToGrid w:val="0"/>
              <w:spacing w:line="240" w:lineRule="auto"/>
              <w:ind w:left="2082" w:right="2063"/>
              <w:jc w:val="center"/>
              <w:rPr>
                <w:rFonts w:hint="eastAsia" w:ascii="宋体" w:hAnsi="宋体" w:cs="宋体"/>
                <w:szCs w:val="24"/>
                <w:highlight w:val="none"/>
              </w:rPr>
            </w:pPr>
          </w:p>
        </w:tc>
        <w:tc>
          <w:tcPr>
            <w:tcW w:w="2435" w:type="dxa"/>
            <w:tcBorders>
              <w:top w:val="single" w:color="auto" w:sz="4" w:space="0"/>
              <w:left w:val="single" w:color="auto" w:sz="4" w:space="0"/>
              <w:bottom w:val="single" w:color="auto" w:sz="4" w:space="0"/>
              <w:right w:val="single" w:color="auto" w:sz="4" w:space="0"/>
            </w:tcBorders>
            <w:noWrap w:val="0"/>
            <w:vAlign w:val="center"/>
          </w:tcPr>
          <w:p w14:paraId="08956D9C">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kern w:val="0"/>
                <w:sz w:val="24"/>
                <w:szCs w:val="24"/>
                <w:highlight w:val="none"/>
              </w:rPr>
            </w:pPr>
            <w:r>
              <w:rPr>
                <w:rFonts w:hint="eastAsia" w:asciiTheme="majorEastAsia" w:hAnsiTheme="majorEastAsia" w:eastAsiaTheme="majorEastAsia" w:cstheme="majorEastAsia"/>
                <w:kern w:val="0"/>
                <w:sz w:val="24"/>
                <w:szCs w:val="24"/>
                <w:highlight w:val="none"/>
              </w:rPr>
              <w:t>合理化建议</w:t>
            </w:r>
          </w:p>
          <w:p w14:paraId="197F2483">
            <w:pPr>
              <w:keepNext w:val="0"/>
              <w:keepLines w:val="0"/>
              <w:pageBreakBefore w:val="0"/>
              <w:widowControl w:val="0"/>
              <w:wordWrap w:val="0"/>
              <w:bidi w:val="0"/>
              <w:spacing w:line="240" w:lineRule="auto"/>
              <w:jc w:val="center"/>
              <w:textAlignment w:val="center"/>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kern w:val="0"/>
                <w:sz w:val="24"/>
                <w:szCs w:val="24"/>
                <w:highlight w:val="none"/>
              </w:rPr>
              <w:t>（</w:t>
            </w:r>
            <w:r>
              <w:rPr>
                <w:rFonts w:hint="eastAsia" w:asciiTheme="majorEastAsia" w:hAnsiTheme="majorEastAsia" w:eastAsiaTheme="majorEastAsia" w:cstheme="majorEastAsia"/>
                <w:kern w:val="0"/>
                <w:sz w:val="24"/>
                <w:szCs w:val="24"/>
                <w:highlight w:val="none"/>
                <w:lang w:val="en-US" w:eastAsia="zh-CN"/>
              </w:rPr>
              <w:t>3</w:t>
            </w:r>
            <w:r>
              <w:rPr>
                <w:rFonts w:hint="eastAsia" w:asciiTheme="majorEastAsia" w:hAnsiTheme="majorEastAsia" w:eastAsiaTheme="majorEastAsia" w:cstheme="majorEastAsia"/>
                <w:kern w:val="0"/>
                <w:sz w:val="24"/>
                <w:szCs w:val="24"/>
                <w:highlight w:val="none"/>
              </w:rPr>
              <w:t>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19EEA5B0">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优(3分)</w:t>
            </w:r>
            <w:r>
              <w:rPr>
                <w:rFonts w:hint="eastAsia" w:asciiTheme="majorEastAsia" w:hAnsiTheme="majorEastAsia" w:eastAsiaTheme="majorEastAsia" w:cstheme="majorEastAsia"/>
                <w:i w:val="0"/>
                <w:iCs w:val="0"/>
                <w:caps w:val="0"/>
                <w:spacing w:val="0"/>
                <w:sz w:val="24"/>
                <w:szCs w:val="24"/>
                <w:highlight w:val="none"/>
                <w:shd w:val="clear" w:fill="auto"/>
              </w:rPr>
              <w:t>：建议非常科学、合理、可行，有具体措施和预期效益分析，经评委论证认同。</w:t>
            </w:r>
          </w:p>
          <w:p w14:paraId="6DE10C6E">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中(2分)</w:t>
            </w:r>
            <w:r>
              <w:rPr>
                <w:rFonts w:hint="eastAsia" w:asciiTheme="majorEastAsia" w:hAnsiTheme="majorEastAsia" w:eastAsiaTheme="majorEastAsia" w:cstheme="majorEastAsia"/>
                <w:i w:val="0"/>
                <w:iCs w:val="0"/>
                <w:caps w:val="0"/>
                <w:spacing w:val="0"/>
                <w:sz w:val="24"/>
                <w:szCs w:val="24"/>
                <w:highlight w:val="none"/>
                <w:shd w:val="clear" w:fill="auto"/>
              </w:rPr>
              <w:t>：建议较科学、合理、可行，有具体措施，经评委论证基本认同。</w:t>
            </w:r>
          </w:p>
          <w:p w14:paraId="6F140049">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i w:val="0"/>
                <w:iCs w:val="0"/>
                <w:caps w:val="0"/>
                <w:spacing w:val="0"/>
                <w:sz w:val="24"/>
                <w:szCs w:val="24"/>
                <w:highlight w:val="none"/>
                <w:shd w:val="clear" w:fill="auto"/>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差(1分)</w:t>
            </w:r>
            <w:r>
              <w:rPr>
                <w:rFonts w:hint="eastAsia" w:asciiTheme="majorEastAsia" w:hAnsiTheme="majorEastAsia" w:eastAsiaTheme="majorEastAsia" w:cstheme="majorEastAsia"/>
                <w:i w:val="0"/>
                <w:iCs w:val="0"/>
                <w:caps w:val="0"/>
                <w:spacing w:val="0"/>
                <w:sz w:val="24"/>
                <w:szCs w:val="24"/>
                <w:highlight w:val="none"/>
                <w:shd w:val="clear" w:fill="auto"/>
              </w:rPr>
              <w:t>：建议缺乏科学性、合理性或可行性，措施不具体，经评委论证不认同。</w:t>
            </w:r>
          </w:p>
          <w:p w14:paraId="3B598B6D">
            <w:pPr>
              <w:keepNext w:val="0"/>
              <w:keepLines w:val="0"/>
              <w:pageBreakBefore w:val="0"/>
              <w:widowControl w:val="0"/>
              <w:wordWrap w:val="0"/>
              <w:bidi w:val="0"/>
              <w:spacing w:line="240" w:lineRule="auto"/>
              <w:jc w:val="left"/>
              <w:textAlignment w:val="center"/>
              <w:rPr>
                <w:rFonts w:hint="eastAsia" w:asciiTheme="majorEastAsia" w:hAnsiTheme="majorEastAsia" w:eastAsiaTheme="majorEastAsia" w:cstheme="majorEastAsia"/>
                <w:bCs/>
                <w:sz w:val="24"/>
                <w:szCs w:val="24"/>
                <w:highlight w:val="none"/>
              </w:rPr>
            </w:pPr>
            <w:r>
              <w:rPr>
                <w:rStyle w:val="24"/>
                <w:rFonts w:hint="eastAsia" w:asciiTheme="majorEastAsia" w:hAnsiTheme="majorEastAsia" w:eastAsiaTheme="majorEastAsia" w:cstheme="majorEastAsia"/>
                <w:b w:val="0"/>
                <w:bCs w:val="0"/>
                <w:i w:val="0"/>
                <w:iCs w:val="0"/>
                <w:caps w:val="0"/>
                <w:spacing w:val="0"/>
                <w:sz w:val="24"/>
                <w:szCs w:val="24"/>
                <w:highlight w:val="none"/>
                <w:shd w:val="clear" w:fill="FFFFFF"/>
              </w:rPr>
              <w:t>不提供(0分)</w:t>
            </w:r>
            <w:r>
              <w:rPr>
                <w:rFonts w:hint="eastAsia" w:asciiTheme="majorEastAsia" w:hAnsiTheme="majorEastAsia" w:eastAsiaTheme="majorEastAsia" w:cstheme="majorEastAsia"/>
                <w:i w:val="0"/>
                <w:iCs w:val="0"/>
                <w:caps w:val="0"/>
                <w:spacing w:val="0"/>
                <w:sz w:val="24"/>
                <w:szCs w:val="24"/>
                <w:highlight w:val="none"/>
                <w:shd w:val="clear" w:fill="auto"/>
              </w:rPr>
              <w:t>：未提供相关内容。</w:t>
            </w:r>
          </w:p>
        </w:tc>
      </w:tr>
      <w:tr w14:paraId="3FC21EBB">
        <w:tblPrEx>
          <w:tblCellMar>
            <w:top w:w="0" w:type="dxa"/>
            <w:left w:w="0" w:type="dxa"/>
            <w:bottom w:w="0" w:type="dxa"/>
            <w:right w:w="0" w:type="dxa"/>
          </w:tblCellMar>
        </w:tblPrEx>
        <w:trPr>
          <w:trHeight w:val="1504" w:hRule="atLeast"/>
          <w:jc w:val="center"/>
        </w:trPr>
        <w:tc>
          <w:tcPr>
            <w:tcW w:w="1525" w:type="dxa"/>
            <w:gridSpan w:val="2"/>
            <w:tcBorders>
              <w:top w:val="single" w:color="auto" w:sz="4" w:space="0"/>
              <w:left w:val="single" w:color="auto" w:sz="4" w:space="0"/>
              <w:bottom w:val="single" w:color="auto" w:sz="4" w:space="0"/>
              <w:right w:val="single" w:color="auto" w:sz="4" w:space="0"/>
            </w:tcBorders>
            <w:noWrap w:val="0"/>
            <w:vAlign w:val="center"/>
          </w:tcPr>
          <w:p w14:paraId="561121CF">
            <w:pPr>
              <w:autoSpaceDE w:val="0"/>
              <w:autoSpaceDN w:val="0"/>
              <w:snapToGrid w:val="0"/>
              <w:spacing w:line="240" w:lineRule="auto"/>
              <w:ind w:right="-20"/>
              <w:jc w:val="center"/>
              <w:rPr>
                <w:rFonts w:hint="eastAsia" w:ascii="宋体" w:hAnsi="宋体" w:cs="宋体"/>
                <w:szCs w:val="24"/>
                <w:highlight w:val="none"/>
              </w:rPr>
            </w:pPr>
            <w:r>
              <w:rPr>
                <w:rFonts w:hint="eastAsia" w:ascii="宋体" w:hAnsi="宋体" w:cs="宋体"/>
                <w:szCs w:val="24"/>
                <w:highlight w:val="none"/>
              </w:rPr>
              <w:t>2.2.4</w:t>
            </w:r>
          </w:p>
          <w:p w14:paraId="6B827EFB">
            <w:pPr>
              <w:autoSpaceDE w:val="0"/>
              <w:autoSpaceDN w:val="0"/>
              <w:snapToGrid w:val="0"/>
              <w:spacing w:before="0" w:line="240" w:lineRule="auto"/>
              <w:ind w:right="-20"/>
              <w:jc w:val="center"/>
              <w:rPr>
                <w:rFonts w:hint="eastAsia" w:ascii="宋体" w:hAnsi="宋体" w:cs="宋体"/>
                <w:szCs w:val="24"/>
                <w:highlight w:val="none"/>
              </w:rPr>
            </w:pPr>
            <w:r>
              <w:rPr>
                <w:rFonts w:hint="eastAsia" w:ascii="宋体" w:hAnsi="宋体" w:cs="宋体"/>
                <w:szCs w:val="24"/>
                <w:highlight w:val="none"/>
              </w:rPr>
              <w:t>（3）</w:t>
            </w:r>
          </w:p>
        </w:tc>
        <w:tc>
          <w:tcPr>
            <w:tcW w:w="2435" w:type="dxa"/>
            <w:tcBorders>
              <w:top w:val="single" w:color="auto" w:sz="4" w:space="0"/>
              <w:left w:val="single" w:color="auto" w:sz="4" w:space="0"/>
              <w:bottom w:val="single" w:color="auto" w:sz="4" w:space="0"/>
              <w:right w:val="single" w:color="auto" w:sz="4" w:space="0"/>
            </w:tcBorders>
            <w:noWrap w:val="0"/>
            <w:vAlign w:val="center"/>
          </w:tcPr>
          <w:p w14:paraId="5C707329">
            <w:pPr>
              <w:tabs>
                <w:tab w:val="left" w:pos="3385"/>
              </w:tabs>
              <w:autoSpaceDE w:val="0"/>
              <w:autoSpaceDN w:val="0"/>
              <w:snapToGrid w:val="0"/>
              <w:spacing w:before="0" w:line="240" w:lineRule="auto"/>
              <w:jc w:val="center"/>
              <w:rPr>
                <w:rFonts w:hint="eastAsia" w:ascii="宋体" w:hAnsi="宋体" w:cs="宋体"/>
                <w:szCs w:val="24"/>
                <w:highlight w:val="none"/>
              </w:rPr>
            </w:pPr>
            <w:r>
              <w:rPr>
                <w:rFonts w:hint="eastAsia" w:ascii="宋体" w:hAnsi="宋体" w:cs="宋体"/>
                <w:szCs w:val="24"/>
                <w:highlight w:val="none"/>
              </w:rPr>
              <w:t>投标报价得分（10分）</w:t>
            </w:r>
          </w:p>
        </w:tc>
        <w:tc>
          <w:tcPr>
            <w:tcW w:w="5828" w:type="dxa"/>
            <w:tcBorders>
              <w:top w:val="single" w:color="auto" w:sz="4" w:space="0"/>
              <w:left w:val="single" w:color="auto" w:sz="4" w:space="0"/>
              <w:bottom w:val="single" w:color="auto" w:sz="4" w:space="0"/>
              <w:right w:val="single" w:color="auto" w:sz="4" w:space="0"/>
            </w:tcBorders>
            <w:noWrap w:val="0"/>
            <w:vAlign w:val="center"/>
          </w:tcPr>
          <w:p w14:paraId="648F2370">
            <w:pPr>
              <w:numPr>
                <w:ilvl w:val="-1"/>
                <w:numId w:val="0"/>
              </w:numPr>
              <w:snapToGrid w:val="0"/>
              <w:spacing w:line="240" w:lineRule="auto"/>
              <w:ind w:left="0" w:right="77"/>
              <w:rPr>
                <w:rFonts w:hint="eastAsia" w:ascii="宋体" w:hAnsi="宋体" w:eastAsia="宋体" w:cs="宋体"/>
                <w:highlight w:val="none"/>
              </w:rPr>
            </w:pPr>
            <w:r>
              <w:rPr>
                <w:rFonts w:hint="eastAsia" w:ascii="宋体" w:hAnsi="宋体" w:cs="宋体"/>
                <w:szCs w:val="24"/>
                <w:highlight w:val="none"/>
                <w:lang w:val="en-US" w:eastAsia="zh-CN"/>
              </w:rPr>
              <w:t>以评标基准价作为计算各有效投标价得分的基础，当有效投标报价等于评标基准价时得10分；投标有效报价与评标基准价之差，每上偏1%扣0.5分，下偏1%扣0.3分。不足1%部分按比例计算，扣到0分为止。</w:t>
            </w:r>
          </w:p>
        </w:tc>
      </w:tr>
      <w:tr w14:paraId="7C19ED72">
        <w:tblPrEx>
          <w:tblCellMar>
            <w:top w:w="0" w:type="dxa"/>
            <w:left w:w="0" w:type="dxa"/>
            <w:bottom w:w="0" w:type="dxa"/>
            <w:right w:w="0" w:type="dxa"/>
          </w:tblCellMar>
        </w:tblPrEx>
        <w:trPr>
          <w:trHeight w:val="1381" w:hRule="atLeast"/>
          <w:jc w:val="center"/>
        </w:trPr>
        <w:tc>
          <w:tcPr>
            <w:tcW w:w="1525" w:type="dxa"/>
            <w:gridSpan w:val="2"/>
            <w:tcBorders>
              <w:top w:val="single" w:color="000000" w:sz="4" w:space="0"/>
              <w:left w:val="single" w:color="000000" w:sz="4" w:space="0"/>
              <w:bottom w:val="single" w:color="000000" w:sz="4" w:space="0"/>
              <w:right w:val="single" w:color="auto" w:sz="4" w:space="0"/>
            </w:tcBorders>
            <w:noWrap w:val="0"/>
            <w:vAlign w:val="center"/>
          </w:tcPr>
          <w:p w14:paraId="6AAA5235">
            <w:pPr>
              <w:autoSpaceDE w:val="0"/>
              <w:autoSpaceDN w:val="0"/>
              <w:spacing w:line="240" w:lineRule="auto"/>
              <w:ind w:right="-20"/>
              <w:jc w:val="center"/>
              <w:rPr>
                <w:rFonts w:hint="eastAsia" w:ascii="宋体" w:hAnsi="宋体" w:cs="宋体"/>
                <w:b/>
                <w:bCs/>
                <w:highlight w:val="none"/>
              </w:rPr>
            </w:pPr>
            <w:r>
              <w:rPr>
                <w:rFonts w:hint="eastAsia" w:ascii="宋体" w:hAnsi="宋体" w:cs="宋体"/>
                <w:b/>
                <w:bCs/>
                <w:highlight w:val="none"/>
              </w:rPr>
              <w:t>2.2.4</w:t>
            </w:r>
          </w:p>
          <w:p w14:paraId="4A0E0C83">
            <w:pPr>
              <w:autoSpaceDE w:val="0"/>
              <w:autoSpaceDN w:val="0"/>
              <w:spacing w:line="240" w:lineRule="auto"/>
              <w:ind w:right="-20"/>
              <w:jc w:val="center"/>
              <w:rPr>
                <w:rFonts w:hint="eastAsia" w:ascii="宋体" w:hAnsi="宋体" w:cs="宋体"/>
                <w:b/>
                <w:bCs/>
                <w:szCs w:val="24"/>
                <w:highlight w:val="none"/>
              </w:rPr>
            </w:pPr>
            <w:r>
              <w:rPr>
                <w:rFonts w:hint="eastAsia" w:ascii="宋体" w:hAnsi="宋体" w:cs="宋体"/>
                <w:b/>
                <w:bCs/>
                <w:highlight w:val="none"/>
              </w:rPr>
              <w:t>说明</w:t>
            </w:r>
          </w:p>
        </w:tc>
        <w:tc>
          <w:tcPr>
            <w:tcW w:w="8263" w:type="dxa"/>
            <w:gridSpan w:val="2"/>
            <w:tcBorders>
              <w:top w:val="single" w:color="auto" w:sz="4" w:space="0"/>
              <w:left w:val="single" w:color="auto" w:sz="4" w:space="0"/>
              <w:bottom w:val="single" w:color="auto" w:sz="4" w:space="0"/>
              <w:right w:val="single" w:color="auto" w:sz="4" w:space="0"/>
            </w:tcBorders>
            <w:noWrap w:val="0"/>
            <w:vAlign w:val="center"/>
          </w:tcPr>
          <w:p w14:paraId="53D49E62">
            <w:pPr>
              <w:pStyle w:val="46"/>
              <w:spacing w:line="240" w:lineRule="auto"/>
              <w:ind w:left="1"/>
              <w:rPr>
                <w:rFonts w:hint="eastAsia"/>
                <w:b/>
                <w:bCs/>
                <w:spacing w:val="-1"/>
                <w:sz w:val="21"/>
                <w:szCs w:val="21"/>
                <w:highlight w:val="none"/>
              </w:rPr>
            </w:pPr>
            <w:r>
              <w:rPr>
                <w:rFonts w:hint="eastAsia"/>
                <w:b/>
                <w:bCs/>
                <w:spacing w:val="-1"/>
                <w:sz w:val="21"/>
                <w:szCs w:val="21"/>
                <w:highlight w:val="none"/>
              </w:rPr>
              <w:t>（1）投标人的综合得分为将各评委的评分算术平均分（分数出现小数点时，保留小数点后二位，第三位小数四舍五入）。</w:t>
            </w:r>
          </w:p>
          <w:p w14:paraId="7DC44A15">
            <w:pPr>
              <w:pStyle w:val="46"/>
              <w:spacing w:line="240" w:lineRule="auto"/>
              <w:ind w:left="1"/>
              <w:rPr>
                <w:rFonts w:hint="eastAsia" w:ascii="宋体" w:hAnsi="宋体" w:eastAsia="宋体" w:cs="宋体"/>
                <w:b/>
                <w:bCs/>
                <w:sz w:val="21"/>
                <w:szCs w:val="21"/>
                <w:highlight w:val="none"/>
                <w:lang w:val="en-US"/>
              </w:rPr>
            </w:pPr>
            <w:r>
              <w:rPr>
                <w:rFonts w:hint="eastAsia"/>
                <w:b/>
                <w:bCs/>
                <w:spacing w:val="-1"/>
                <w:sz w:val="21"/>
                <w:szCs w:val="21"/>
                <w:highlight w:val="none"/>
              </w:rPr>
              <w:t>（2）投标单位必须确保投标文件中证明资料的真实性，否则将上报上级主管部门记入不良行为档案和在广州公共资源交易中心通报。</w:t>
            </w:r>
          </w:p>
        </w:tc>
      </w:tr>
    </w:tbl>
    <w:p w14:paraId="57D895A3">
      <w:pPr>
        <w:pStyle w:val="28"/>
        <w:ind w:left="0" w:leftChars="0" w:firstLine="0" w:firstLineChars="0"/>
        <w:rPr>
          <w:color w:val="auto"/>
          <w:highlight w:val="none"/>
        </w:rPr>
        <w:sectPr>
          <w:headerReference r:id="rId5" w:type="default"/>
          <w:footerReference r:id="rId6" w:type="default"/>
          <w:pgSz w:w="11906" w:h="16838"/>
          <w:pgMar w:top="1417" w:right="1417" w:bottom="1417" w:left="1417" w:header="0" w:footer="940" w:gutter="0"/>
          <w:pgNumType w:fmt="decimal"/>
          <w:cols w:space="720" w:num="1"/>
        </w:sectPr>
      </w:pPr>
    </w:p>
    <w:p w14:paraId="52FE09F5">
      <w:pPr>
        <w:pStyle w:val="28"/>
        <w:ind w:left="0" w:leftChars="0" w:firstLine="0" w:firstLineChars="0"/>
        <w:rPr>
          <w:color w:val="auto"/>
          <w:highlight w:val="none"/>
        </w:rPr>
      </w:pPr>
    </w:p>
    <w:p w14:paraId="3071FBB3">
      <w:pPr>
        <w:tabs>
          <w:tab w:val="left" w:pos="5280"/>
        </w:tabs>
        <w:spacing w:line="360" w:lineRule="auto"/>
        <w:ind w:firstLine="560" w:firstLineChars="200"/>
        <w:jc w:val="center"/>
        <w:rPr>
          <w:rFonts w:ascii="黑体" w:hAnsi="黑体" w:eastAsia="黑体"/>
          <w:color w:val="auto"/>
          <w:sz w:val="28"/>
          <w:szCs w:val="27"/>
          <w:highlight w:val="none"/>
        </w:rPr>
      </w:pPr>
      <w:r>
        <w:rPr>
          <w:rFonts w:hint="eastAsia" w:ascii="黑体" w:hAnsi="黑体" w:eastAsia="黑体"/>
          <w:color w:val="auto"/>
          <w:sz w:val="28"/>
          <w:szCs w:val="27"/>
          <w:highlight w:val="none"/>
        </w:rPr>
        <w:t>评标办法修改表</w:t>
      </w:r>
    </w:p>
    <w:p w14:paraId="4096B007">
      <w:pPr>
        <w:pStyle w:val="2"/>
        <w:spacing w:after="0" w:line="360" w:lineRule="auto"/>
        <w:rPr>
          <w:rFonts w:ascii="宋体" w:hAnsi="宋体" w:eastAsia="宋体"/>
          <w:color w:val="auto"/>
          <w:sz w:val="24"/>
          <w:szCs w:val="24"/>
          <w:highlight w:val="none"/>
        </w:rPr>
      </w:pPr>
      <w:r>
        <w:rPr>
          <w:rFonts w:hint="eastAsia" w:ascii="宋体" w:hAnsi="宋体" w:eastAsia="宋体"/>
          <w:color w:val="auto"/>
          <w:sz w:val="24"/>
          <w:highlight w:val="none"/>
        </w:rPr>
        <w:t>声明：本评标办法使用</w:t>
      </w:r>
      <w:r>
        <w:rPr>
          <w:rFonts w:hint="eastAsia" w:ascii="仿宋_GB2312" w:hAnsi="宋体" w:eastAsia="仿宋_GB2312"/>
          <w:color w:val="auto"/>
          <w:sz w:val="24"/>
          <w:szCs w:val="24"/>
          <w:highlight w:val="none"/>
          <w:lang w:eastAsia="zh-CN"/>
        </w:rPr>
        <w:t>SWZB2024-06</w:t>
      </w:r>
      <w:r>
        <w:rPr>
          <w:rFonts w:hint="eastAsia" w:ascii="宋体" w:hAnsi="宋体" w:eastAsia="宋体"/>
          <w:color w:val="auto"/>
          <w:sz w:val="24"/>
          <w:szCs w:val="24"/>
          <w:highlight w:val="none"/>
        </w:rPr>
        <w:t>招标文件范本的评标办法条款，与该条款不同之处，均在本表中列明，并以现文为准，原文不再有效。</w:t>
      </w:r>
    </w:p>
    <w:p w14:paraId="0D94E75F">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2.2.1</w:t>
      </w:r>
      <w:r>
        <w:rPr>
          <w:rFonts w:hint="eastAsia" w:ascii="宋体" w:hAnsi="宋体"/>
          <w:color w:val="auto"/>
          <w:sz w:val="24"/>
          <w:szCs w:val="21"/>
          <w:highlight w:val="none"/>
        </w:rPr>
        <w:t xml:space="preserve">             修改类型：修改</w:t>
      </w:r>
    </w:p>
    <w:p w14:paraId="378C5CA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b w:val="0"/>
          <w:bCs w:val="0"/>
          <w:color w:val="auto"/>
          <w:sz w:val="24"/>
          <w:szCs w:val="21"/>
          <w:highlight w:val="none"/>
        </w:rPr>
        <w:t>原文：</w:t>
      </w:r>
      <w:r>
        <w:rPr>
          <w:rFonts w:hint="default" w:cs="Times New Roman"/>
          <w:color w:val="auto"/>
          <w:sz w:val="24"/>
          <w:szCs w:val="24"/>
          <w:highlight w:val="none"/>
        </w:rPr>
        <w:t>（1）资信业绩部分：见评标办法前附表；</w:t>
      </w:r>
    </w:p>
    <w:p w14:paraId="4583FE5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（2）监理大纲部分：见评标办法前附表；</w:t>
      </w:r>
    </w:p>
    <w:p w14:paraId="15D92F9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27F607D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ascii="宋体" w:hAnsi="宋体"/>
          <w:color w:val="auto"/>
          <w:sz w:val="24"/>
          <w:szCs w:val="21"/>
          <w:highlight w:val="none"/>
        </w:rPr>
      </w:pPr>
      <w:r>
        <w:rPr>
          <w:rFonts w:hint="default" w:cs="Times New Roman"/>
          <w:strike w:val="0"/>
          <w:color w:val="auto"/>
          <w:sz w:val="24"/>
          <w:szCs w:val="24"/>
          <w:highlight w:val="none"/>
        </w:rPr>
        <w:t>（4）</w:t>
      </w:r>
      <w:r>
        <w:rPr>
          <w:rFonts w:hint="default" w:cs="Times New Roman"/>
          <w:strike w:val="0"/>
          <w:color w:val="auto"/>
          <w:sz w:val="24"/>
          <w:szCs w:val="24"/>
          <w:highlight w:val="none"/>
          <w:lang w:eastAsia="zh-CN"/>
        </w:rPr>
        <w:t>诚信得分</w:t>
      </w:r>
      <w:r>
        <w:rPr>
          <w:rFonts w:hint="default" w:cs="Times New Roman"/>
          <w:strike w:val="0"/>
          <w:color w:val="auto"/>
          <w:sz w:val="24"/>
          <w:szCs w:val="24"/>
          <w:highlight w:val="none"/>
        </w:rPr>
        <w:t>：见评标办法前附表。</w:t>
      </w:r>
    </w:p>
    <w:p w14:paraId="69FEB7D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b w:val="0"/>
          <w:bCs w:val="0"/>
          <w:color w:val="auto"/>
          <w:sz w:val="24"/>
          <w:szCs w:val="21"/>
          <w:highlight w:val="none"/>
        </w:rPr>
        <w:t>现文：</w:t>
      </w:r>
      <w:r>
        <w:rPr>
          <w:rFonts w:hint="default" w:cs="Times New Roman"/>
          <w:color w:val="auto"/>
          <w:sz w:val="24"/>
          <w:szCs w:val="24"/>
          <w:highlight w:val="none"/>
        </w:rPr>
        <w:t>（1）资信业绩部分：见评标办法前附表；</w:t>
      </w:r>
    </w:p>
    <w:p w14:paraId="56BE7B9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（2）</w:t>
      </w:r>
      <w:r>
        <w:rPr>
          <w:rFonts w:hint="default" w:cs="Times New Roman"/>
          <w:color w:val="auto"/>
          <w:sz w:val="24"/>
          <w:szCs w:val="24"/>
          <w:highlight w:val="none"/>
          <w:lang w:val="en-US" w:eastAsia="zh-CN"/>
        </w:rPr>
        <w:t>监理大纲部分</w:t>
      </w:r>
      <w:r>
        <w:rPr>
          <w:rFonts w:hint="default" w:cs="Times New Roman"/>
          <w:color w:val="auto"/>
          <w:sz w:val="24"/>
          <w:szCs w:val="24"/>
          <w:highlight w:val="none"/>
        </w:rPr>
        <w:t>：见评标办法前附表；</w:t>
      </w:r>
    </w:p>
    <w:p w14:paraId="31026E1B">
      <w:pPr>
        <w:pBdr>
          <w:bottom w:val="single" w:color="auto" w:sz="6" w:space="1"/>
        </w:pBdr>
        <w:spacing w:line="351" w:lineRule="auto"/>
        <w:ind w:firstLine="1200" w:firstLineChars="500"/>
        <w:rPr>
          <w:rFonts w:ascii="宋体" w:hAnsi="宋体"/>
          <w:color w:val="auto"/>
          <w:sz w:val="24"/>
          <w:szCs w:val="21"/>
          <w:highlight w:val="none"/>
        </w:rPr>
      </w:pPr>
      <w:r>
        <w:rPr>
          <w:rFonts w:hint="default" w:cs="Times New Roman"/>
          <w:color w:val="auto"/>
          <w:sz w:val="24"/>
          <w:szCs w:val="24"/>
          <w:highlight w:val="none"/>
        </w:rPr>
        <w:t>（3）投标报价：见评标办法前附表；</w:t>
      </w:r>
    </w:p>
    <w:p w14:paraId="232056A3">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2.2.4</w:t>
      </w:r>
      <w:r>
        <w:rPr>
          <w:rFonts w:hint="eastAsia" w:ascii="宋体" w:hAnsi="宋体"/>
          <w:color w:val="auto"/>
          <w:sz w:val="24"/>
          <w:szCs w:val="21"/>
          <w:highlight w:val="none"/>
        </w:rPr>
        <w:t xml:space="preserve">             修改类型：修改</w:t>
      </w:r>
    </w:p>
    <w:p w14:paraId="15EC567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color w:val="auto"/>
          <w:sz w:val="24"/>
          <w:szCs w:val="21"/>
          <w:highlight w:val="none"/>
        </w:rPr>
      </w:pPr>
      <w:r>
        <w:rPr>
          <w:rFonts w:hint="eastAsia" w:ascii="宋体" w:hAnsi="宋体"/>
          <w:b w:val="0"/>
          <w:bCs w:val="0"/>
          <w:color w:val="auto"/>
          <w:sz w:val="24"/>
          <w:szCs w:val="21"/>
          <w:highlight w:val="none"/>
        </w:rPr>
        <w:t>原文：</w:t>
      </w:r>
      <w:r>
        <w:rPr>
          <w:rFonts w:hint="eastAsia" w:ascii="宋体" w:hAnsi="宋体"/>
          <w:color w:val="auto"/>
          <w:sz w:val="24"/>
          <w:szCs w:val="21"/>
          <w:highlight w:val="none"/>
        </w:rPr>
        <w:t>（1）资信业绩评分标准：见评标办法前附表；</w:t>
      </w:r>
    </w:p>
    <w:p w14:paraId="7EE613D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eastAsia" w:ascii="宋体" w:hAnsi="宋体"/>
          <w:color w:val="auto"/>
          <w:sz w:val="24"/>
          <w:szCs w:val="21"/>
          <w:highlight w:val="none"/>
        </w:rPr>
      </w:pPr>
      <w:r>
        <w:rPr>
          <w:rFonts w:hint="eastAsia" w:ascii="宋体" w:hAnsi="宋体"/>
          <w:color w:val="auto"/>
          <w:sz w:val="24"/>
          <w:szCs w:val="21"/>
          <w:highlight w:val="none"/>
        </w:rPr>
        <w:t>（2）监理大纲评分标准：见评标办法前附表；</w:t>
      </w:r>
    </w:p>
    <w:p w14:paraId="093E776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eastAsia" w:ascii="宋体" w:hAnsi="宋体"/>
          <w:color w:val="auto"/>
          <w:sz w:val="24"/>
          <w:szCs w:val="21"/>
          <w:highlight w:val="none"/>
        </w:rPr>
      </w:pPr>
      <w:r>
        <w:rPr>
          <w:rFonts w:hint="eastAsia" w:ascii="宋体" w:hAnsi="宋体"/>
          <w:color w:val="auto"/>
          <w:sz w:val="24"/>
          <w:szCs w:val="21"/>
          <w:highlight w:val="none"/>
        </w:rPr>
        <w:t>（3）投标报价评分标准：见评标办法前附表；</w:t>
      </w:r>
    </w:p>
    <w:p w14:paraId="10A9D97E">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eastAsia" w:ascii="宋体" w:hAnsi="宋体"/>
          <w:color w:val="auto"/>
          <w:sz w:val="24"/>
          <w:szCs w:val="21"/>
          <w:highlight w:val="none"/>
        </w:rPr>
      </w:pPr>
      <w:r>
        <w:rPr>
          <w:rFonts w:hint="eastAsia" w:ascii="宋体" w:hAnsi="宋体"/>
          <w:color w:val="auto"/>
          <w:sz w:val="24"/>
          <w:szCs w:val="21"/>
          <w:highlight w:val="none"/>
        </w:rPr>
        <w:t>（4）诚信得分评分标准：见评标办法前附表。</w:t>
      </w:r>
    </w:p>
    <w:p w14:paraId="41842C14">
      <w:pPr>
        <w:pStyle w:val="3"/>
        <w:tabs>
          <w:tab w:val="left" w:pos="1343"/>
          <w:tab w:val="left" w:pos="2697"/>
          <w:tab w:val="left" w:pos="3264"/>
          <w:tab w:val="left" w:pos="4896"/>
          <w:tab w:val="left" w:pos="6005"/>
          <w:tab w:val="left" w:pos="7085"/>
          <w:tab w:val="left" w:pos="7498"/>
        </w:tabs>
        <w:kinsoku w:val="0"/>
        <w:overflowPunct w:val="0"/>
        <w:spacing w:line="351" w:lineRule="auto"/>
        <w:ind w:left="480" w:leftChars="200" w:firstLine="630" w:firstLineChars="300"/>
        <w:jc w:val="both"/>
        <w:rPr>
          <w:rFonts w:hint="eastAsia" w:ascii="宋体" w:hAnsi="宋体"/>
          <w:color w:val="auto"/>
          <w:sz w:val="21"/>
          <w:szCs w:val="21"/>
          <w:highlight w:val="none"/>
        </w:rPr>
      </w:pPr>
      <w:r>
        <w:rPr>
          <w:rFonts w:hint="eastAsia" w:ascii="宋体" w:hAnsi="宋体"/>
          <w:color w:val="auto"/>
          <w:sz w:val="21"/>
          <w:szCs w:val="21"/>
          <w:highlight w:val="none"/>
        </w:rPr>
        <w:t>注：投标人的诚信评价总分取自本项目招标公告发布第1天所在季度的上一季度的诚信</w:t>
      </w:r>
    </w:p>
    <w:p w14:paraId="64C2A186">
      <w:pPr>
        <w:pStyle w:val="3"/>
        <w:tabs>
          <w:tab w:val="left" w:pos="1343"/>
          <w:tab w:val="left" w:pos="2697"/>
          <w:tab w:val="left" w:pos="3264"/>
          <w:tab w:val="left" w:pos="4896"/>
          <w:tab w:val="left" w:pos="6005"/>
          <w:tab w:val="left" w:pos="7085"/>
          <w:tab w:val="left" w:pos="7498"/>
        </w:tabs>
        <w:kinsoku w:val="0"/>
        <w:overflowPunct w:val="0"/>
        <w:spacing w:line="351" w:lineRule="auto"/>
        <w:ind w:left="0" w:leftChars="0" w:firstLine="0" w:firstLineChars="0"/>
        <w:jc w:val="both"/>
        <w:rPr>
          <w:rFonts w:ascii="宋体" w:hAnsi="宋体"/>
          <w:color w:val="auto"/>
          <w:sz w:val="21"/>
          <w:szCs w:val="21"/>
          <w:highlight w:val="none"/>
        </w:rPr>
      </w:pPr>
      <w:r>
        <w:rPr>
          <w:rFonts w:hint="eastAsia" w:ascii="宋体" w:hAnsi="宋体"/>
          <w:color w:val="auto"/>
          <w:sz w:val="21"/>
          <w:szCs w:val="21"/>
          <w:highlight w:val="none"/>
        </w:rPr>
        <w:t>综合评价分。</w:t>
      </w:r>
    </w:p>
    <w:p w14:paraId="6585350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b w:val="0"/>
          <w:bCs w:val="0"/>
          <w:color w:val="auto"/>
          <w:sz w:val="24"/>
          <w:szCs w:val="21"/>
          <w:highlight w:val="none"/>
        </w:rPr>
        <w:t>现文：</w:t>
      </w:r>
      <w:r>
        <w:rPr>
          <w:rFonts w:hint="default" w:cs="Times New Roman"/>
          <w:color w:val="auto"/>
          <w:sz w:val="24"/>
          <w:szCs w:val="24"/>
          <w:highlight w:val="none"/>
        </w:rPr>
        <w:t>（1）资信业绩部分评分标准：见评标办法前附表；</w:t>
      </w:r>
    </w:p>
    <w:p w14:paraId="4DF67FC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1200" w:firstLineChars="500"/>
        <w:jc w:val="both"/>
        <w:rPr>
          <w:rFonts w:hint="default" w:cs="Times New Roman"/>
          <w:color w:val="auto"/>
          <w:sz w:val="24"/>
          <w:szCs w:val="24"/>
          <w:highlight w:val="none"/>
        </w:rPr>
      </w:pPr>
      <w:r>
        <w:rPr>
          <w:rFonts w:hint="default" w:cs="Times New Roman"/>
          <w:color w:val="auto"/>
          <w:sz w:val="24"/>
          <w:szCs w:val="24"/>
          <w:highlight w:val="none"/>
        </w:rPr>
        <w:t>（2）</w:t>
      </w:r>
      <w:r>
        <w:rPr>
          <w:rFonts w:hint="default" w:cs="Times New Roman"/>
          <w:color w:val="auto"/>
          <w:sz w:val="24"/>
          <w:szCs w:val="24"/>
          <w:highlight w:val="none"/>
          <w:lang w:val="en-US" w:eastAsia="zh-CN"/>
        </w:rPr>
        <w:t>监理大纲部分</w:t>
      </w:r>
      <w:r>
        <w:rPr>
          <w:rFonts w:hint="default" w:cs="Times New Roman"/>
          <w:color w:val="auto"/>
          <w:sz w:val="24"/>
          <w:szCs w:val="24"/>
          <w:highlight w:val="none"/>
        </w:rPr>
        <w:t>评分标准：见评标办法前附表；</w:t>
      </w:r>
    </w:p>
    <w:p w14:paraId="34DEE5DB">
      <w:pPr>
        <w:pBdr>
          <w:bottom w:val="single" w:color="auto" w:sz="6" w:space="1"/>
        </w:pBdr>
        <w:spacing w:line="351" w:lineRule="auto"/>
        <w:ind w:firstLine="1200" w:firstLineChars="500"/>
        <w:rPr>
          <w:rFonts w:ascii="宋体" w:hAnsi="宋体"/>
          <w:color w:val="auto"/>
          <w:sz w:val="24"/>
          <w:szCs w:val="21"/>
          <w:highlight w:val="none"/>
        </w:rPr>
      </w:pPr>
      <w:r>
        <w:rPr>
          <w:rFonts w:hint="default" w:cs="Times New Roman"/>
          <w:color w:val="auto"/>
          <w:sz w:val="24"/>
          <w:szCs w:val="24"/>
          <w:highlight w:val="none"/>
        </w:rPr>
        <w:t>（3）投标报价评分标准：见评标办法前附表；</w:t>
      </w:r>
    </w:p>
    <w:p w14:paraId="5787F674">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3.1.1</w:t>
      </w:r>
      <w:r>
        <w:rPr>
          <w:rFonts w:hint="eastAsia" w:ascii="宋体" w:hAnsi="宋体"/>
          <w:color w:val="auto"/>
          <w:sz w:val="24"/>
          <w:szCs w:val="21"/>
          <w:highlight w:val="none"/>
        </w:rPr>
        <w:t xml:space="preserve">             修改类型：修改</w:t>
      </w:r>
    </w:p>
    <w:p w14:paraId="664A510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color w:val="auto"/>
          <w:sz w:val="24"/>
          <w:szCs w:val="21"/>
          <w:highlight w:val="none"/>
          <w:u w:val="none"/>
        </w:rPr>
      </w:pPr>
      <w:r>
        <w:rPr>
          <w:rFonts w:hint="eastAsia" w:ascii="宋体" w:hAnsi="宋体"/>
          <w:b w:val="0"/>
          <w:bCs w:val="0"/>
          <w:color w:val="auto"/>
          <w:sz w:val="24"/>
          <w:szCs w:val="21"/>
          <w:highlight w:val="none"/>
          <w:u w:val="none"/>
        </w:rPr>
        <w:t>原文：</w:t>
      </w:r>
      <w:r>
        <w:rPr>
          <w:rFonts w:hint="eastAsia" w:ascii="宋体" w:hAnsi="宋体"/>
          <w:color w:val="auto"/>
          <w:sz w:val="24"/>
          <w:szCs w:val="21"/>
          <w:highlight w:val="none"/>
          <w:u w:val="none"/>
        </w:rPr>
        <w:t>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61B054D2">
      <w:pPr>
        <w:pBdr>
          <w:bottom w:val="single" w:color="auto" w:sz="6" w:space="1"/>
        </w:pBdr>
        <w:spacing w:line="351" w:lineRule="auto"/>
        <w:ind w:firstLine="480" w:firstLineChars="200"/>
        <w:rPr>
          <w:rFonts w:hint="eastAsia" w:ascii="宋体" w:hAnsi="宋体" w:eastAsia="宋体" w:cs="Times New Roman"/>
          <w:color w:val="auto"/>
          <w:sz w:val="24"/>
          <w:szCs w:val="21"/>
          <w:highlight w:val="none"/>
          <w:u w:val="none"/>
        </w:rPr>
      </w:pPr>
      <w:r>
        <w:rPr>
          <w:rFonts w:hint="eastAsia" w:ascii="宋体" w:hAnsi="宋体" w:eastAsia="宋体" w:cs="Times New Roman"/>
          <w:color w:val="auto"/>
          <w:sz w:val="24"/>
          <w:szCs w:val="21"/>
          <w:highlight w:val="none"/>
          <w:u w:val="none"/>
        </w:rPr>
        <w:t>现文：</w:t>
      </w:r>
      <w:r>
        <w:rPr>
          <w:rFonts w:hint="eastAsia" w:ascii="宋体" w:hAnsi="宋体" w:eastAsia="宋体" w:cs="Times New Roman"/>
          <w:color w:val="auto"/>
          <w:sz w:val="24"/>
          <w:szCs w:val="21"/>
          <w:highlight w:val="none"/>
          <w:u w:val="none"/>
          <w:lang w:eastAsia="zh-CN"/>
        </w:rPr>
        <w:t>评标委员会如认为有必要，可以要求投标人提交第二章“投标人须知”规定的有关证明和证件的原件，以便核验。评标委员会依据本章第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持不同意见的评标委员会成员应以书面形式阐述其意见和理由并记录在案。</w:t>
      </w:r>
      <w:r>
        <w:rPr>
          <w:rFonts w:hint="eastAsia" w:ascii="宋体" w:hAnsi="宋体" w:eastAsia="宋体" w:cs="Times New Roman"/>
          <w:color w:val="auto"/>
          <w:sz w:val="24"/>
          <w:szCs w:val="21"/>
          <w:highlight w:val="none"/>
          <w:u w:val="none"/>
        </w:rPr>
        <w:t>评委发现投标文件中含义不明确、对同类问题表述不一致、有明显文字和计算错误的，应当要求投标人作必要的澄清、说明后再判定投标人是否通过评审，不得直接否决其投标。</w:t>
      </w:r>
    </w:p>
    <w:p w14:paraId="4E915E19">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3.1.3</w:t>
      </w:r>
      <w:r>
        <w:rPr>
          <w:rFonts w:hint="eastAsia" w:ascii="宋体" w:hAnsi="宋体"/>
          <w:color w:val="auto"/>
          <w:sz w:val="24"/>
          <w:szCs w:val="21"/>
          <w:highlight w:val="none"/>
        </w:rPr>
        <w:t xml:space="preserve">             修改类型：修改</w:t>
      </w:r>
    </w:p>
    <w:p w14:paraId="5F8B0A2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color w:val="auto"/>
          <w:sz w:val="24"/>
          <w:szCs w:val="21"/>
          <w:highlight w:val="none"/>
          <w:u w:val="none"/>
        </w:rPr>
      </w:pPr>
      <w:r>
        <w:rPr>
          <w:rFonts w:hint="eastAsia" w:ascii="宋体" w:hAnsi="宋体"/>
          <w:b w:val="0"/>
          <w:bCs w:val="0"/>
          <w:color w:val="auto"/>
          <w:sz w:val="24"/>
          <w:szCs w:val="21"/>
          <w:highlight w:val="none"/>
          <w:u w:val="none"/>
        </w:rPr>
        <w:t>原文：</w:t>
      </w:r>
      <w:r>
        <w:rPr>
          <w:rFonts w:hint="eastAsia" w:ascii="宋体" w:hAnsi="宋体"/>
          <w:color w:val="auto"/>
          <w:sz w:val="24"/>
          <w:szCs w:val="21"/>
          <w:highlight w:val="none"/>
          <w:u w:val="none"/>
        </w:rPr>
        <w:t>投标报价有算术错误及其他错误的，评标委员会按以下原则要求投标人对投标报价进行修正，并要求投标人书面澄清确认。投标人拒不澄清确认的，评标委员会应当否决其投标：</w:t>
      </w:r>
    </w:p>
    <w:p w14:paraId="39BE4C18">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ascii="宋体" w:hAnsi="宋体"/>
          <w:color w:val="auto"/>
          <w:sz w:val="24"/>
          <w:szCs w:val="21"/>
          <w:highlight w:val="none"/>
          <w:u w:val="none"/>
        </w:rPr>
      </w:pPr>
      <w:r>
        <w:rPr>
          <w:rFonts w:hint="eastAsia" w:ascii="宋体" w:hAnsi="宋体"/>
          <w:color w:val="auto"/>
          <w:sz w:val="24"/>
          <w:szCs w:val="21"/>
          <w:highlight w:val="none"/>
          <w:u w:val="none"/>
        </w:rPr>
        <w:t>（1）投标文件中的大写金额与小写金额不一致的，以大写金额为准；</w:t>
      </w:r>
    </w:p>
    <w:p w14:paraId="29B6CB1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color w:val="auto"/>
          <w:sz w:val="24"/>
          <w:szCs w:val="21"/>
          <w:highlight w:val="none"/>
          <w:u w:val="none"/>
        </w:rPr>
      </w:pPr>
      <w:r>
        <w:rPr>
          <w:rFonts w:hint="eastAsia" w:ascii="宋体" w:hAnsi="宋体"/>
          <w:color w:val="auto"/>
          <w:sz w:val="24"/>
          <w:szCs w:val="21"/>
          <w:highlight w:val="none"/>
          <w:u w:val="none"/>
        </w:rPr>
        <w:t>（2）总价金额与单价金额不一致的，以单价金额为准，但单价金额小数点有明显错误的除外。</w:t>
      </w:r>
    </w:p>
    <w:p w14:paraId="1EAC84B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none"/>
        </w:rPr>
      </w:pPr>
      <w:r>
        <w:rPr>
          <w:rFonts w:hint="eastAsia" w:ascii="宋体" w:hAnsi="宋体"/>
          <w:b w:val="0"/>
          <w:bCs w:val="0"/>
          <w:color w:val="auto"/>
          <w:sz w:val="24"/>
          <w:szCs w:val="21"/>
          <w:highlight w:val="none"/>
          <w:u w:val="none"/>
        </w:rPr>
        <w:t>现文：</w:t>
      </w:r>
      <w:r>
        <w:rPr>
          <w:rFonts w:hint="default" w:cs="Times New Roman"/>
          <w:color w:val="auto"/>
          <w:sz w:val="24"/>
          <w:szCs w:val="24"/>
          <w:highlight w:val="none"/>
          <w:u w:val="none"/>
        </w:rPr>
        <w:t>投标报价有算术错误及其他错误的，评标委员会按以下原则要求投标人对投标报价进行修正，并要求投标人书面澄清确认。投标人拒不澄清确认的，评标委员会应当否决其投标：</w:t>
      </w:r>
    </w:p>
    <w:p w14:paraId="7B26DD4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none"/>
        </w:rPr>
      </w:pPr>
      <w:r>
        <w:rPr>
          <w:rFonts w:hint="default" w:cs="Times New Roman"/>
          <w:color w:val="auto"/>
          <w:sz w:val="24"/>
          <w:szCs w:val="24"/>
          <w:highlight w:val="none"/>
          <w:u w:val="none"/>
        </w:rPr>
        <w:t>（1）投标文件中的大写金额与小写金额不一致的，以大写金额为准；</w:t>
      </w:r>
    </w:p>
    <w:p w14:paraId="374A431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none"/>
        </w:rPr>
      </w:pPr>
      <w:r>
        <w:rPr>
          <w:rFonts w:hint="default" w:cs="Times New Roman"/>
          <w:color w:val="auto"/>
          <w:sz w:val="24"/>
          <w:szCs w:val="24"/>
          <w:highlight w:val="none"/>
          <w:u w:val="none"/>
        </w:rPr>
        <w:t>（2）总价金额与单价金额不一致的，以单价金额为准，但单价金额小数点有明显错误的除外。</w:t>
      </w:r>
    </w:p>
    <w:p w14:paraId="3AB872E5">
      <w:pPr>
        <w:pBdr>
          <w:bottom w:val="single" w:color="auto" w:sz="6" w:space="1"/>
        </w:pBdr>
        <w:spacing w:line="351" w:lineRule="auto"/>
        <w:ind w:firstLine="480" w:firstLineChars="200"/>
        <w:rPr>
          <w:rFonts w:hint="default" w:ascii="宋体" w:hAnsi="宋体"/>
          <w:color w:val="auto"/>
          <w:sz w:val="24"/>
          <w:szCs w:val="21"/>
          <w:highlight w:val="none"/>
          <w:u w:val="none"/>
          <w:lang w:val="en-US"/>
        </w:rPr>
      </w:pPr>
      <w:r>
        <w:rPr>
          <w:rFonts w:hint="default" w:cs="Times New Roman"/>
          <w:b w:val="0"/>
          <w:bCs w:val="0"/>
          <w:color w:val="auto"/>
          <w:sz w:val="24"/>
          <w:szCs w:val="24"/>
          <w:highlight w:val="none"/>
          <w:u w:val="none"/>
        </w:rPr>
        <w:t>（3）投标报价与投标下浮率不符时，以投标下浮率为准</w:t>
      </w:r>
      <w:r>
        <w:rPr>
          <w:rFonts w:hint="default" w:cs="Times New Roman"/>
          <w:b w:val="0"/>
          <w:bCs w:val="0"/>
          <w:color w:val="auto"/>
          <w:sz w:val="24"/>
          <w:szCs w:val="24"/>
          <w:highlight w:val="none"/>
          <w:u w:val="none"/>
          <w:lang w:eastAsia="zh-CN"/>
        </w:rPr>
        <w:t>修正</w:t>
      </w:r>
      <w:r>
        <w:rPr>
          <w:rFonts w:hint="eastAsia" w:cs="Times New Roman"/>
          <w:b w:val="0"/>
          <w:bCs w:val="0"/>
          <w:color w:val="auto"/>
          <w:sz w:val="24"/>
          <w:szCs w:val="24"/>
          <w:highlight w:val="none"/>
          <w:u w:val="none"/>
          <w:lang w:val="en-US" w:eastAsia="zh-CN"/>
        </w:rPr>
        <w:t>投标报价</w:t>
      </w:r>
    </w:p>
    <w:p w14:paraId="1DD8BBB1">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3.2.1</w:t>
      </w:r>
      <w:r>
        <w:rPr>
          <w:rFonts w:hint="eastAsia" w:ascii="宋体" w:hAnsi="宋体"/>
          <w:color w:val="auto"/>
          <w:sz w:val="24"/>
          <w:szCs w:val="21"/>
          <w:highlight w:val="none"/>
        </w:rPr>
        <w:t xml:space="preserve">             修改类型：修改</w:t>
      </w:r>
    </w:p>
    <w:p w14:paraId="0D9AB78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b w:val="0"/>
          <w:bCs w:val="0"/>
          <w:color w:val="auto"/>
          <w:sz w:val="24"/>
          <w:szCs w:val="21"/>
          <w:highlight w:val="none"/>
        </w:rPr>
        <w:t>原文：</w:t>
      </w:r>
      <w:r>
        <w:rPr>
          <w:rFonts w:hint="default" w:cs="Times New Roman"/>
          <w:color w:val="auto"/>
          <w:sz w:val="24"/>
          <w:szCs w:val="24"/>
          <w:highlight w:val="none"/>
        </w:rPr>
        <w:t>评标委员会按本章第 2.2 款规定的量化因素和分值进行打分，并计算出综合评估得分。</w:t>
      </w:r>
    </w:p>
    <w:p w14:paraId="1822BB87">
      <w:pPr>
        <w:pStyle w:val="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u w:val="none"/>
        </w:rPr>
      </w:pPr>
      <w:r>
        <w:rPr>
          <w:rFonts w:hint="default" w:cs="Times New Roman"/>
          <w:color w:val="auto"/>
          <w:sz w:val="24"/>
          <w:szCs w:val="24"/>
          <w:highlight w:val="none"/>
          <w:u w:val="none"/>
        </w:rPr>
        <w:t>（1）按本章第2.2.4（1）目规定的评审因素和分值对资信业绩部分</w:t>
      </w:r>
      <w:r>
        <w:rPr>
          <w:rFonts w:hint="default" w:cs="Times New Roman"/>
          <w:color w:val="auto"/>
          <w:sz w:val="24"/>
          <w:szCs w:val="24"/>
          <w:highlight w:val="none"/>
          <w:u w:val="none"/>
          <w:lang w:eastAsia="zh-CN"/>
        </w:rPr>
        <w:t>（</w:t>
      </w:r>
      <w:r>
        <w:rPr>
          <w:rFonts w:hint="default" w:cs="Times New Roman"/>
          <w:color w:val="auto"/>
          <w:sz w:val="24"/>
          <w:szCs w:val="24"/>
          <w:highlight w:val="none"/>
          <w:u w:val="none"/>
          <w:lang w:val="en-US" w:eastAsia="zh-CN"/>
        </w:rPr>
        <w:t>含人员、资源配置及答辩</w:t>
      </w:r>
      <w:r>
        <w:rPr>
          <w:rFonts w:hint="default" w:cs="Times New Roman"/>
          <w:color w:val="auto"/>
          <w:sz w:val="24"/>
          <w:szCs w:val="24"/>
          <w:highlight w:val="none"/>
          <w:u w:val="none"/>
          <w:lang w:eastAsia="zh-CN"/>
        </w:rPr>
        <w:t>）</w:t>
      </w:r>
      <w:r>
        <w:rPr>
          <w:rFonts w:hint="default" w:cs="Times New Roman"/>
          <w:color w:val="auto"/>
          <w:sz w:val="24"/>
          <w:szCs w:val="24"/>
          <w:highlight w:val="none"/>
          <w:u w:val="none"/>
        </w:rPr>
        <w:t>计算出得分</w:t>
      </w:r>
      <w:r>
        <w:rPr>
          <w:rFonts w:hint="default" w:cs="Times New Roman"/>
          <w:color w:val="auto"/>
          <w:sz w:val="24"/>
          <w:szCs w:val="24"/>
          <w:highlight w:val="none"/>
          <w:u w:val="none"/>
          <w:lang w:val="en-US" w:eastAsia="zh-CN"/>
        </w:rPr>
        <w:t>A，资信业绩部分（含人员、资源配置及答辩）</w:t>
      </w:r>
      <w:r>
        <w:rPr>
          <w:rFonts w:hint="default"/>
          <w:color w:val="auto"/>
          <w:sz w:val="24"/>
          <w:szCs w:val="24"/>
          <w:highlight w:val="none"/>
          <w:u w:val="none"/>
        </w:rPr>
        <w:t>评审得分A为各评标专家打分的算术平均值</w:t>
      </w:r>
      <w:r>
        <w:rPr>
          <w:rFonts w:hint="default" w:cs="Times New Roman"/>
          <w:color w:val="auto"/>
          <w:sz w:val="24"/>
          <w:szCs w:val="24"/>
          <w:highlight w:val="none"/>
          <w:u w:val="none"/>
        </w:rPr>
        <w:t>；</w:t>
      </w:r>
    </w:p>
    <w:p w14:paraId="457FE4E7">
      <w:pPr>
        <w:pStyle w:val="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u w:val="none"/>
        </w:rPr>
      </w:pPr>
      <w:r>
        <w:rPr>
          <w:rFonts w:hint="default" w:cs="Times New Roman"/>
          <w:color w:val="auto"/>
          <w:sz w:val="24"/>
          <w:szCs w:val="24"/>
          <w:highlight w:val="none"/>
          <w:u w:val="none"/>
        </w:rPr>
        <w:t>（2）按本章第2.2.4（2）目规定的评审因素和分值对监理大纲部分计算出得分B</w:t>
      </w:r>
      <w:r>
        <w:rPr>
          <w:rFonts w:hint="default" w:cs="Times New Roman"/>
          <w:color w:val="auto"/>
          <w:sz w:val="24"/>
          <w:szCs w:val="24"/>
          <w:highlight w:val="none"/>
          <w:u w:val="none"/>
          <w:lang w:val="en-US" w:eastAsia="zh-CN"/>
        </w:rPr>
        <w:t>，</w:t>
      </w:r>
      <w:r>
        <w:rPr>
          <w:rFonts w:hint="default"/>
          <w:color w:val="auto"/>
          <w:sz w:val="24"/>
          <w:szCs w:val="24"/>
          <w:highlight w:val="none"/>
          <w:u w:val="none"/>
          <w:lang w:eastAsia="zh-CN"/>
        </w:rPr>
        <w:fldChar w:fldCharType="begin"/>
      </w:r>
      <w:r>
        <w:rPr>
          <w:rFonts w:hint="default"/>
          <w:color w:val="auto"/>
          <w:sz w:val="24"/>
          <w:szCs w:val="24"/>
          <w:highlight w:val="none"/>
          <w:u w:val="none"/>
          <w:lang w:eastAsia="zh-CN"/>
        </w:rPr>
        <w:instrText xml:space="preserve"> = 1 \* GB3 \* MERGEFORMAT </w:instrText>
      </w:r>
      <w:r>
        <w:rPr>
          <w:rFonts w:hint="default"/>
          <w:color w:val="auto"/>
          <w:sz w:val="24"/>
          <w:szCs w:val="24"/>
          <w:highlight w:val="none"/>
          <w:u w:val="none"/>
          <w:lang w:eastAsia="zh-CN"/>
        </w:rPr>
        <w:fldChar w:fldCharType="separate"/>
      </w:r>
      <w:r>
        <w:rPr>
          <w:rFonts w:hint="default"/>
          <w:color w:val="auto"/>
          <w:sz w:val="21"/>
          <w:szCs w:val="24"/>
          <w:highlight w:val="none"/>
          <w:u w:val="none"/>
        </w:rPr>
        <w:t>①</w:t>
      </w:r>
      <w:r>
        <w:rPr>
          <w:rFonts w:hint="default"/>
          <w:color w:val="auto"/>
          <w:sz w:val="21"/>
          <w:szCs w:val="24"/>
          <w:highlight w:val="none"/>
          <w:u w:val="none"/>
        </w:rPr>
        <w:fldChar w:fldCharType="end"/>
      </w:r>
      <w:r>
        <w:rPr>
          <w:rFonts w:hint="default" w:cs="Times New Roman"/>
          <w:color w:val="auto"/>
          <w:sz w:val="24"/>
          <w:szCs w:val="24"/>
          <w:highlight w:val="none"/>
          <w:u w:val="none"/>
          <w:lang w:eastAsia="zh-CN"/>
        </w:rPr>
        <w:t>监理大纲</w:t>
      </w:r>
      <w:r>
        <w:rPr>
          <w:rFonts w:hint="default" w:cs="Times New Roman"/>
          <w:color w:val="auto"/>
          <w:sz w:val="24"/>
          <w:szCs w:val="24"/>
          <w:highlight w:val="none"/>
          <w:u w:val="none"/>
        </w:rPr>
        <w:t>部分</w:t>
      </w:r>
      <w:r>
        <w:rPr>
          <w:rFonts w:hint="default"/>
          <w:color w:val="auto"/>
          <w:sz w:val="24"/>
          <w:szCs w:val="24"/>
          <w:highlight w:val="none"/>
          <w:u w:val="none"/>
        </w:rPr>
        <w:t>评审得分</w:t>
      </w:r>
      <w:r>
        <w:rPr>
          <w:rFonts w:hint="default" w:cs="Times New Roman"/>
          <w:color w:val="auto"/>
          <w:sz w:val="24"/>
          <w:szCs w:val="24"/>
          <w:highlight w:val="none"/>
          <w:u w:val="none"/>
        </w:rPr>
        <w:t>B</w:t>
      </w:r>
      <w:r>
        <w:rPr>
          <w:rFonts w:hint="default"/>
          <w:color w:val="auto"/>
          <w:sz w:val="24"/>
          <w:szCs w:val="24"/>
          <w:highlight w:val="none"/>
          <w:u w:val="none"/>
        </w:rPr>
        <w:t>为从各评标专家打分中去掉一个最高分和去掉一个最低分后的剩余评标专家打分的算术平均值</w:t>
      </w:r>
      <w:r>
        <w:rPr>
          <w:rFonts w:hint="default"/>
          <w:color w:val="auto"/>
          <w:sz w:val="24"/>
          <w:szCs w:val="24"/>
          <w:highlight w:val="none"/>
          <w:u w:val="none"/>
          <w:lang w:eastAsia="zh-CN"/>
        </w:rPr>
        <w:t>或</w:t>
      </w:r>
      <w:r>
        <w:rPr>
          <w:rFonts w:hint="default"/>
          <w:color w:val="auto"/>
          <w:sz w:val="24"/>
          <w:szCs w:val="24"/>
          <w:highlight w:val="none"/>
          <w:u w:val="none"/>
          <w:lang w:eastAsia="zh-CN"/>
        </w:rPr>
        <w:fldChar w:fldCharType="begin"/>
      </w:r>
      <w:r>
        <w:rPr>
          <w:rFonts w:hint="default"/>
          <w:color w:val="auto"/>
          <w:sz w:val="24"/>
          <w:szCs w:val="24"/>
          <w:highlight w:val="none"/>
          <w:u w:val="none"/>
          <w:lang w:eastAsia="zh-CN"/>
        </w:rPr>
        <w:instrText xml:space="preserve"> = 2 \* GB3 \* MERGEFORMAT </w:instrText>
      </w:r>
      <w:r>
        <w:rPr>
          <w:rFonts w:hint="default"/>
          <w:color w:val="auto"/>
          <w:sz w:val="24"/>
          <w:szCs w:val="24"/>
          <w:highlight w:val="none"/>
          <w:u w:val="none"/>
          <w:lang w:eastAsia="zh-CN"/>
        </w:rPr>
        <w:fldChar w:fldCharType="separate"/>
      </w:r>
      <w:r>
        <w:rPr>
          <w:rFonts w:hint="default"/>
          <w:color w:val="auto"/>
          <w:sz w:val="21"/>
          <w:szCs w:val="24"/>
          <w:highlight w:val="none"/>
          <w:u w:val="none"/>
        </w:rPr>
        <w:t>②</w:t>
      </w:r>
      <w:r>
        <w:rPr>
          <w:rFonts w:hint="default"/>
          <w:color w:val="auto"/>
          <w:sz w:val="21"/>
          <w:szCs w:val="24"/>
          <w:highlight w:val="none"/>
          <w:u w:val="none"/>
        </w:rPr>
        <w:fldChar w:fldCharType="end"/>
      </w:r>
      <w:r>
        <w:rPr>
          <w:rFonts w:hint="default" w:cs="Times New Roman"/>
          <w:color w:val="auto"/>
          <w:sz w:val="24"/>
          <w:szCs w:val="24"/>
          <w:highlight w:val="none"/>
          <w:u w:val="none"/>
          <w:lang w:eastAsia="zh-CN"/>
        </w:rPr>
        <w:t>监理大纲</w:t>
      </w:r>
      <w:r>
        <w:rPr>
          <w:rFonts w:hint="default"/>
          <w:color w:val="auto"/>
          <w:sz w:val="24"/>
          <w:szCs w:val="24"/>
          <w:highlight w:val="none"/>
          <w:u w:val="none"/>
          <w:lang w:eastAsia="zh-CN"/>
        </w:rPr>
        <w:t>部分</w:t>
      </w:r>
      <w:r>
        <w:rPr>
          <w:rFonts w:hint="default"/>
          <w:color w:val="auto"/>
          <w:sz w:val="24"/>
          <w:szCs w:val="24"/>
          <w:highlight w:val="none"/>
          <w:u w:val="none"/>
        </w:rPr>
        <w:t>评审得分</w:t>
      </w:r>
      <w:r>
        <w:rPr>
          <w:rFonts w:hint="default" w:cs="Times New Roman"/>
          <w:color w:val="auto"/>
          <w:sz w:val="24"/>
          <w:szCs w:val="24"/>
          <w:highlight w:val="none"/>
          <w:u w:val="none"/>
        </w:rPr>
        <w:t>B</w:t>
      </w:r>
      <w:r>
        <w:rPr>
          <w:rFonts w:hint="default"/>
          <w:color w:val="auto"/>
          <w:sz w:val="24"/>
          <w:szCs w:val="24"/>
          <w:highlight w:val="none"/>
          <w:u w:val="none"/>
        </w:rPr>
        <w:t>为各评标专家打分的算术平均值</w:t>
      </w:r>
      <w:r>
        <w:rPr>
          <w:rFonts w:hint="default"/>
          <w:i/>
          <w:iCs/>
          <w:color w:val="auto"/>
          <w:sz w:val="24"/>
          <w:szCs w:val="24"/>
          <w:highlight w:val="none"/>
          <w:u w:val="none"/>
          <w:lang w:eastAsia="zh-CN"/>
        </w:rPr>
        <w:t>（二选一，招标人自行选择）</w:t>
      </w:r>
      <w:r>
        <w:rPr>
          <w:rFonts w:hint="default" w:cs="Times New Roman"/>
          <w:color w:val="auto"/>
          <w:sz w:val="24"/>
          <w:szCs w:val="24"/>
          <w:highlight w:val="none"/>
          <w:u w:val="none"/>
        </w:rPr>
        <w:t>；</w:t>
      </w:r>
    </w:p>
    <w:p w14:paraId="684DD97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（3）按本章第2.2.4（3）目规定的评审因素和分值对投标报价计算出得分C；</w:t>
      </w:r>
    </w:p>
    <w:p w14:paraId="12C1AA6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ascii="宋体" w:hAnsi="宋体"/>
          <w:color w:val="auto"/>
          <w:sz w:val="24"/>
          <w:szCs w:val="21"/>
          <w:highlight w:val="none"/>
        </w:rPr>
      </w:pPr>
      <w:r>
        <w:rPr>
          <w:rFonts w:hint="default" w:cs="Times New Roman"/>
          <w:color w:val="auto"/>
          <w:sz w:val="24"/>
          <w:szCs w:val="24"/>
          <w:highlight w:val="none"/>
        </w:rPr>
        <w:t>（4）按本章第2.2.4（4）目规定的评审因素和分值对</w:t>
      </w:r>
      <w:r>
        <w:rPr>
          <w:rFonts w:hint="default" w:cs="Times New Roman"/>
          <w:color w:val="auto"/>
          <w:sz w:val="24"/>
          <w:szCs w:val="24"/>
          <w:highlight w:val="none"/>
          <w:lang w:eastAsia="zh-CN"/>
        </w:rPr>
        <w:t>诚信评价</w:t>
      </w:r>
      <w:r>
        <w:rPr>
          <w:rFonts w:hint="default" w:cs="Times New Roman"/>
          <w:color w:val="auto"/>
          <w:sz w:val="24"/>
          <w:szCs w:val="24"/>
          <w:highlight w:val="none"/>
        </w:rPr>
        <w:t>计算出得分D</w:t>
      </w:r>
      <w:r>
        <w:rPr>
          <w:rFonts w:hint="default" w:cs="Times New Roman"/>
          <w:strike w:val="0"/>
          <w:color w:val="auto"/>
          <w:sz w:val="24"/>
          <w:szCs w:val="24"/>
          <w:highlight w:val="none"/>
        </w:rPr>
        <w:t>。</w:t>
      </w:r>
    </w:p>
    <w:p w14:paraId="45B5DDB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b w:val="0"/>
          <w:bCs w:val="0"/>
          <w:color w:val="auto"/>
          <w:sz w:val="24"/>
          <w:szCs w:val="21"/>
          <w:highlight w:val="none"/>
        </w:rPr>
        <w:t>现文：</w:t>
      </w:r>
      <w:r>
        <w:rPr>
          <w:rFonts w:hint="default" w:cs="Times New Roman"/>
          <w:color w:val="auto"/>
          <w:sz w:val="24"/>
          <w:szCs w:val="24"/>
          <w:highlight w:val="none"/>
        </w:rPr>
        <w:t>评标委员会按本章第 2.2 款规定的量化因素和分值进行打分，并计算出综合评估得分。</w:t>
      </w:r>
    </w:p>
    <w:p w14:paraId="6FE29B9C">
      <w:pPr>
        <w:pStyle w:val="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（1）按本章第2.2.4（1）目规定的评审因素和分值对资信业绩部分计算出得分</w:t>
      </w:r>
      <w:r>
        <w:rPr>
          <w:rFonts w:hint="default" w:cs="Times New Roman"/>
          <w:color w:val="auto"/>
          <w:sz w:val="24"/>
          <w:szCs w:val="24"/>
          <w:highlight w:val="none"/>
          <w:lang w:val="en-US" w:eastAsia="zh-CN"/>
        </w:rPr>
        <w:t>A，资信业绩部分</w:t>
      </w:r>
      <w:r>
        <w:rPr>
          <w:rFonts w:hint="default"/>
          <w:b w:val="0"/>
          <w:bCs w:val="0"/>
          <w:color w:val="auto"/>
          <w:sz w:val="24"/>
          <w:szCs w:val="24"/>
          <w:highlight w:val="none"/>
          <w:u w:val="none"/>
        </w:rPr>
        <w:t>评审得分A为各评标专家打分的算术平均值</w:t>
      </w:r>
      <w:r>
        <w:rPr>
          <w:rFonts w:hint="default" w:cs="Times New Roman"/>
          <w:b w:val="0"/>
          <w:bCs w:val="0"/>
          <w:color w:val="auto"/>
          <w:sz w:val="24"/>
          <w:szCs w:val="24"/>
          <w:highlight w:val="none"/>
        </w:rPr>
        <w:t>；</w:t>
      </w:r>
    </w:p>
    <w:p w14:paraId="7D03775A">
      <w:pPr>
        <w:pStyle w:val="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（2）按本章第2.2.4（2）目规定的评审因素和分值对</w:t>
      </w:r>
      <w:r>
        <w:rPr>
          <w:rFonts w:hint="default" w:cs="Times New Roman"/>
          <w:color w:val="auto"/>
          <w:sz w:val="24"/>
          <w:szCs w:val="24"/>
          <w:highlight w:val="none"/>
          <w:lang w:val="en-US" w:eastAsia="zh-CN"/>
        </w:rPr>
        <w:t>监理大纲部分</w:t>
      </w:r>
      <w:r>
        <w:rPr>
          <w:rFonts w:hint="default" w:cs="Times New Roman"/>
          <w:color w:val="auto"/>
          <w:sz w:val="24"/>
          <w:szCs w:val="24"/>
          <w:highlight w:val="none"/>
        </w:rPr>
        <w:t>计算出得分B</w:t>
      </w:r>
      <w:r>
        <w:rPr>
          <w:rFonts w:hint="default" w:cs="Times New Roman"/>
          <w:color w:val="auto"/>
          <w:sz w:val="24"/>
          <w:szCs w:val="24"/>
          <w:highlight w:val="none"/>
          <w:lang w:val="en-US" w:eastAsia="zh-CN"/>
        </w:rPr>
        <w:t>，监理大纲部分</w:t>
      </w:r>
      <w:r>
        <w:rPr>
          <w:rFonts w:hint="default"/>
          <w:color w:val="auto"/>
          <w:sz w:val="24"/>
          <w:szCs w:val="24"/>
          <w:highlight w:val="none"/>
          <w:u w:val="none"/>
        </w:rPr>
        <w:t>评审得分</w:t>
      </w:r>
      <w:r>
        <w:rPr>
          <w:rFonts w:hint="default" w:cs="Times New Roman"/>
          <w:color w:val="auto"/>
          <w:sz w:val="24"/>
          <w:szCs w:val="24"/>
          <w:highlight w:val="none"/>
          <w:u w:val="none"/>
        </w:rPr>
        <w:t>B</w:t>
      </w:r>
      <w:r>
        <w:rPr>
          <w:rFonts w:hint="default"/>
          <w:color w:val="auto"/>
          <w:sz w:val="24"/>
          <w:szCs w:val="24"/>
          <w:highlight w:val="none"/>
          <w:u w:val="none"/>
        </w:rPr>
        <w:t>为各评标专家打分的算术平均值</w:t>
      </w:r>
      <w:r>
        <w:rPr>
          <w:rFonts w:hint="default" w:cs="Times New Roman"/>
          <w:color w:val="auto"/>
          <w:sz w:val="24"/>
          <w:szCs w:val="24"/>
          <w:highlight w:val="none"/>
        </w:rPr>
        <w:t>；</w:t>
      </w:r>
    </w:p>
    <w:p w14:paraId="629512EA">
      <w:pPr>
        <w:pBdr>
          <w:bottom w:val="single" w:color="auto" w:sz="6" w:space="1"/>
        </w:pBdr>
        <w:spacing w:line="351" w:lineRule="auto"/>
        <w:ind w:firstLine="480" w:firstLineChars="200"/>
        <w:rPr>
          <w:rFonts w:ascii="宋体" w:hAnsi="宋体"/>
          <w:color w:val="auto"/>
          <w:sz w:val="24"/>
          <w:szCs w:val="21"/>
          <w:highlight w:val="none"/>
        </w:rPr>
      </w:pPr>
      <w:r>
        <w:rPr>
          <w:rFonts w:hint="default" w:cs="Times New Roman"/>
          <w:color w:val="auto"/>
          <w:sz w:val="24"/>
          <w:szCs w:val="24"/>
          <w:highlight w:val="none"/>
        </w:rPr>
        <w:t>（3）按本章第2.2.4（3）目规定的评审因素和分值对投标报价计算出得分C；</w:t>
      </w:r>
    </w:p>
    <w:p w14:paraId="7D368DDC">
      <w:pPr>
        <w:spacing w:line="351" w:lineRule="auto"/>
        <w:ind w:firstLine="537" w:firstLineChars="224"/>
        <w:rPr>
          <w:rFonts w:ascii="宋体" w:hAnsi="宋体"/>
          <w:color w:val="auto"/>
          <w:sz w:val="24"/>
          <w:szCs w:val="21"/>
          <w:highlight w:val="none"/>
        </w:rPr>
      </w:pPr>
      <w:r>
        <w:rPr>
          <w:rFonts w:hint="eastAsia" w:ascii="宋体" w:hAnsi="宋体"/>
          <w:color w:val="auto"/>
          <w:sz w:val="24"/>
          <w:szCs w:val="21"/>
          <w:highlight w:val="none"/>
        </w:rPr>
        <w:t>条款号：</w:t>
      </w:r>
      <w:r>
        <w:rPr>
          <w:rFonts w:hint="eastAsia" w:ascii="宋体" w:hAnsi="宋体"/>
          <w:color w:val="auto"/>
          <w:sz w:val="24"/>
          <w:szCs w:val="21"/>
          <w:highlight w:val="none"/>
          <w:lang w:val="en-US" w:eastAsia="zh-CN"/>
        </w:rPr>
        <w:t>3.2.3</w:t>
      </w:r>
      <w:r>
        <w:rPr>
          <w:rFonts w:hint="eastAsia" w:ascii="宋体" w:hAnsi="宋体"/>
          <w:color w:val="auto"/>
          <w:sz w:val="24"/>
          <w:szCs w:val="21"/>
          <w:highlight w:val="none"/>
        </w:rPr>
        <w:t xml:space="preserve">             修改类型：修改</w:t>
      </w:r>
    </w:p>
    <w:p w14:paraId="096E948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eastAsia" w:ascii="宋体" w:hAnsi="宋体"/>
          <w:b w:val="0"/>
          <w:bCs w:val="0"/>
          <w:color w:val="auto"/>
          <w:sz w:val="24"/>
          <w:szCs w:val="21"/>
          <w:highlight w:val="none"/>
        </w:rPr>
        <w:t>原文：</w:t>
      </w:r>
      <w:r>
        <w:rPr>
          <w:rFonts w:hint="eastAsia" w:ascii="宋体" w:hAnsi="宋体"/>
          <w:color w:val="auto"/>
          <w:sz w:val="24"/>
          <w:szCs w:val="21"/>
          <w:highlight w:val="none"/>
        </w:rPr>
        <w:t>投标人得分=A+B+C</w:t>
      </w:r>
      <w:r>
        <w:rPr>
          <w:rFonts w:hint="eastAsia"/>
          <w:color w:val="auto"/>
          <w:sz w:val="24"/>
          <w:szCs w:val="21"/>
          <w:highlight w:val="none"/>
          <w:lang w:val="en-US" w:eastAsia="zh-CN"/>
        </w:rPr>
        <w:t>+D</w:t>
      </w:r>
      <w:r>
        <w:rPr>
          <w:rFonts w:hint="default" w:cs="Times New Roman"/>
          <w:color w:val="auto"/>
          <w:sz w:val="24"/>
          <w:szCs w:val="24"/>
          <w:highlight w:val="none"/>
        </w:rPr>
        <w:t>。</w:t>
      </w:r>
    </w:p>
    <w:p w14:paraId="6D4962D7">
      <w:pPr>
        <w:pBdr>
          <w:bottom w:val="single" w:color="auto" w:sz="6" w:space="1"/>
        </w:pBdr>
        <w:spacing w:line="351" w:lineRule="auto"/>
        <w:ind w:firstLine="480" w:firstLineChars="200"/>
        <w:rPr>
          <w:rFonts w:hint="eastAsia" w:ascii="宋体" w:hAnsi="宋体" w:eastAsia="宋体"/>
          <w:color w:val="auto"/>
          <w:sz w:val="24"/>
          <w:szCs w:val="21"/>
          <w:highlight w:val="none"/>
          <w:lang w:eastAsia="zh-CN"/>
        </w:rPr>
      </w:pPr>
      <w:r>
        <w:rPr>
          <w:rFonts w:hint="eastAsia" w:ascii="宋体" w:hAnsi="宋体"/>
          <w:b w:val="0"/>
          <w:bCs w:val="0"/>
          <w:color w:val="auto"/>
          <w:sz w:val="24"/>
          <w:szCs w:val="21"/>
          <w:highlight w:val="none"/>
        </w:rPr>
        <w:t>现文：</w:t>
      </w:r>
      <w:r>
        <w:rPr>
          <w:rFonts w:hint="eastAsia" w:ascii="宋体" w:hAnsi="宋体" w:cs="宋体"/>
          <w:b w:val="0"/>
          <w:bCs w:val="0"/>
          <w:color w:val="auto"/>
          <w:sz w:val="24"/>
          <w:szCs w:val="24"/>
          <w:highlight w:val="none"/>
        </w:rPr>
        <w:t>投标人得分=</w:t>
      </w:r>
      <w:r>
        <w:rPr>
          <w:rFonts w:hint="eastAsia" w:ascii="宋体" w:hAnsi="宋体" w:cs="宋体"/>
          <w:b w:val="0"/>
          <w:bCs w:val="0"/>
          <w:color w:val="auto"/>
          <w:sz w:val="24"/>
          <w:szCs w:val="24"/>
          <w:highlight w:val="none"/>
          <w:u w:val="single"/>
        </w:rPr>
        <w:t>A+B+C</w:t>
      </w:r>
      <w:r>
        <w:rPr>
          <w:rFonts w:hint="eastAsia" w:ascii="宋体" w:hAnsi="宋体" w:eastAsia="宋体" w:cs="宋体"/>
          <w:b w:val="0"/>
          <w:bCs w:val="0"/>
          <w:color w:val="auto"/>
          <w:sz w:val="24"/>
          <w:szCs w:val="24"/>
          <w:highlight w:val="none"/>
          <w:u w:val="none"/>
          <w:lang w:eastAsia="zh-CN"/>
        </w:rPr>
        <w:t>。</w:t>
      </w:r>
    </w:p>
    <w:p w14:paraId="643BC3B2">
      <w:pPr>
        <w:spacing w:line="351" w:lineRule="auto"/>
        <w:ind w:firstLine="480" w:firstLineChars="200"/>
        <w:jc w:val="left"/>
        <w:rPr>
          <w:rFonts w:hint="eastAsia" w:ascii="宋体" w:hAnsi="宋体"/>
          <w:color w:val="auto"/>
          <w:sz w:val="24"/>
          <w:szCs w:val="21"/>
          <w:highlight w:val="none"/>
          <w:lang w:val="en-US" w:eastAsia="zh-CN"/>
        </w:rPr>
      </w:pPr>
      <w:r>
        <w:rPr>
          <w:rFonts w:hint="eastAsia" w:ascii="宋体" w:hAnsi="宋体"/>
          <w:color w:val="auto"/>
          <w:sz w:val="24"/>
          <w:szCs w:val="21"/>
          <w:highlight w:val="none"/>
        </w:rPr>
        <w:t>注：以上修改，仅限于本范本中有可供选择条</w:t>
      </w:r>
      <w:r>
        <w:rPr>
          <w:rFonts w:hint="eastAsia" w:ascii="宋体" w:hAnsi="宋体"/>
          <w:color w:val="auto"/>
          <w:sz w:val="24"/>
          <w:szCs w:val="21"/>
          <w:highlight w:val="none"/>
          <w:lang w:val="en-US" w:eastAsia="zh-CN"/>
        </w:rPr>
        <w:t>款的情形。</w:t>
      </w:r>
    </w:p>
    <w:p w14:paraId="08750AB3">
      <w:pPr>
        <w:pStyle w:val="5"/>
        <w:spacing w:line="351" w:lineRule="auto"/>
        <w:jc w:val="both"/>
        <w:rPr>
          <w:rFonts w:hint="default"/>
          <w:highlight w:val="none"/>
          <w:lang w:val="en-US" w:eastAsia="zh-CN"/>
        </w:rPr>
      </w:pPr>
      <w:r>
        <w:rPr>
          <w:rFonts w:hint="eastAsia"/>
          <w:color w:val="auto"/>
          <w:sz w:val="24"/>
          <w:szCs w:val="21"/>
          <w:highlight w:val="none"/>
          <w:lang w:val="en-US" w:eastAsia="zh-CN"/>
        </w:rPr>
        <w:t>（以下无正文）</w:t>
      </w:r>
    </w:p>
    <w:p w14:paraId="73DCA807">
      <w:pPr>
        <w:pStyle w:val="28"/>
        <w:ind w:left="0" w:leftChars="0" w:firstLine="0" w:firstLineChars="0"/>
        <w:rPr>
          <w:color w:val="auto"/>
          <w:highlight w:val="none"/>
        </w:rPr>
        <w:sectPr>
          <w:pgSz w:w="11906" w:h="16838"/>
          <w:pgMar w:top="1417" w:right="1417" w:bottom="1417" w:left="1417" w:header="0" w:footer="940" w:gutter="0"/>
          <w:pgNumType w:fmt="decimal"/>
          <w:cols w:space="720" w:num="1"/>
        </w:sectPr>
      </w:pPr>
      <w:r>
        <w:rPr>
          <w:rFonts w:ascii="宋体" w:hAnsi="宋体"/>
          <w:color w:val="auto"/>
          <w:sz w:val="24"/>
          <w:szCs w:val="21"/>
          <w:highlight w:val="none"/>
        </w:rPr>
        <w:br w:type="page"/>
      </w:r>
    </w:p>
    <w:p w14:paraId="7301686C">
      <w:pPr>
        <w:pStyle w:val="6"/>
        <w:outlineLvl w:val="1"/>
        <w:rPr>
          <w:rFonts w:hint="eastAsia" w:ascii="Microsoft JhengHei" w:hAnsi="Microsoft JhengHei" w:eastAsia="Microsoft JhengHei"/>
          <w:b w:val="0"/>
          <w:color w:val="auto"/>
          <w:sz w:val="30"/>
          <w:szCs w:val="24"/>
          <w:highlight w:val="none"/>
        </w:rPr>
      </w:pPr>
      <w:bookmarkStart w:id="137" w:name="_Toc19273"/>
      <w:r>
        <w:rPr>
          <w:rFonts w:hint="default" w:cs="宋体"/>
          <w:color w:val="auto"/>
          <w:sz w:val="24"/>
          <w:szCs w:val="24"/>
          <w:highlight w:val="none"/>
        </w:rPr>
        <w:t>1.评标方法</w:t>
      </w:r>
      <w:bookmarkEnd w:id="137"/>
    </w:p>
    <w:p w14:paraId="1043CCF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ascii="宋体" w:hAnsi="宋体" w:eastAsia="宋体" w:cs="Times New Roman"/>
          <w:color w:val="auto"/>
          <w:sz w:val="24"/>
          <w:szCs w:val="24"/>
          <w:highlight w:val="none"/>
        </w:rPr>
      </w:pPr>
      <w:bookmarkStart w:id="138" w:name="bookmark85"/>
      <w:bookmarkEnd w:id="138"/>
      <w:bookmarkStart w:id="139" w:name="_Toc12017"/>
      <w:r>
        <w:rPr>
          <w:rFonts w:hint="default" w:ascii="宋体" w:hAnsi="宋体" w:eastAsia="宋体" w:cs="Times New Roman"/>
          <w:color w:val="auto"/>
          <w:sz w:val="24"/>
          <w:szCs w:val="24"/>
          <w:highlight w:val="none"/>
        </w:rPr>
        <w:t>本次评标采用综合评估法。评标委员会对满足招标文件实质性要求的投标文件，按照本章第 2.2 款规定的评分标准进行打分，并按得分由高到低顺序推荐中标候选人，或根据招标人授权直接确定中标人，但投标报价低于其成本的除外。如果总分相同的，以投标报价低的优先；投标报价也相等的，以资信业绩部分</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val="en-US" w:eastAsia="zh-CN"/>
        </w:rPr>
        <w:t>含人员、资源配置及答辩</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得分高的优先；如资信业绩部分</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lang w:val="en-US" w:eastAsia="zh-CN"/>
        </w:rPr>
        <w:t>含人员、资源配置及答辩</w:t>
      </w:r>
      <w:r>
        <w:rPr>
          <w:rFonts w:hint="default" w:ascii="宋体" w:hAnsi="宋体" w:eastAsia="宋体" w:cs="Times New Roman"/>
          <w:color w:val="auto"/>
          <w:sz w:val="24"/>
          <w:szCs w:val="24"/>
          <w:highlight w:val="none"/>
          <w:lang w:eastAsia="zh-CN"/>
        </w:rPr>
        <w:t>）</w:t>
      </w:r>
      <w:r>
        <w:rPr>
          <w:rFonts w:hint="default" w:ascii="宋体" w:hAnsi="宋体" w:eastAsia="宋体" w:cs="Times New Roman"/>
          <w:color w:val="auto"/>
          <w:sz w:val="24"/>
          <w:szCs w:val="24"/>
          <w:highlight w:val="none"/>
        </w:rPr>
        <w:t>得分也相等，按照评标办法前附表的规定确定中标候选人顺序。</w:t>
      </w:r>
    </w:p>
    <w:p w14:paraId="523A0572">
      <w:pPr>
        <w:pStyle w:val="3"/>
        <w:tabs>
          <w:tab w:val="left" w:pos="1343"/>
          <w:tab w:val="left" w:pos="2697"/>
          <w:tab w:val="left" w:pos="3264"/>
          <w:tab w:val="left" w:pos="4896"/>
          <w:tab w:val="left" w:pos="6005"/>
          <w:tab w:val="left" w:pos="7085"/>
          <w:tab w:val="left" w:pos="7498"/>
        </w:tabs>
        <w:kinsoku w:val="0"/>
        <w:overflowPunct w:val="0"/>
        <w:spacing w:line="351" w:lineRule="auto"/>
        <w:ind w:left="0" w:leftChars="0" w:firstLine="0" w:firstLineChars="0"/>
        <w:jc w:val="both"/>
        <w:rPr>
          <w:rFonts w:hint="eastAsia" w:ascii="宋体" w:hAnsi="宋体" w:eastAsia="宋体" w:cs="宋体"/>
          <w:b/>
          <w:color w:val="auto"/>
          <w:sz w:val="24"/>
          <w:szCs w:val="24"/>
          <w:highlight w:val="none"/>
        </w:rPr>
      </w:pPr>
      <w:r>
        <w:rPr>
          <w:rFonts w:hint="default" w:ascii="宋体" w:hAnsi="宋体" w:eastAsia="宋体" w:cs="宋体"/>
          <w:b/>
          <w:color w:val="auto"/>
          <w:sz w:val="24"/>
          <w:szCs w:val="24"/>
          <w:highlight w:val="none"/>
        </w:rPr>
        <w:t>2.评审标准</w:t>
      </w:r>
      <w:bookmarkEnd w:id="139"/>
    </w:p>
    <w:p w14:paraId="543146DE">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40" w:name="bookmark86"/>
      <w:bookmarkEnd w:id="140"/>
      <w:bookmarkStart w:id="141" w:name="_Toc2636"/>
      <w:r>
        <w:rPr>
          <w:rFonts w:hint="default" w:cs="宋体"/>
          <w:color w:val="auto"/>
          <w:sz w:val="24"/>
          <w:szCs w:val="24"/>
          <w:highlight w:val="none"/>
        </w:rPr>
        <w:t>2.1 初步评审标准</w:t>
      </w:r>
      <w:bookmarkEnd w:id="141"/>
    </w:p>
    <w:p w14:paraId="5183EBA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1</w:t>
      </w:r>
      <w:r>
        <w:rPr>
          <w:rFonts w:hint="default" w:cs="Times New Roman"/>
          <w:color w:val="auto"/>
          <w:sz w:val="24"/>
          <w:szCs w:val="24"/>
          <w:highlight w:val="none"/>
        </w:rPr>
        <w:t xml:space="preserve"> 资格评审标准：见评标办法前附表。</w:t>
      </w:r>
    </w:p>
    <w:p w14:paraId="4060312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w:t>
      </w:r>
      <w:r>
        <w:rPr>
          <w:rFonts w:hint="default" w:cs="Times New Roman"/>
          <w:color w:val="auto"/>
          <w:sz w:val="24"/>
          <w:szCs w:val="24"/>
          <w:highlight w:val="none"/>
          <w:lang w:val="en-US" w:eastAsia="zh-CN"/>
        </w:rPr>
        <w:t>2</w:t>
      </w:r>
      <w:r>
        <w:rPr>
          <w:rFonts w:hint="default" w:cs="Times New Roman"/>
          <w:color w:val="auto"/>
          <w:sz w:val="24"/>
          <w:szCs w:val="24"/>
          <w:highlight w:val="none"/>
        </w:rPr>
        <w:t xml:space="preserve"> 形式评审标准：见评标办法前附表。</w:t>
      </w:r>
    </w:p>
    <w:p w14:paraId="7222168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2.1.3 响应性评审标准：见评标办法前附表。</w:t>
      </w:r>
    </w:p>
    <w:p w14:paraId="4531948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42" w:name="bookmark87"/>
      <w:bookmarkEnd w:id="142"/>
      <w:bookmarkStart w:id="143" w:name="_Toc9590"/>
      <w:r>
        <w:rPr>
          <w:rFonts w:hint="default" w:cs="宋体"/>
          <w:color w:val="auto"/>
          <w:sz w:val="24"/>
          <w:szCs w:val="24"/>
          <w:highlight w:val="none"/>
        </w:rPr>
        <w:t>2.2 分值构成与评分标准</w:t>
      </w:r>
      <w:bookmarkEnd w:id="143"/>
    </w:p>
    <w:p w14:paraId="41426BE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2.2.1分值构成</w:t>
      </w:r>
    </w:p>
    <w:p w14:paraId="148DD08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（1）资信业绩部分：见评标办法前附表；</w:t>
      </w:r>
    </w:p>
    <w:p w14:paraId="33F52EB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w:t>
      </w:r>
      <w:r>
        <w:rPr>
          <w:rFonts w:hint="default" w:cs="Times New Roman"/>
          <w:color w:val="auto"/>
          <w:sz w:val="24"/>
          <w:szCs w:val="24"/>
          <w:highlight w:val="none"/>
          <w:lang w:val="en-US" w:eastAsia="zh-CN"/>
        </w:rPr>
        <w:t>监理大纲部分</w:t>
      </w:r>
      <w:r>
        <w:rPr>
          <w:rFonts w:hint="default" w:cs="Times New Roman"/>
          <w:color w:val="auto"/>
          <w:sz w:val="24"/>
          <w:szCs w:val="24"/>
          <w:highlight w:val="none"/>
        </w:rPr>
        <w:t>：见评标办法前附表；</w:t>
      </w:r>
    </w:p>
    <w:p w14:paraId="4505082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（3）投标报价：见评标办法前附表；</w:t>
      </w:r>
    </w:p>
    <w:p w14:paraId="503F4F14">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2.2.2 评标基准价计算评标基准价计算方法：见评标办法前附表。</w:t>
      </w:r>
    </w:p>
    <w:p w14:paraId="6C9F1D0F">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2.2.3 投标报价的偏差率计算</w:t>
      </w:r>
    </w:p>
    <w:p w14:paraId="797E701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投标报价的偏差率计算公式：见评标办法前附表。</w:t>
      </w:r>
    </w:p>
    <w:p w14:paraId="69F1A07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2.2.4  评分标准</w:t>
      </w:r>
    </w:p>
    <w:p w14:paraId="11C09B12">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（1）资信业绩部分评分标准：见评标办法前附表；</w:t>
      </w:r>
    </w:p>
    <w:p w14:paraId="1DDC930B">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w:t>
      </w:r>
      <w:r>
        <w:rPr>
          <w:rFonts w:hint="default" w:cs="Times New Roman"/>
          <w:color w:val="auto"/>
          <w:sz w:val="24"/>
          <w:szCs w:val="24"/>
          <w:highlight w:val="none"/>
          <w:lang w:val="en-US" w:eastAsia="zh-CN"/>
        </w:rPr>
        <w:t>监理大纲部分</w:t>
      </w:r>
      <w:r>
        <w:rPr>
          <w:rFonts w:hint="default" w:cs="Times New Roman"/>
          <w:color w:val="auto"/>
          <w:sz w:val="24"/>
          <w:szCs w:val="24"/>
          <w:highlight w:val="none"/>
        </w:rPr>
        <w:t>评分标准：见评标办法前附表；</w:t>
      </w:r>
    </w:p>
    <w:p w14:paraId="79D7B15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（3）投标报价评分标准：见评标办法前附表；</w:t>
      </w:r>
    </w:p>
    <w:p w14:paraId="58281C0C">
      <w:pPr>
        <w:pStyle w:val="6"/>
        <w:outlineLvl w:val="1"/>
        <w:rPr>
          <w:rFonts w:hint="default" w:cs="宋体"/>
          <w:color w:val="auto"/>
          <w:sz w:val="24"/>
          <w:szCs w:val="24"/>
          <w:highlight w:val="none"/>
        </w:rPr>
      </w:pPr>
      <w:bookmarkStart w:id="144" w:name="bookmark88"/>
      <w:bookmarkEnd w:id="144"/>
      <w:bookmarkStart w:id="145" w:name="_Toc19388"/>
      <w:r>
        <w:rPr>
          <w:rFonts w:hint="default" w:cs="宋体"/>
          <w:color w:val="auto"/>
          <w:sz w:val="24"/>
          <w:szCs w:val="24"/>
          <w:highlight w:val="none"/>
        </w:rPr>
        <w:t>3.评标程序</w:t>
      </w:r>
      <w:bookmarkEnd w:id="145"/>
    </w:p>
    <w:p w14:paraId="021A1452">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olor w:val="auto"/>
          <w:sz w:val="27"/>
          <w:szCs w:val="24"/>
          <w:highlight w:val="none"/>
        </w:rPr>
      </w:pPr>
      <w:bookmarkStart w:id="146" w:name="bookmark89"/>
      <w:bookmarkEnd w:id="146"/>
      <w:bookmarkStart w:id="147" w:name="_Toc13130"/>
      <w:r>
        <w:rPr>
          <w:rFonts w:hint="default" w:cs="宋体"/>
          <w:color w:val="auto"/>
          <w:sz w:val="24"/>
          <w:szCs w:val="24"/>
          <w:highlight w:val="none"/>
        </w:rPr>
        <w:t>3.1初步评审</w:t>
      </w:r>
      <w:bookmarkEnd w:id="147"/>
    </w:p>
    <w:p w14:paraId="0BBD9DD1">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3.1.1</w:t>
      </w:r>
      <w:r>
        <w:rPr>
          <w:rFonts w:hint="default" w:cs="Times New Roman"/>
          <w:color w:val="auto"/>
          <w:sz w:val="24"/>
          <w:szCs w:val="24"/>
          <w:highlight w:val="none"/>
          <w:lang w:eastAsia="zh-CN"/>
        </w:rPr>
        <w:t>评标委员会如认为有必要，可以要求投标人提交第二章“投标人须知”规定的有关证 明和证件的原件，以便核验。评标委员会依据本章第 2.1 款规定的标准对投标文件进行初步评审。有一项不符合评审标准的，评标委员会应当否决其投标，未能通过初步评审的投标人，其投标不再参与后续的评审程序。如果有否决投标提议，则评标委员会成员共同表决，按照少数服从多数的原则决定是否否决其投标。若有效投标不足3个的，应当对投标是否明显缺乏竞争和是否需要否决全部投标进行充分论证，并在评标报告中记载论证过程和结果。如评标委员会成员的评审意见不一致时，以评标委员会过半数成员的意见作为评标委员会对该情形的认定结论。持不同意见的评标委员会成员应以书面形式阐述其意见和理由并记录在案。</w:t>
      </w:r>
      <w:r>
        <w:rPr>
          <w:rFonts w:hint="default" w:cs="Times New Roman"/>
          <w:color w:val="auto"/>
          <w:sz w:val="24"/>
          <w:szCs w:val="24"/>
          <w:highlight w:val="none"/>
        </w:rPr>
        <w:t>评委发现投标文件中含义不明确、对同类问题表述不一致、有明显文字和计算错误的，应当要求投标人作必要的澄清、说明后再判定投标人是否通过评审，不得直接否决其投标。</w:t>
      </w:r>
    </w:p>
    <w:p w14:paraId="32CCE02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3.1.2 投标人有以下情形之一的，评标委员会应当否决其投标：</w:t>
      </w:r>
    </w:p>
    <w:p w14:paraId="5093BA5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（1）投标文件没有对招标文件的实质性要求和条件作出响应，或者对招标文件的偏差超出招标文件规定的偏差范围或最高项数；</w:t>
      </w:r>
    </w:p>
    <w:p w14:paraId="035B21B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（2）有串通投标、弄虚作假、行贿等违法行为</w:t>
      </w:r>
      <w:r>
        <w:rPr>
          <w:rFonts w:hint="eastAsia" w:cs="Times New Roman"/>
          <w:color w:val="auto"/>
          <w:sz w:val="24"/>
          <w:szCs w:val="24"/>
          <w:highlight w:val="none"/>
          <w:lang w:eastAsia="zh-CN"/>
        </w:rPr>
        <w:t>；</w:t>
      </w:r>
    </w:p>
    <w:p w14:paraId="1C3BDBB7">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lang w:eastAsia="zh-CN"/>
        </w:rPr>
      </w:pPr>
      <w:r>
        <w:rPr>
          <w:rFonts w:hint="default" w:cs="Times New Roman"/>
          <w:color w:val="auto"/>
          <w:sz w:val="24"/>
          <w:szCs w:val="24"/>
          <w:highlight w:val="none"/>
          <w:lang w:eastAsia="zh-CN"/>
        </w:rPr>
        <w:t>（</w:t>
      </w:r>
      <w:r>
        <w:rPr>
          <w:rFonts w:hint="default"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19F00E05">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3.1.3 投标报价有算术错误及其他错误的，评标委员会按以下原则要求投标人对投标报价进行修正，并要求投标人书面澄清确认。投标人拒不澄清确认的，评标委员会应当否决其投标：</w:t>
      </w:r>
    </w:p>
    <w:p w14:paraId="119EEBE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（1）投标文件中的大写金额与小写金额不一致的，以大写金额为准；</w:t>
      </w:r>
    </w:p>
    <w:p w14:paraId="16A12DA3">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（2）总价金额与单价金额不一致的，以单价金额为准，但单价金额小数点有明显错误的除外。</w:t>
      </w:r>
    </w:p>
    <w:p w14:paraId="67E27D06">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r>
        <w:rPr>
          <w:rFonts w:hint="default" w:cs="Times New Roman"/>
          <w:b w:val="0"/>
          <w:bCs w:val="0"/>
          <w:color w:val="auto"/>
          <w:sz w:val="24"/>
          <w:szCs w:val="24"/>
          <w:highlight w:val="none"/>
          <w:u w:val="none"/>
        </w:rPr>
        <w:t>（3）投标报价与投标下浮率不符时，以投标下浮率为准</w:t>
      </w:r>
      <w:r>
        <w:rPr>
          <w:rFonts w:hint="default" w:cs="Times New Roman"/>
          <w:b w:val="0"/>
          <w:bCs w:val="0"/>
          <w:color w:val="auto"/>
          <w:sz w:val="24"/>
          <w:szCs w:val="24"/>
          <w:highlight w:val="none"/>
          <w:u w:val="none"/>
          <w:lang w:eastAsia="zh-CN"/>
        </w:rPr>
        <w:t>修正</w:t>
      </w:r>
      <w:r>
        <w:rPr>
          <w:rFonts w:hint="eastAsia" w:cs="Times New Roman"/>
          <w:b w:val="0"/>
          <w:bCs w:val="0"/>
          <w:color w:val="auto"/>
          <w:sz w:val="24"/>
          <w:szCs w:val="24"/>
          <w:highlight w:val="none"/>
          <w:u w:val="none"/>
          <w:lang w:val="en-US" w:eastAsia="zh-CN"/>
        </w:rPr>
        <w:t>投标报价</w:t>
      </w:r>
      <w:r>
        <w:rPr>
          <w:rFonts w:hint="eastAsia" w:cs="Times New Roman"/>
          <w:b w:val="0"/>
          <w:bCs w:val="0"/>
          <w:color w:val="auto"/>
          <w:sz w:val="24"/>
          <w:szCs w:val="24"/>
          <w:highlight w:val="none"/>
          <w:u w:val="none"/>
          <w:lang w:eastAsia="zh-CN"/>
        </w:rPr>
        <w:t>。</w:t>
      </w:r>
      <w:bookmarkStart w:id="148" w:name="bookmark90"/>
      <w:bookmarkEnd w:id="148"/>
      <w:bookmarkStart w:id="149" w:name="_Toc26732"/>
    </w:p>
    <w:p w14:paraId="6178F34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rFonts w:hint="default" w:cs="Times New Roman"/>
          <w:color w:val="auto"/>
          <w:sz w:val="24"/>
          <w:szCs w:val="24"/>
          <w:highlight w:val="none"/>
        </w:rPr>
      </w:pPr>
      <w:r>
        <w:rPr>
          <w:rFonts w:hint="default" w:cs="Times New Roman"/>
          <w:color w:val="auto"/>
          <w:sz w:val="24"/>
          <w:szCs w:val="24"/>
          <w:highlight w:val="none"/>
        </w:rPr>
        <w:t>3.2  详细评审</w:t>
      </w:r>
      <w:bookmarkEnd w:id="149"/>
    </w:p>
    <w:p w14:paraId="61BE449D">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3.2.1 评标委员会按本章第 2.2 款规定的量化因素和分值进行打分，并计算出综合评估得分。</w:t>
      </w:r>
    </w:p>
    <w:p w14:paraId="3C6794A5">
      <w:pPr>
        <w:pStyle w:val="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b w:val="0"/>
          <w:bCs w:val="0"/>
          <w:color w:val="auto"/>
          <w:sz w:val="24"/>
          <w:szCs w:val="24"/>
          <w:highlight w:val="none"/>
          <w:u w:val="none"/>
        </w:rPr>
      </w:pPr>
      <w:r>
        <w:rPr>
          <w:rFonts w:hint="default" w:cs="Times New Roman"/>
          <w:b w:val="0"/>
          <w:bCs w:val="0"/>
          <w:color w:val="auto"/>
          <w:sz w:val="24"/>
          <w:szCs w:val="24"/>
          <w:highlight w:val="none"/>
          <w:u w:val="none"/>
        </w:rPr>
        <w:t>（1）按本章第2.2.4（1）目规定的评审因素和分值对资信业绩部分</w:t>
      </w:r>
      <w:r>
        <w:rPr>
          <w:rFonts w:hint="eastAsia" w:cs="Times New Roman"/>
          <w:b w:val="0"/>
          <w:bCs w:val="0"/>
          <w:color w:val="auto"/>
          <w:sz w:val="24"/>
          <w:szCs w:val="24"/>
          <w:highlight w:val="none"/>
          <w:u w:val="none"/>
          <w:lang w:val="en-US" w:eastAsia="zh-CN"/>
        </w:rPr>
        <w:t>评审</w:t>
      </w:r>
      <w:r>
        <w:rPr>
          <w:rFonts w:hint="default" w:cs="Times New Roman"/>
          <w:b w:val="0"/>
          <w:bCs w:val="0"/>
          <w:color w:val="auto"/>
          <w:sz w:val="24"/>
          <w:szCs w:val="24"/>
          <w:highlight w:val="none"/>
          <w:u w:val="none"/>
        </w:rPr>
        <w:t>计算出得分</w:t>
      </w:r>
      <w:r>
        <w:rPr>
          <w:rFonts w:hint="default" w:cs="Times New Roman"/>
          <w:b w:val="0"/>
          <w:bCs w:val="0"/>
          <w:color w:val="auto"/>
          <w:sz w:val="24"/>
          <w:szCs w:val="24"/>
          <w:highlight w:val="none"/>
          <w:u w:val="none"/>
          <w:lang w:val="en-US" w:eastAsia="zh-CN"/>
        </w:rPr>
        <w:t>A，资信业绩部分</w:t>
      </w:r>
      <w:r>
        <w:rPr>
          <w:rFonts w:hint="default"/>
          <w:b w:val="0"/>
          <w:bCs w:val="0"/>
          <w:color w:val="auto"/>
          <w:sz w:val="24"/>
          <w:szCs w:val="24"/>
          <w:highlight w:val="none"/>
          <w:u w:val="none"/>
        </w:rPr>
        <w:t>评审得分A为各评标专家打分的算术平均值</w:t>
      </w:r>
      <w:r>
        <w:rPr>
          <w:rFonts w:hint="default" w:cs="Times New Roman"/>
          <w:b w:val="0"/>
          <w:bCs w:val="0"/>
          <w:color w:val="auto"/>
          <w:sz w:val="24"/>
          <w:szCs w:val="24"/>
          <w:highlight w:val="none"/>
          <w:u w:val="none"/>
        </w:rPr>
        <w:t>；</w:t>
      </w:r>
    </w:p>
    <w:p w14:paraId="56720007">
      <w:pPr>
        <w:pStyle w:val="3"/>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rFonts w:hint="default" w:cs="Times New Roman"/>
          <w:color w:val="auto"/>
          <w:sz w:val="24"/>
          <w:szCs w:val="24"/>
          <w:highlight w:val="none"/>
          <w:u w:val="none"/>
        </w:rPr>
      </w:pPr>
      <w:r>
        <w:rPr>
          <w:rFonts w:hint="default" w:cs="Times New Roman"/>
          <w:color w:val="auto"/>
          <w:sz w:val="24"/>
          <w:szCs w:val="24"/>
          <w:highlight w:val="none"/>
          <w:u w:val="none"/>
        </w:rPr>
        <w:t>（2）按本章第2.2.4（2）目规定的评审因素和分值对</w:t>
      </w:r>
      <w:r>
        <w:rPr>
          <w:rFonts w:hint="default" w:cs="Times New Roman"/>
          <w:color w:val="auto"/>
          <w:sz w:val="24"/>
          <w:szCs w:val="24"/>
          <w:highlight w:val="none"/>
          <w:u w:val="none"/>
          <w:lang w:val="en-US" w:eastAsia="zh-CN"/>
        </w:rPr>
        <w:t>监理大纲部分</w:t>
      </w:r>
      <w:r>
        <w:rPr>
          <w:rFonts w:hint="default" w:cs="Times New Roman"/>
          <w:color w:val="auto"/>
          <w:sz w:val="24"/>
          <w:szCs w:val="24"/>
          <w:highlight w:val="none"/>
          <w:u w:val="none"/>
        </w:rPr>
        <w:t>计算出得分B</w:t>
      </w:r>
      <w:r>
        <w:rPr>
          <w:rFonts w:hint="default" w:cs="Times New Roman"/>
          <w:color w:val="auto"/>
          <w:sz w:val="24"/>
          <w:szCs w:val="24"/>
          <w:highlight w:val="none"/>
          <w:u w:val="none"/>
          <w:lang w:val="en-US" w:eastAsia="zh-CN"/>
        </w:rPr>
        <w:t>，监理大纲部分</w:t>
      </w:r>
      <w:r>
        <w:rPr>
          <w:rFonts w:hint="default"/>
          <w:color w:val="auto"/>
          <w:sz w:val="24"/>
          <w:szCs w:val="24"/>
          <w:highlight w:val="none"/>
          <w:u w:val="none"/>
        </w:rPr>
        <w:t>评审得分</w:t>
      </w:r>
      <w:r>
        <w:rPr>
          <w:rFonts w:hint="default" w:cs="Times New Roman"/>
          <w:color w:val="auto"/>
          <w:sz w:val="24"/>
          <w:szCs w:val="24"/>
          <w:highlight w:val="none"/>
          <w:u w:val="none"/>
        </w:rPr>
        <w:t>B</w:t>
      </w:r>
      <w:r>
        <w:rPr>
          <w:rFonts w:hint="default"/>
          <w:color w:val="auto"/>
          <w:sz w:val="24"/>
          <w:szCs w:val="24"/>
          <w:highlight w:val="none"/>
          <w:u w:val="none"/>
        </w:rPr>
        <w:t>为各评标专家打分的算术平均值</w:t>
      </w:r>
      <w:r>
        <w:rPr>
          <w:rFonts w:hint="default" w:cs="Times New Roman"/>
          <w:color w:val="auto"/>
          <w:sz w:val="24"/>
          <w:szCs w:val="24"/>
          <w:highlight w:val="none"/>
          <w:u w:val="none"/>
        </w:rPr>
        <w:t>；</w:t>
      </w:r>
    </w:p>
    <w:p w14:paraId="31CE3D10">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u w:val="none"/>
        </w:rPr>
      </w:pPr>
      <w:r>
        <w:rPr>
          <w:rFonts w:hint="default" w:cs="Times New Roman"/>
          <w:color w:val="auto"/>
          <w:sz w:val="24"/>
          <w:szCs w:val="24"/>
          <w:highlight w:val="none"/>
          <w:u w:val="none"/>
        </w:rPr>
        <w:t>（3）按本章第2.2.4（3）目规定的评审因素和分值对投标报价计算出得分C；</w:t>
      </w:r>
    </w:p>
    <w:p w14:paraId="54E5029A">
      <w:pPr>
        <w:pStyle w:val="3"/>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rFonts w:hint="default" w:cs="Times New Roman"/>
          <w:color w:val="auto"/>
          <w:sz w:val="24"/>
          <w:szCs w:val="24"/>
          <w:highlight w:val="none"/>
        </w:rPr>
      </w:pPr>
      <w:r>
        <w:rPr>
          <w:rFonts w:hint="default" w:cs="Times New Roman"/>
          <w:color w:val="auto"/>
          <w:sz w:val="24"/>
          <w:szCs w:val="24"/>
          <w:highlight w:val="none"/>
        </w:rPr>
        <w:t>3.2.2 评分分值计算保留小数点后两位，小数点后第三位“四舍五入”。</w:t>
      </w:r>
    </w:p>
    <w:p w14:paraId="447C5DDA">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b w:val="0"/>
          <w:bCs w:val="0"/>
          <w:color w:val="auto"/>
          <w:sz w:val="24"/>
          <w:szCs w:val="24"/>
          <w:highlight w:val="none"/>
        </w:rPr>
      </w:pPr>
      <w:r>
        <w:rPr>
          <w:rFonts w:hint="default" w:cs="Times New Roman"/>
          <w:b w:val="0"/>
          <w:bCs w:val="0"/>
          <w:color w:val="auto"/>
          <w:sz w:val="24"/>
          <w:szCs w:val="24"/>
          <w:highlight w:val="none"/>
        </w:rPr>
        <w:t>3.2.3 投标人得分=</w:t>
      </w:r>
      <w:r>
        <w:rPr>
          <w:rFonts w:hint="default" w:cs="Times New Roman"/>
          <w:b w:val="0"/>
          <w:bCs w:val="0"/>
          <w:color w:val="auto"/>
          <w:sz w:val="24"/>
          <w:szCs w:val="24"/>
          <w:highlight w:val="none"/>
          <w:u w:val="none"/>
        </w:rPr>
        <w:t>A+B+C</w:t>
      </w:r>
      <w:r>
        <w:rPr>
          <w:rFonts w:hint="default" w:cs="Times New Roman"/>
          <w:b w:val="0"/>
          <w:bCs w:val="0"/>
          <w:color w:val="auto"/>
          <w:sz w:val="24"/>
          <w:szCs w:val="24"/>
          <w:highlight w:val="none"/>
        </w:rPr>
        <w:t>。</w:t>
      </w:r>
    </w:p>
    <w:p w14:paraId="661E3C39">
      <w:pPr>
        <w:pStyle w:val="3"/>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s="Times New Roman"/>
          <w:color w:val="auto"/>
          <w:sz w:val="24"/>
          <w:szCs w:val="24"/>
          <w:highlight w:val="none"/>
        </w:rPr>
      </w:pPr>
      <w:r>
        <w:rPr>
          <w:rFonts w:hint="default" w:cs="Times New Roman"/>
          <w:color w:val="auto"/>
          <w:sz w:val="24"/>
          <w:szCs w:val="24"/>
          <w:highlight w:val="none"/>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4933E5F">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50" w:name="bookmark91"/>
      <w:bookmarkEnd w:id="150"/>
      <w:bookmarkStart w:id="151" w:name="_Toc21720"/>
      <w:r>
        <w:rPr>
          <w:rFonts w:hint="default" w:cs="宋体"/>
          <w:color w:val="auto"/>
          <w:sz w:val="24"/>
          <w:szCs w:val="24"/>
          <w:highlight w:val="none"/>
        </w:rPr>
        <w:t>3.3  投标文件的澄清</w:t>
      </w:r>
      <w:bookmarkEnd w:id="151"/>
    </w:p>
    <w:p w14:paraId="2A5642DD">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3.3.1 在评标过程中，</w:t>
      </w:r>
      <w:r>
        <w:rPr>
          <w:rFonts w:hint="eastAsia" w:ascii="宋体" w:hAnsi="宋体"/>
          <w:color w:val="auto"/>
          <w:sz w:val="24"/>
          <w:highlight w:val="none"/>
        </w:rPr>
        <w:t>经评标委员会中两人以上（含两人）以书面形式提出动议，评标委员会</w:t>
      </w:r>
      <w:r>
        <w:rPr>
          <w:rFonts w:hint="default" w:cs="宋体"/>
          <w:color w:val="auto"/>
          <w:sz w:val="24"/>
          <w:szCs w:val="24"/>
          <w:highlight w:val="none"/>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50A13683">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3.3.2 澄清、说明或补正不得超出投标文件的范围且不得改变投标文件的实质性内容，并构成投标文件的组成部分。</w:t>
      </w:r>
    </w:p>
    <w:p w14:paraId="58DB0479">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3.3.3 评标委员会对投标人提交的澄清、说明或补正有疑问的，可以要求投标人进一步澄清、 说明或补正，直至满足评标委员会的要求。</w:t>
      </w:r>
    </w:p>
    <w:p w14:paraId="064F143D">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hint="default" w:cs="宋体"/>
          <w:color w:val="auto"/>
          <w:sz w:val="24"/>
          <w:szCs w:val="24"/>
          <w:highlight w:val="none"/>
        </w:rPr>
      </w:pPr>
      <w:bookmarkStart w:id="152" w:name="bookmark92"/>
      <w:bookmarkEnd w:id="152"/>
      <w:bookmarkStart w:id="153" w:name="_Toc16013"/>
      <w:r>
        <w:rPr>
          <w:rFonts w:hint="default" w:cs="宋体"/>
          <w:color w:val="auto"/>
          <w:sz w:val="24"/>
          <w:szCs w:val="24"/>
          <w:highlight w:val="none"/>
        </w:rPr>
        <w:t>3.4  评标结果</w:t>
      </w:r>
      <w:bookmarkEnd w:id="153"/>
    </w:p>
    <w:p w14:paraId="31D0B902">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3.4.1 除第二章“投标人须知”前附表授权直接确定中标人外，评标委员会按照得分由高到低的顺序推荐中标候选人，并标明排序。</w:t>
      </w:r>
    </w:p>
    <w:p w14:paraId="3DBA2CF7">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pPr>
      <w:r>
        <w:rPr>
          <w:rFonts w:hint="default" w:cs="宋体"/>
          <w:color w:val="auto"/>
          <w:sz w:val="24"/>
          <w:szCs w:val="24"/>
          <w:highlight w:val="none"/>
        </w:rPr>
        <w:t>3.4.2 评标委员会完成评标后，应当向招标人提交书面评标报告和中标候选人名单。</w:t>
      </w:r>
    </w:p>
    <w:p w14:paraId="32E68765">
      <w:pPr>
        <w:pStyle w:val="3"/>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hint="default" w:cs="宋体"/>
          <w:color w:val="auto"/>
          <w:sz w:val="24"/>
          <w:szCs w:val="24"/>
          <w:highlight w:val="none"/>
        </w:rPr>
        <w:sectPr>
          <w:headerReference r:id="rId7" w:type="default"/>
          <w:pgSz w:w="11905" w:h="16838"/>
          <w:pgMar w:top="1417" w:right="1417" w:bottom="1417" w:left="1417" w:header="992" w:footer="992" w:gutter="0"/>
          <w:lnNumType w:countBy="0" w:distance="360"/>
          <w:pgNumType w:fmt="decimal"/>
          <w:cols w:space="720" w:num="1"/>
        </w:sectPr>
      </w:pPr>
    </w:p>
    <w:p w14:paraId="37FAA8BC">
      <w:pPr>
        <w:pStyle w:val="5"/>
        <w:outlineLvl w:val="0"/>
        <w:rPr>
          <w:rFonts w:hint="default" w:cs="宋体"/>
          <w:color w:val="auto"/>
          <w:sz w:val="44"/>
          <w:szCs w:val="24"/>
          <w:highlight w:val="none"/>
        </w:rPr>
      </w:pPr>
      <w:bookmarkStart w:id="154" w:name="bookmark93"/>
      <w:bookmarkEnd w:id="154"/>
      <w:bookmarkStart w:id="155" w:name="_Toc15665"/>
      <w:r>
        <w:rPr>
          <w:rFonts w:hint="default" w:cs="宋体"/>
          <w:color w:val="auto"/>
          <w:sz w:val="44"/>
          <w:szCs w:val="24"/>
          <w:highlight w:val="none"/>
        </w:rPr>
        <w:t>第四章</w:t>
      </w:r>
      <w:r>
        <w:rPr>
          <w:rFonts w:hint="default" w:cs="宋体"/>
          <w:color w:val="auto"/>
          <w:sz w:val="44"/>
          <w:szCs w:val="24"/>
          <w:highlight w:val="none"/>
          <w:lang w:val="en-US" w:eastAsia="zh-CN"/>
        </w:rPr>
        <w:t xml:space="preserve"> </w:t>
      </w:r>
      <w:r>
        <w:rPr>
          <w:rFonts w:hint="default" w:cs="宋体"/>
          <w:color w:val="auto"/>
          <w:sz w:val="44"/>
          <w:szCs w:val="24"/>
          <w:highlight w:val="none"/>
        </w:rPr>
        <w:t>合同条款及格式</w:t>
      </w:r>
      <w:bookmarkEnd w:id="155"/>
    </w:p>
    <w:p w14:paraId="7945F123">
      <w:pPr>
        <w:pStyle w:val="3"/>
        <w:kinsoku w:val="0"/>
        <w:overflowPunct w:val="0"/>
        <w:ind w:left="0"/>
        <w:rPr>
          <w:rFonts w:hint="eastAsia" w:ascii="Microsoft JhengHei" w:hAnsi="Microsoft JhengHei" w:eastAsia="Microsoft JhengHei"/>
          <w:b/>
          <w:color w:val="auto"/>
          <w:sz w:val="20"/>
          <w:szCs w:val="24"/>
          <w:highlight w:val="none"/>
        </w:rPr>
      </w:pPr>
    </w:p>
    <w:p w14:paraId="0801747B">
      <w:pPr>
        <w:pStyle w:val="28"/>
        <w:jc w:val="center"/>
        <w:rPr>
          <w:rFonts w:hint="eastAsia"/>
          <w:highlight w:val="none"/>
        </w:rPr>
      </w:pPr>
      <w:r>
        <w:rPr>
          <w:rFonts w:hint="eastAsia" w:ascii="宋体" w:hAnsi="宋体"/>
          <w:b/>
          <w:color w:val="000000"/>
          <w:sz w:val="32"/>
          <w:szCs w:val="32"/>
          <w:highlight w:val="none"/>
        </w:rPr>
        <w:t>（另册）</w:t>
      </w:r>
    </w:p>
    <w:p w14:paraId="7B141C43">
      <w:pPr>
        <w:pStyle w:val="3"/>
        <w:kinsoku w:val="0"/>
        <w:overflowPunct w:val="0"/>
        <w:ind w:left="0"/>
        <w:rPr>
          <w:rFonts w:hint="eastAsia" w:ascii="Microsoft JhengHei" w:hAnsi="Microsoft JhengHei" w:eastAsia="Microsoft JhengHei"/>
          <w:b/>
          <w:color w:val="auto"/>
          <w:sz w:val="20"/>
          <w:szCs w:val="24"/>
          <w:highlight w:val="none"/>
        </w:rPr>
      </w:pPr>
    </w:p>
    <w:p w14:paraId="4BB04FA0">
      <w:pPr>
        <w:pStyle w:val="3"/>
        <w:kinsoku w:val="0"/>
        <w:overflowPunct w:val="0"/>
        <w:spacing w:before="2"/>
        <w:ind w:left="0"/>
        <w:rPr>
          <w:rFonts w:hint="eastAsia" w:ascii="Microsoft JhengHei" w:hAnsi="Microsoft JhengHei" w:eastAsia="Microsoft JhengHei"/>
          <w:b/>
          <w:color w:val="auto"/>
          <w:sz w:val="29"/>
          <w:szCs w:val="24"/>
          <w:highlight w:val="none"/>
        </w:rPr>
      </w:pPr>
    </w:p>
    <w:p w14:paraId="4F3B6655">
      <w:pPr>
        <w:pStyle w:val="3"/>
        <w:kinsoku w:val="0"/>
        <w:overflowPunct w:val="0"/>
        <w:ind w:left="0"/>
        <w:rPr>
          <w:rFonts w:hint="default"/>
          <w:color w:val="auto"/>
          <w:sz w:val="20"/>
          <w:szCs w:val="24"/>
          <w:highlight w:val="none"/>
        </w:rPr>
        <w:sectPr>
          <w:headerReference r:id="rId8" w:type="default"/>
          <w:footerReference r:id="rId9" w:type="default"/>
          <w:pgSz w:w="11905" w:h="16838"/>
          <w:pgMar w:top="1417" w:right="1417" w:bottom="1417" w:left="1417" w:header="992" w:footer="992" w:gutter="0"/>
          <w:lnNumType w:countBy="0" w:distance="360"/>
          <w:pgNumType w:fmt="decimal"/>
          <w:cols w:space="720" w:num="1"/>
        </w:sectPr>
      </w:pPr>
    </w:p>
    <w:p w14:paraId="21743F19">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156" w:name="bookmark161"/>
      <w:bookmarkEnd w:id="156"/>
      <w:bookmarkStart w:id="157" w:name="_Toc29682"/>
      <w:r>
        <w:rPr>
          <w:rFonts w:hint="eastAsia"/>
          <w:color w:val="auto"/>
          <w:sz w:val="52"/>
          <w:szCs w:val="52"/>
          <w:highlight w:val="none"/>
        </w:rPr>
        <w:t>第二卷</w:t>
      </w:r>
      <w:bookmarkEnd w:id="157"/>
    </w:p>
    <w:p w14:paraId="704E6E35">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33DE471F">
      <w:pPr>
        <w:pStyle w:val="5"/>
        <w:spacing w:line="360" w:lineRule="auto"/>
        <w:outlineLvl w:val="0"/>
        <w:rPr>
          <w:rFonts w:hint="default"/>
          <w:color w:val="auto"/>
          <w:sz w:val="44"/>
          <w:szCs w:val="24"/>
          <w:highlight w:val="none"/>
        </w:rPr>
      </w:pPr>
      <w:bookmarkStart w:id="158" w:name="bookmark162"/>
      <w:bookmarkEnd w:id="158"/>
      <w:bookmarkStart w:id="159" w:name="_Toc17878"/>
      <w:r>
        <w:rPr>
          <w:rFonts w:hint="default"/>
          <w:color w:val="auto"/>
          <w:sz w:val="44"/>
          <w:szCs w:val="24"/>
          <w:highlight w:val="none"/>
        </w:rPr>
        <w:t>第五章</w:t>
      </w:r>
      <w:r>
        <w:rPr>
          <w:rFonts w:hint="default"/>
          <w:color w:val="auto"/>
          <w:sz w:val="44"/>
          <w:szCs w:val="24"/>
          <w:highlight w:val="none"/>
          <w:lang w:val="en-US" w:eastAsia="zh-CN"/>
        </w:rPr>
        <w:t xml:space="preserve"> </w:t>
      </w:r>
      <w:r>
        <w:rPr>
          <w:rFonts w:hint="default"/>
          <w:color w:val="auto"/>
          <w:sz w:val="44"/>
          <w:szCs w:val="24"/>
          <w:highlight w:val="none"/>
        </w:rPr>
        <w:t>委托人要求</w:t>
      </w:r>
      <w:bookmarkEnd w:id="159"/>
    </w:p>
    <w:p w14:paraId="63224A75">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880" w:firstLineChars="200"/>
        <w:jc w:val="both"/>
        <w:rPr>
          <w:rFonts w:hint="eastAsia"/>
          <w:color w:val="000000"/>
          <w:sz w:val="44"/>
          <w:szCs w:val="44"/>
          <w:highlight w:val="none"/>
        </w:rPr>
      </w:pPr>
    </w:p>
    <w:p w14:paraId="279DC00E">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880" w:firstLineChars="200"/>
        <w:jc w:val="center"/>
        <w:rPr>
          <w:rFonts w:hint="default" w:cs="宋体"/>
          <w:color w:val="auto"/>
          <w:sz w:val="24"/>
          <w:szCs w:val="24"/>
          <w:highlight w:val="none"/>
        </w:rPr>
        <w:sectPr>
          <w:pgSz w:w="11905" w:h="16838"/>
          <w:pgMar w:top="1417" w:right="1417" w:bottom="1417" w:left="1417" w:header="992" w:footer="992" w:gutter="0"/>
          <w:lnNumType w:countBy="0" w:distance="360"/>
          <w:pgNumType w:fmt="decimal"/>
          <w:cols w:space="720" w:num="1"/>
        </w:sectPr>
      </w:pPr>
      <w:r>
        <w:rPr>
          <w:rFonts w:hint="eastAsia"/>
          <w:color w:val="000000"/>
          <w:sz w:val="44"/>
          <w:szCs w:val="44"/>
          <w:highlight w:val="none"/>
        </w:rPr>
        <w:t>（另册）</w:t>
      </w:r>
    </w:p>
    <w:p w14:paraId="0A969771">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pPr>
      <w:bookmarkStart w:id="160" w:name="bookmark173"/>
      <w:bookmarkEnd w:id="160"/>
      <w:bookmarkStart w:id="161" w:name="_Toc9855"/>
      <w:r>
        <w:rPr>
          <w:rFonts w:hint="eastAsia"/>
          <w:color w:val="auto"/>
          <w:sz w:val="52"/>
          <w:szCs w:val="52"/>
          <w:highlight w:val="none"/>
        </w:rPr>
        <w:t>第三卷</w:t>
      </w:r>
      <w:bookmarkEnd w:id="161"/>
    </w:p>
    <w:p w14:paraId="5B037E71">
      <w:pPr>
        <w:pStyle w:val="4"/>
        <w:keepNext w:val="0"/>
        <w:keepLines w:val="0"/>
        <w:pageBreakBefore w:val="0"/>
        <w:widowControl w:val="0"/>
        <w:wordWrap/>
        <w:topLinePunct w:val="0"/>
        <w:autoSpaceDE w:val="0"/>
        <w:autoSpaceDN w:val="0"/>
        <w:bidi w:val="0"/>
        <w:adjustRightInd w:val="0"/>
        <w:snapToGrid/>
        <w:spacing w:before="0" w:beforeLines="2200"/>
        <w:ind w:left="6"/>
        <w:textAlignment w:val="auto"/>
        <w:rPr>
          <w:rFonts w:hint="eastAsia"/>
          <w:color w:val="auto"/>
          <w:sz w:val="52"/>
          <w:szCs w:val="52"/>
          <w:highlight w:val="none"/>
        </w:rPr>
        <w:sectPr>
          <w:pgSz w:w="11905" w:h="16838"/>
          <w:pgMar w:top="1417" w:right="1417" w:bottom="1417" w:left="1417" w:header="992" w:footer="992" w:gutter="0"/>
          <w:lnNumType w:countBy="0" w:distance="360"/>
          <w:pgNumType w:fmt="decimal"/>
          <w:cols w:space="720" w:num="1"/>
        </w:sectPr>
      </w:pPr>
    </w:p>
    <w:p w14:paraId="424446DC">
      <w:pPr>
        <w:pStyle w:val="5"/>
        <w:outlineLvl w:val="0"/>
        <w:rPr>
          <w:rFonts w:hint="default"/>
          <w:color w:val="auto"/>
          <w:sz w:val="44"/>
          <w:szCs w:val="24"/>
          <w:highlight w:val="none"/>
        </w:rPr>
      </w:pPr>
      <w:bookmarkStart w:id="162" w:name="bookmark174"/>
      <w:bookmarkEnd w:id="162"/>
      <w:bookmarkStart w:id="163" w:name="_Toc1895"/>
      <w:r>
        <w:rPr>
          <w:rFonts w:hint="default"/>
          <w:color w:val="auto"/>
          <w:sz w:val="44"/>
          <w:szCs w:val="24"/>
          <w:highlight w:val="none"/>
        </w:rPr>
        <w:t>第六章</w:t>
      </w:r>
      <w:r>
        <w:rPr>
          <w:rFonts w:hint="default"/>
          <w:color w:val="auto"/>
          <w:sz w:val="44"/>
          <w:szCs w:val="24"/>
          <w:highlight w:val="none"/>
          <w:lang w:val="en-US" w:eastAsia="zh-CN"/>
        </w:rPr>
        <w:t xml:space="preserve"> </w:t>
      </w:r>
      <w:r>
        <w:rPr>
          <w:rFonts w:hint="default"/>
          <w:color w:val="auto"/>
          <w:sz w:val="44"/>
          <w:szCs w:val="24"/>
          <w:highlight w:val="none"/>
        </w:rPr>
        <w:t>投标文件格式</w:t>
      </w:r>
      <w:bookmarkEnd w:id="163"/>
    </w:p>
    <w:p w14:paraId="5D9B405C">
      <w:pPr>
        <w:pStyle w:val="5"/>
        <w:outlineLvl w:val="9"/>
        <w:rPr>
          <w:rFonts w:hint="default"/>
          <w:color w:val="auto"/>
          <w:sz w:val="30"/>
          <w:szCs w:val="24"/>
          <w:highlight w:val="none"/>
        </w:rPr>
        <w:sectPr>
          <w:pgSz w:w="11905" w:h="16838"/>
          <w:pgMar w:top="1417" w:right="1417" w:bottom="1417" w:left="1417" w:header="992" w:footer="992" w:gutter="0"/>
          <w:lnNumType w:countBy="0" w:distance="360"/>
          <w:pgNumType w:fmt="decimal"/>
          <w:cols w:space="720" w:num="1"/>
        </w:sectPr>
      </w:pPr>
    </w:p>
    <w:p w14:paraId="56E0DD6F">
      <w:pPr>
        <w:pStyle w:val="3"/>
        <w:kinsoku w:val="0"/>
        <w:overflowPunct w:val="0"/>
        <w:ind w:left="0"/>
        <w:rPr>
          <w:rFonts w:hint="eastAsia" w:ascii="Microsoft JhengHei" w:hAnsi="Microsoft JhengHei" w:eastAsia="Microsoft JhengHei"/>
          <w:b/>
          <w:color w:val="auto"/>
          <w:sz w:val="20"/>
          <w:szCs w:val="24"/>
          <w:highlight w:val="none"/>
        </w:rPr>
      </w:pPr>
    </w:p>
    <w:p w14:paraId="416618EF">
      <w:pPr>
        <w:pStyle w:val="3"/>
        <w:kinsoku w:val="0"/>
        <w:overflowPunct w:val="0"/>
        <w:ind w:left="0"/>
        <w:rPr>
          <w:rFonts w:hint="eastAsia" w:ascii="Microsoft JhengHei" w:hAnsi="Microsoft JhengHei" w:eastAsia="Microsoft JhengHei"/>
          <w:b/>
          <w:color w:val="auto"/>
          <w:sz w:val="20"/>
          <w:szCs w:val="24"/>
          <w:highlight w:val="none"/>
        </w:rPr>
      </w:pPr>
    </w:p>
    <w:p w14:paraId="69BF5CC8">
      <w:pPr>
        <w:pStyle w:val="3"/>
        <w:kinsoku w:val="0"/>
        <w:overflowPunct w:val="0"/>
        <w:spacing w:before="1"/>
        <w:ind w:left="0"/>
        <w:rPr>
          <w:rFonts w:hint="eastAsia" w:ascii="Microsoft JhengHei" w:hAnsi="Microsoft JhengHei" w:eastAsia="Microsoft JhengHei"/>
          <w:b/>
          <w:color w:val="auto"/>
          <w:sz w:val="22"/>
          <w:szCs w:val="24"/>
          <w:highlight w:val="none"/>
        </w:rPr>
      </w:pPr>
    </w:p>
    <w:p w14:paraId="63FEDEE3">
      <w:pPr>
        <w:jc w:val="center"/>
        <w:rPr>
          <w:rFonts w:hint="default" w:ascii="宋体" w:hAnsi="Times New Roman" w:eastAsia="宋体"/>
          <w:color w:val="auto"/>
          <w:sz w:val="36"/>
          <w:szCs w:val="24"/>
          <w:highlight w:val="none"/>
          <w:lang w:eastAsia="zh-CN"/>
        </w:rPr>
      </w:pPr>
      <w:r>
        <w:rPr>
          <w:rFonts w:hint="default"/>
          <w:color w:val="auto"/>
          <w:sz w:val="36"/>
          <w:szCs w:val="24"/>
          <w:highlight w:val="none"/>
          <w:u w:val="single"/>
          <w:lang w:val="en-US" w:eastAsia="zh-CN"/>
        </w:rPr>
        <w:t xml:space="preserve">                 </w:t>
      </w:r>
      <w:r>
        <w:rPr>
          <w:rFonts w:hint="default" w:ascii="宋体" w:hAnsi="Times New Roman" w:eastAsia="宋体"/>
          <w:color w:val="auto"/>
          <w:sz w:val="36"/>
          <w:szCs w:val="24"/>
          <w:highlight w:val="none"/>
          <w:u w:val="single"/>
        </w:rPr>
        <w:t>（项目名称）</w:t>
      </w:r>
      <w:r>
        <w:rPr>
          <w:rFonts w:hint="default" w:ascii="宋体" w:hAnsi="Times New Roman" w:eastAsia="宋体"/>
          <w:color w:val="auto"/>
          <w:sz w:val="36"/>
          <w:szCs w:val="24"/>
          <w:highlight w:val="none"/>
          <w:lang w:val="en-US" w:eastAsia="zh-CN"/>
        </w:rPr>
        <w:t xml:space="preserve"> </w:t>
      </w:r>
    </w:p>
    <w:p w14:paraId="2C96E573">
      <w:pPr>
        <w:pStyle w:val="3"/>
        <w:kinsoku w:val="0"/>
        <w:overflowPunct w:val="0"/>
        <w:ind w:left="0"/>
        <w:rPr>
          <w:rFonts w:hint="default"/>
          <w:color w:val="auto"/>
          <w:sz w:val="20"/>
          <w:szCs w:val="24"/>
          <w:highlight w:val="none"/>
        </w:rPr>
      </w:pPr>
    </w:p>
    <w:p w14:paraId="1E48C121">
      <w:pPr>
        <w:pStyle w:val="3"/>
        <w:kinsoku w:val="0"/>
        <w:overflowPunct w:val="0"/>
        <w:spacing w:before="9"/>
        <w:ind w:left="0"/>
        <w:rPr>
          <w:rFonts w:hint="default"/>
          <w:color w:val="auto"/>
          <w:sz w:val="15"/>
          <w:szCs w:val="24"/>
          <w:highlight w:val="none"/>
        </w:rPr>
      </w:pPr>
    </w:p>
    <w:p w14:paraId="532A25A4">
      <w:pPr>
        <w:pStyle w:val="3"/>
        <w:kinsoku w:val="0"/>
        <w:overflowPunct w:val="0"/>
        <w:spacing w:line="539" w:lineRule="exact"/>
        <w:ind w:left="3" w:right="1"/>
        <w:jc w:val="center"/>
        <w:rPr>
          <w:rFonts w:hint="default"/>
          <w:color w:val="auto"/>
          <w:sz w:val="44"/>
          <w:szCs w:val="24"/>
          <w:highlight w:val="none"/>
        </w:rPr>
      </w:pPr>
    </w:p>
    <w:p w14:paraId="038AE2A3">
      <w:pPr>
        <w:pStyle w:val="3"/>
        <w:kinsoku w:val="0"/>
        <w:overflowPunct w:val="0"/>
        <w:spacing w:line="539" w:lineRule="exact"/>
        <w:ind w:left="3" w:right="1"/>
        <w:jc w:val="center"/>
        <w:rPr>
          <w:rFonts w:hint="default"/>
          <w:color w:val="auto"/>
          <w:sz w:val="44"/>
          <w:szCs w:val="24"/>
          <w:highlight w:val="none"/>
        </w:rPr>
      </w:pPr>
    </w:p>
    <w:p w14:paraId="6F24EBCB">
      <w:pPr>
        <w:pStyle w:val="3"/>
        <w:kinsoku w:val="0"/>
        <w:overflowPunct w:val="0"/>
        <w:ind w:left="0"/>
        <w:jc w:val="center"/>
        <w:rPr>
          <w:rFonts w:hint="default"/>
          <w:color w:val="auto"/>
          <w:sz w:val="44"/>
          <w:szCs w:val="24"/>
          <w:highlight w:val="none"/>
        </w:rPr>
      </w:pPr>
      <w:r>
        <w:rPr>
          <w:rFonts w:hint="default" w:cs="宋体"/>
          <w:color w:val="auto"/>
          <w:sz w:val="84"/>
          <w:szCs w:val="84"/>
          <w:highlight w:val="none"/>
        </w:rPr>
        <w:t>投标文件</w:t>
      </w:r>
    </w:p>
    <w:p w14:paraId="73C2D1B9">
      <w:pPr>
        <w:pStyle w:val="3"/>
        <w:kinsoku w:val="0"/>
        <w:overflowPunct w:val="0"/>
        <w:ind w:left="0"/>
        <w:rPr>
          <w:rFonts w:hint="default"/>
          <w:color w:val="auto"/>
          <w:sz w:val="44"/>
          <w:szCs w:val="24"/>
          <w:highlight w:val="none"/>
        </w:rPr>
      </w:pPr>
    </w:p>
    <w:p w14:paraId="7E603802">
      <w:pPr>
        <w:pStyle w:val="3"/>
        <w:kinsoku w:val="0"/>
        <w:overflowPunct w:val="0"/>
        <w:ind w:left="0"/>
        <w:rPr>
          <w:rFonts w:hint="default"/>
          <w:color w:val="auto"/>
          <w:sz w:val="44"/>
          <w:szCs w:val="24"/>
          <w:highlight w:val="none"/>
        </w:rPr>
      </w:pPr>
    </w:p>
    <w:p w14:paraId="7F1B3836">
      <w:pPr>
        <w:pStyle w:val="3"/>
        <w:kinsoku w:val="0"/>
        <w:overflowPunct w:val="0"/>
        <w:ind w:left="0"/>
        <w:rPr>
          <w:rFonts w:hint="default"/>
          <w:color w:val="auto"/>
          <w:sz w:val="44"/>
          <w:szCs w:val="24"/>
          <w:highlight w:val="none"/>
        </w:rPr>
      </w:pPr>
    </w:p>
    <w:p w14:paraId="3E77C448">
      <w:pPr>
        <w:pStyle w:val="3"/>
        <w:kinsoku w:val="0"/>
        <w:overflowPunct w:val="0"/>
        <w:ind w:left="0"/>
        <w:rPr>
          <w:rFonts w:hint="default"/>
          <w:color w:val="auto"/>
          <w:sz w:val="44"/>
          <w:szCs w:val="24"/>
          <w:highlight w:val="none"/>
        </w:rPr>
      </w:pPr>
    </w:p>
    <w:p w14:paraId="512B9757">
      <w:pPr>
        <w:pStyle w:val="3"/>
        <w:kinsoku w:val="0"/>
        <w:overflowPunct w:val="0"/>
        <w:ind w:left="0"/>
        <w:rPr>
          <w:rFonts w:hint="default"/>
          <w:color w:val="auto"/>
          <w:sz w:val="44"/>
          <w:szCs w:val="24"/>
          <w:highlight w:val="none"/>
        </w:rPr>
      </w:pPr>
    </w:p>
    <w:p w14:paraId="60D3B855">
      <w:pPr>
        <w:pStyle w:val="3"/>
        <w:kinsoku w:val="0"/>
        <w:overflowPunct w:val="0"/>
        <w:ind w:left="0"/>
        <w:rPr>
          <w:rFonts w:hint="default"/>
          <w:color w:val="auto"/>
          <w:sz w:val="44"/>
          <w:szCs w:val="24"/>
          <w:highlight w:val="none"/>
        </w:rPr>
      </w:pPr>
    </w:p>
    <w:p w14:paraId="6DDF7EEB">
      <w:pPr>
        <w:pStyle w:val="3"/>
        <w:kinsoku w:val="0"/>
        <w:overflowPunct w:val="0"/>
        <w:ind w:left="0"/>
        <w:rPr>
          <w:rFonts w:hint="default"/>
          <w:color w:val="auto"/>
          <w:sz w:val="44"/>
          <w:szCs w:val="24"/>
          <w:highlight w:val="none"/>
        </w:rPr>
      </w:pPr>
    </w:p>
    <w:p w14:paraId="15D64987">
      <w:pPr>
        <w:pStyle w:val="3"/>
        <w:kinsoku w:val="0"/>
        <w:overflowPunct w:val="0"/>
        <w:ind w:left="0"/>
        <w:rPr>
          <w:rFonts w:hint="default"/>
          <w:color w:val="auto"/>
          <w:sz w:val="44"/>
          <w:szCs w:val="24"/>
          <w:highlight w:val="none"/>
        </w:rPr>
      </w:pPr>
    </w:p>
    <w:p w14:paraId="61DE3695">
      <w:pPr>
        <w:pStyle w:val="3"/>
        <w:kinsoku w:val="0"/>
        <w:overflowPunct w:val="0"/>
        <w:ind w:left="0"/>
        <w:rPr>
          <w:rFonts w:hint="default"/>
          <w:color w:val="auto"/>
          <w:sz w:val="44"/>
          <w:szCs w:val="24"/>
          <w:highlight w:val="none"/>
        </w:rPr>
      </w:pPr>
    </w:p>
    <w:p w14:paraId="32231C25">
      <w:pPr>
        <w:pStyle w:val="3"/>
        <w:kinsoku w:val="0"/>
        <w:overflowPunct w:val="0"/>
        <w:spacing w:before="3"/>
        <w:ind w:left="0"/>
        <w:rPr>
          <w:rFonts w:hint="default"/>
          <w:color w:val="auto"/>
          <w:sz w:val="41"/>
          <w:szCs w:val="24"/>
          <w:highlight w:val="none"/>
        </w:rPr>
      </w:pPr>
    </w:p>
    <w:p w14:paraId="0F3DFB56">
      <w:pPr>
        <w:pStyle w:val="3"/>
        <w:tabs>
          <w:tab w:val="left" w:pos="5577"/>
          <w:tab w:val="left" w:pos="6942"/>
        </w:tabs>
        <w:kinsoku w:val="0"/>
        <w:overflowPunct w:val="0"/>
        <w:spacing w:line="357" w:lineRule="auto"/>
        <w:ind w:left="1201" w:right="175"/>
        <w:rPr>
          <w:rFonts w:hint="default"/>
          <w:color w:val="auto"/>
          <w:spacing w:val="-1"/>
          <w:sz w:val="28"/>
          <w:szCs w:val="24"/>
          <w:highlight w:val="none"/>
        </w:rPr>
      </w:pPr>
      <w:r>
        <w:rPr>
          <w:rFonts w:hint="default"/>
          <w:color w:val="auto"/>
          <w:sz w:val="28"/>
          <w:szCs w:val="24"/>
          <w:highlight w:val="none"/>
        </w:rPr>
        <w:t>投标人：</w:t>
      </w:r>
      <w:r>
        <w:rPr>
          <w:rFonts w:hint="eastAsia" w:ascii="Times New Roman" w:hAnsi="Times New Roman" w:eastAsia="Times New Roman"/>
          <w:color w:val="auto"/>
          <w:sz w:val="28"/>
          <w:szCs w:val="24"/>
          <w:highlight w:val="none"/>
          <w:u w:val="single"/>
        </w:rPr>
        <w:tab/>
      </w:r>
      <w:r>
        <w:rPr>
          <w:rFonts w:hint="eastAsia" w:ascii="Times New Roman" w:hAnsi="Times New Roman" w:eastAsia="Times New Roman"/>
          <w:color w:val="auto"/>
          <w:sz w:val="28"/>
          <w:szCs w:val="24"/>
          <w:highlight w:val="none"/>
          <w:u w:val="single"/>
        </w:rPr>
        <w:tab/>
      </w:r>
      <w:r>
        <w:rPr>
          <w:rFonts w:hint="default"/>
          <w:color w:val="auto"/>
          <w:spacing w:val="-1"/>
          <w:sz w:val="28"/>
          <w:szCs w:val="24"/>
          <w:highlight w:val="none"/>
        </w:rPr>
        <w:t>（盖单位章）</w:t>
      </w:r>
      <w:r>
        <w:rPr>
          <w:rFonts w:hint="default"/>
          <w:color w:val="auto"/>
          <w:spacing w:val="-136"/>
          <w:sz w:val="28"/>
          <w:szCs w:val="24"/>
          <w:highlight w:val="none"/>
        </w:rPr>
        <w:t xml:space="preserve"> </w:t>
      </w:r>
      <w:r>
        <w:rPr>
          <w:rFonts w:hint="default"/>
          <w:color w:val="auto"/>
          <w:spacing w:val="-1"/>
          <w:sz w:val="28"/>
          <w:szCs w:val="24"/>
          <w:highlight w:val="none"/>
        </w:rPr>
        <w:t>法定代表人或其委托代理人：</w:t>
      </w:r>
      <w:r>
        <w:rPr>
          <w:rFonts w:hint="eastAsia" w:ascii="Times New Roman" w:hAnsi="Times New Roman" w:eastAsia="Times New Roman"/>
          <w:color w:val="auto"/>
          <w:spacing w:val="-1"/>
          <w:sz w:val="28"/>
          <w:szCs w:val="24"/>
          <w:highlight w:val="none"/>
          <w:u w:val="single"/>
        </w:rPr>
        <w:tab/>
      </w:r>
      <w:r>
        <w:rPr>
          <w:rFonts w:hint="default"/>
          <w:color w:val="auto"/>
          <w:spacing w:val="-1"/>
          <w:sz w:val="28"/>
          <w:szCs w:val="24"/>
          <w:highlight w:val="none"/>
        </w:rPr>
        <w:t>（签字</w:t>
      </w:r>
      <w:r>
        <w:rPr>
          <w:rFonts w:hint="eastAsia"/>
          <w:color w:val="auto"/>
          <w:spacing w:val="-1"/>
          <w:sz w:val="28"/>
          <w:szCs w:val="24"/>
          <w:highlight w:val="none"/>
          <w:lang w:val="en-US" w:eastAsia="zh-CN"/>
        </w:rPr>
        <w:t>或盖章</w:t>
      </w:r>
      <w:r>
        <w:rPr>
          <w:rFonts w:hint="default"/>
          <w:color w:val="auto"/>
          <w:spacing w:val="-1"/>
          <w:sz w:val="28"/>
          <w:szCs w:val="24"/>
          <w:highlight w:val="none"/>
        </w:rPr>
        <w:t>）</w:t>
      </w:r>
    </w:p>
    <w:p w14:paraId="17B35D44">
      <w:pPr>
        <w:pStyle w:val="3"/>
        <w:kinsoku w:val="0"/>
        <w:overflowPunct w:val="0"/>
        <w:spacing w:before="10"/>
        <w:ind w:left="0"/>
        <w:rPr>
          <w:rFonts w:hint="default"/>
          <w:color w:val="auto"/>
          <w:sz w:val="29"/>
          <w:szCs w:val="24"/>
          <w:highlight w:val="none"/>
        </w:rPr>
      </w:pPr>
    </w:p>
    <w:p w14:paraId="5F792B6E">
      <w:pPr>
        <w:pStyle w:val="3"/>
        <w:tabs>
          <w:tab w:val="left" w:pos="3611"/>
          <w:tab w:val="left" w:pos="4626"/>
          <w:tab w:val="left" w:pos="5642"/>
        </w:tabs>
        <w:kinsoku w:val="0"/>
        <w:overflowPunct w:val="0"/>
        <w:spacing w:before="14"/>
        <w:ind w:left="2877" w:right="175"/>
        <w:rPr>
          <w:rFonts w:hint="default"/>
          <w:color w:val="auto"/>
          <w:sz w:val="28"/>
          <w:szCs w:val="24"/>
          <w:highlight w:val="none"/>
        </w:rPr>
      </w:pPr>
      <w:r>
        <w:rPr>
          <w:rFonts w:hint="eastAsia" w:ascii="Times New Roman" w:hAnsi="Times New Roman" w:eastAsia="Times New Roman"/>
          <w:color w:val="auto"/>
          <w:sz w:val="28"/>
          <w:szCs w:val="24"/>
          <w:highlight w:val="none"/>
          <w:u w:val="single"/>
        </w:rPr>
        <w:t xml:space="preserve"> </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年</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月</w:t>
      </w:r>
      <w:r>
        <w:rPr>
          <w:rFonts w:hint="eastAsia" w:ascii="Times New Roman" w:hAnsi="Times New Roman" w:eastAsia="Times New Roman"/>
          <w:color w:val="auto"/>
          <w:sz w:val="28"/>
          <w:szCs w:val="24"/>
          <w:highlight w:val="none"/>
          <w:u w:val="single"/>
        </w:rPr>
        <w:tab/>
      </w:r>
      <w:r>
        <w:rPr>
          <w:rFonts w:hint="default"/>
          <w:color w:val="auto"/>
          <w:sz w:val="28"/>
          <w:szCs w:val="24"/>
          <w:highlight w:val="none"/>
        </w:rPr>
        <w:t>日</w:t>
      </w:r>
    </w:p>
    <w:p w14:paraId="48C93AE3">
      <w:pPr>
        <w:pStyle w:val="3"/>
        <w:tabs>
          <w:tab w:val="left" w:pos="3611"/>
          <w:tab w:val="left" w:pos="4626"/>
          <w:tab w:val="left" w:pos="5642"/>
        </w:tabs>
        <w:kinsoku w:val="0"/>
        <w:overflowPunct w:val="0"/>
        <w:spacing w:before="14"/>
        <w:ind w:left="2877" w:right="175"/>
        <w:rPr>
          <w:rFonts w:hint="default"/>
          <w:color w:val="auto"/>
          <w:sz w:val="28"/>
          <w:szCs w:val="24"/>
          <w:highlight w:val="none"/>
        </w:rPr>
        <w:sectPr>
          <w:pgSz w:w="11905" w:h="16838"/>
          <w:pgMar w:top="1417" w:right="1417" w:bottom="1417" w:left="1417" w:header="992" w:footer="992" w:gutter="0"/>
          <w:lnNumType w:countBy="0" w:distance="360"/>
          <w:pgNumType w:fmt="decimal"/>
          <w:cols w:space="720" w:num="1"/>
        </w:sectPr>
      </w:pPr>
    </w:p>
    <w:p w14:paraId="358E2212">
      <w:pPr>
        <w:pStyle w:val="3"/>
        <w:kinsoku w:val="0"/>
        <w:overflowPunct w:val="0"/>
        <w:spacing w:line="443" w:lineRule="exact"/>
        <w:ind w:left="1244" w:right="1222"/>
        <w:jc w:val="center"/>
        <w:rPr>
          <w:rFonts w:hint="eastAsia" w:ascii="Microsoft JhengHei" w:hAnsi="Microsoft JhengHei" w:eastAsia="Microsoft JhengHei"/>
          <w:color w:val="auto"/>
          <w:sz w:val="32"/>
          <w:szCs w:val="24"/>
          <w:highlight w:val="none"/>
        </w:rPr>
      </w:pPr>
      <w:bookmarkStart w:id="164" w:name="bookmark175"/>
      <w:bookmarkEnd w:id="164"/>
      <w:r>
        <w:rPr>
          <w:rFonts w:hint="eastAsia" w:ascii="Microsoft JhengHei" w:hAnsi="Microsoft JhengHei" w:eastAsia="Microsoft JhengHei"/>
          <w:b/>
          <w:color w:val="auto"/>
          <w:sz w:val="32"/>
          <w:szCs w:val="24"/>
          <w:highlight w:val="none"/>
        </w:rPr>
        <w:t>目录</w:t>
      </w:r>
    </w:p>
    <w:p w14:paraId="4A9D77BD">
      <w:pPr>
        <w:pStyle w:val="3"/>
        <w:kinsoku w:val="0"/>
        <w:overflowPunct w:val="0"/>
        <w:ind w:left="0"/>
        <w:rPr>
          <w:rFonts w:hint="eastAsia" w:ascii="Microsoft JhengHei" w:hAnsi="Microsoft JhengHei" w:eastAsia="Microsoft JhengHei"/>
          <w:b/>
          <w:color w:val="auto"/>
          <w:sz w:val="20"/>
          <w:szCs w:val="24"/>
          <w:highlight w:val="none"/>
        </w:rPr>
      </w:pPr>
    </w:p>
    <w:p w14:paraId="1A3B55A7">
      <w:pPr>
        <w:pStyle w:val="3"/>
        <w:kinsoku w:val="0"/>
        <w:overflowPunct w:val="0"/>
        <w:ind w:left="0"/>
        <w:rPr>
          <w:rFonts w:hint="eastAsia" w:ascii="Microsoft JhengHei" w:hAnsi="Microsoft JhengHei" w:eastAsia="Microsoft JhengHei"/>
          <w:b/>
          <w:color w:val="auto"/>
          <w:sz w:val="20"/>
          <w:szCs w:val="24"/>
          <w:highlight w:val="none"/>
        </w:rPr>
      </w:pPr>
    </w:p>
    <w:p w14:paraId="3FFA7162">
      <w:pPr>
        <w:pStyle w:val="3"/>
        <w:kinsoku w:val="0"/>
        <w:overflowPunct w:val="0"/>
        <w:ind w:left="0"/>
        <w:rPr>
          <w:rFonts w:hint="eastAsia" w:ascii="Microsoft JhengHei" w:hAnsi="Microsoft JhengHei" w:eastAsia="Microsoft JhengHei"/>
          <w:b/>
          <w:color w:val="auto"/>
          <w:sz w:val="20"/>
          <w:szCs w:val="24"/>
          <w:highlight w:val="none"/>
        </w:rPr>
      </w:pPr>
    </w:p>
    <w:p w14:paraId="193348B3">
      <w:pPr>
        <w:pStyle w:val="3"/>
        <w:kinsoku w:val="0"/>
        <w:overflowPunct w:val="0"/>
        <w:spacing w:before="6"/>
        <w:ind w:left="0"/>
        <w:rPr>
          <w:rFonts w:hint="eastAsia" w:ascii="Microsoft JhengHei" w:hAnsi="Microsoft JhengHei" w:eastAsia="Microsoft JhengHei"/>
          <w:b/>
          <w:color w:val="auto"/>
          <w:sz w:val="24"/>
          <w:szCs w:val="24"/>
          <w:highlight w:val="none"/>
        </w:rPr>
      </w:pPr>
    </w:p>
    <w:p w14:paraId="523EA193">
      <w:pPr>
        <w:pStyle w:val="3"/>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z w:val="24"/>
          <w:szCs w:val="24"/>
          <w:highlight w:val="none"/>
          <w:lang w:val="en-US" w:eastAsia="zh-CN"/>
        </w:rPr>
        <w:t>一、</w:t>
      </w:r>
      <w:r>
        <w:rPr>
          <w:rFonts w:hint="default"/>
          <w:color w:val="auto"/>
          <w:sz w:val="24"/>
          <w:szCs w:val="24"/>
          <w:highlight w:val="none"/>
        </w:rPr>
        <w:t>投标函及投标函附录</w:t>
      </w:r>
    </w:p>
    <w:p w14:paraId="618D8CB8">
      <w:pPr>
        <w:pStyle w:val="3"/>
        <w:numPr>
          <w:ilvl w:val="0"/>
          <w:numId w:val="0"/>
        </w:numPr>
        <w:kinsoku w:val="0"/>
        <w:overflowPunct w:val="0"/>
        <w:spacing w:before="36" w:line="472" w:lineRule="auto"/>
        <w:ind w:left="0" w:right="2650"/>
        <w:rPr>
          <w:rFonts w:hint="default"/>
          <w:color w:val="auto"/>
          <w:sz w:val="24"/>
          <w:szCs w:val="24"/>
          <w:highlight w:val="none"/>
        </w:rPr>
      </w:pPr>
      <w:r>
        <w:rPr>
          <w:rFonts w:hint="default"/>
          <w:color w:val="auto"/>
          <w:spacing w:val="-2"/>
          <w:sz w:val="24"/>
          <w:szCs w:val="24"/>
          <w:highlight w:val="none"/>
        </w:rPr>
        <w:t>二、法定代表人身份证明</w:t>
      </w:r>
    </w:p>
    <w:p w14:paraId="23C00DFE">
      <w:pPr>
        <w:pStyle w:val="3"/>
        <w:numPr>
          <w:ilvl w:val="0"/>
          <w:numId w:val="0"/>
        </w:numPr>
        <w:kinsoku w:val="0"/>
        <w:overflowPunct w:val="0"/>
        <w:spacing w:before="36" w:line="472" w:lineRule="auto"/>
        <w:ind w:left="0" w:right="2650"/>
        <w:rPr>
          <w:rFonts w:hint="default"/>
          <w:color w:val="auto"/>
          <w:sz w:val="24"/>
          <w:szCs w:val="24"/>
          <w:highlight w:val="none"/>
        </w:rPr>
      </w:pPr>
      <w:r>
        <w:rPr>
          <w:rFonts w:hint="eastAsia"/>
          <w:color w:val="auto"/>
          <w:sz w:val="24"/>
          <w:szCs w:val="24"/>
          <w:highlight w:val="none"/>
          <w:lang w:eastAsia="zh-CN"/>
        </w:rPr>
        <w:t>三</w:t>
      </w:r>
      <w:r>
        <w:rPr>
          <w:rFonts w:hint="default"/>
          <w:color w:val="auto"/>
          <w:sz w:val="24"/>
          <w:szCs w:val="24"/>
          <w:highlight w:val="none"/>
        </w:rPr>
        <w:t>、授权委托书（适用于有委托代理人的情况）</w:t>
      </w:r>
    </w:p>
    <w:p w14:paraId="74D44642">
      <w:pPr>
        <w:pStyle w:val="3"/>
        <w:numPr>
          <w:ilvl w:val="0"/>
          <w:numId w:val="0"/>
        </w:numPr>
        <w:kinsoku w:val="0"/>
        <w:overflowPunct w:val="0"/>
        <w:spacing w:before="36" w:line="472" w:lineRule="auto"/>
        <w:ind w:left="0" w:right="2650"/>
        <w:rPr>
          <w:rFonts w:hint="default"/>
          <w:color w:val="auto"/>
          <w:sz w:val="24"/>
          <w:szCs w:val="24"/>
          <w:highlight w:val="none"/>
        </w:rPr>
      </w:pPr>
      <w:r>
        <w:rPr>
          <w:rFonts w:hint="eastAsia"/>
          <w:color w:val="auto"/>
          <w:spacing w:val="-2"/>
          <w:sz w:val="24"/>
          <w:szCs w:val="24"/>
          <w:highlight w:val="none"/>
          <w:lang w:val="en-US" w:eastAsia="zh-CN"/>
        </w:rPr>
        <w:t>四</w:t>
      </w:r>
      <w:r>
        <w:rPr>
          <w:rFonts w:hint="default"/>
          <w:color w:val="auto"/>
          <w:spacing w:val="-2"/>
          <w:sz w:val="24"/>
          <w:szCs w:val="24"/>
          <w:highlight w:val="none"/>
        </w:rPr>
        <w:t>、投标保证金</w:t>
      </w:r>
    </w:p>
    <w:p w14:paraId="7C0CF1BF">
      <w:pPr>
        <w:pStyle w:val="3"/>
        <w:numPr>
          <w:ilvl w:val="0"/>
          <w:numId w:val="0"/>
        </w:numPr>
        <w:kinsoku w:val="0"/>
        <w:overflowPunct w:val="0"/>
        <w:spacing w:before="36" w:line="472" w:lineRule="auto"/>
        <w:ind w:left="0" w:right="2650"/>
        <w:rPr>
          <w:rFonts w:hint="default" w:ascii="宋体" w:hAnsi="宋体" w:eastAsia="宋体" w:cs="Times New Roman"/>
          <w:color w:val="auto"/>
          <w:spacing w:val="-2"/>
          <w:sz w:val="24"/>
          <w:szCs w:val="24"/>
          <w:highlight w:val="none"/>
          <w:lang w:val="en-US" w:eastAsia="zh-CN"/>
        </w:rPr>
      </w:pPr>
      <w:r>
        <w:rPr>
          <w:rFonts w:hint="eastAsia" w:ascii="宋体" w:hAnsi="宋体" w:eastAsia="宋体" w:cs="Times New Roman"/>
          <w:color w:val="auto"/>
          <w:spacing w:val="-2"/>
          <w:sz w:val="24"/>
          <w:szCs w:val="24"/>
          <w:highlight w:val="none"/>
          <w:lang w:val="en-US" w:eastAsia="zh-CN"/>
        </w:rPr>
        <w:t>五、</w:t>
      </w:r>
      <w:r>
        <w:rPr>
          <w:rFonts w:hint="default" w:ascii="宋体" w:hAnsi="宋体" w:eastAsia="宋体" w:cs="Times New Roman"/>
          <w:color w:val="auto"/>
          <w:spacing w:val="-2"/>
          <w:sz w:val="24"/>
          <w:szCs w:val="24"/>
          <w:highlight w:val="none"/>
          <w:lang w:val="en-US" w:eastAsia="zh-CN"/>
        </w:rPr>
        <w:t>资格审查资料</w:t>
      </w:r>
    </w:p>
    <w:p w14:paraId="2835B542">
      <w:pPr>
        <w:pStyle w:val="3"/>
        <w:numPr>
          <w:ilvl w:val="0"/>
          <w:numId w:val="0"/>
        </w:numPr>
        <w:kinsoku w:val="0"/>
        <w:overflowPunct w:val="0"/>
        <w:spacing w:before="36" w:line="472" w:lineRule="auto"/>
        <w:ind w:left="0" w:right="2650"/>
        <w:rPr>
          <w:rFonts w:hint="default"/>
          <w:color w:val="auto"/>
          <w:spacing w:val="-2"/>
          <w:sz w:val="24"/>
          <w:szCs w:val="24"/>
          <w:highlight w:val="none"/>
          <w:lang w:eastAsia="zh-CN"/>
        </w:rPr>
      </w:pPr>
      <w:r>
        <w:rPr>
          <w:rFonts w:hint="eastAsia"/>
          <w:color w:val="auto"/>
          <w:spacing w:val="-2"/>
          <w:sz w:val="24"/>
          <w:szCs w:val="24"/>
          <w:highlight w:val="none"/>
          <w:lang w:val="en-US" w:eastAsia="zh-CN"/>
        </w:rPr>
        <w:t>六</w:t>
      </w:r>
      <w:r>
        <w:rPr>
          <w:rFonts w:hint="default"/>
          <w:color w:val="auto"/>
          <w:spacing w:val="-2"/>
          <w:sz w:val="24"/>
          <w:szCs w:val="24"/>
          <w:highlight w:val="none"/>
          <w:lang w:eastAsia="zh-CN"/>
        </w:rPr>
        <w:t>、</w:t>
      </w:r>
      <w:r>
        <w:rPr>
          <w:rFonts w:hint="default"/>
          <w:color w:val="auto"/>
          <w:spacing w:val="-2"/>
          <w:sz w:val="24"/>
          <w:szCs w:val="24"/>
          <w:highlight w:val="none"/>
          <w:lang w:val="en-US" w:eastAsia="zh-CN"/>
        </w:rPr>
        <w:t>监理大纲部分</w:t>
      </w:r>
      <w:r>
        <w:rPr>
          <w:rFonts w:hint="default"/>
          <w:color w:val="auto"/>
          <w:spacing w:val="-2"/>
          <w:sz w:val="24"/>
          <w:szCs w:val="24"/>
          <w:highlight w:val="none"/>
          <w:lang w:eastAsia="zh-CN"/>
        </w:rPr>
        <w:t xml:space="preserve"> </w:t>
      </w:r>
    </w:p>
    <w:p w14:paraId="416C1C35">
      <w:pPr>
        <w:pStyle w:val="3"/>
        <w:numPr>
          <w:ilvl w:val="0"/>
          <w:numId w:val="0"/>
        </w:numPr>
        <w:kinsoku w:val="0"/>
        <w:overflowPunct w:val="0"/>
        <w:spacing w:before="61" w:line="472" w:lineRule="auto"/>
        <w:ind w:left="0" w:right="6220"/>
        <w:rPr>
          <w:rFonts w:hint="default"/>
          <w:color w:val="auto"/>
          <w:sz w:val="24"/>
          <w:szCs w:val="24"/>
          <w:highlight w:val="none"/>
        </w:rPr>
      </w:pPr>
      <w:r>
        <w:rPr>
          <w:rFonts w:hint="eastAsia"/>
          <w:color w:val="auto"/>
          <w:sz w:val="24"/>
          <w:szCs w:val="24"/>
          <w:highlight w:val="none"/>
          <w:lang w:val="en-US" w:eastAsia="zh-CN"/>
        </w:rPr>
        <w:t>七</w:t>
      </w:r>
      <w:r>
        <w:rPr>
          <w:rFonts w:hint="default"/>
          <w:color w:val="auto"/>
          <w:sz w:val="24"/>
          <w:szCs w:val="24"/>
          <w:highlight w:val="none"/>
        </w:rPr>
        <w:t>、其他资料</w:t>
      </w:r>
    </w:p>
    <w:p w14:paraId="3DE0F0CE">
      <w:pPr>
        <w:pStyle w:val="3"/>
        <w:kinsoku w:val="0"/>
        <w:overflowPunct w:val="0"/>
        <w:spacing w:before="61" w:line="472" w:lineRule="auto"/>
        <w:ind w:left="100" w:right="6220"/>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1EC3E27B">
      <w:pPr>
        <w:pStyle w:val="6"/>
        <w:jc w:val="center"/>
        <w:outlineLvl w:val="1"/>
        <w:rPr>
          <w:rFonts w:hint="default"/>
          <w:color w:val="auto"/>
          <w:sz w:val="28"/>
          <w:szCs w:val="24"/>
          <w:highlight w:val="none"/>
        </w:rPr>
      </w:pPr>
      <w:bookmarkStart w:id="165" w:name="bookmark176"/>
      <w:bookmarkEnd w:id="165"/>
      <w:bookmarkStart w:id="166" w:name="_Toc6180"/>
      <w:r>
        <w:rPr>
          <w:rFonts w:hint="default"/>
          <w:color w:val="auto"/>
          <w:sz w:val="28"/>
          <w:szCs w:val="24"/>
          <w:highlight w:val="none"/>
        </w:rPr>
        <w:t>一、投标函及投标函附录</w:t>
      </w:r>
      <w:bookmarkEnd w:id="166"/>
    </w:p>
    <w:p w14:paraId="0CB7E6C4">
      <w:pPr>
        <w:pStyle w:val="7"/>
        <w:outlineLvl w:val="2"/>
        <w:rPr>
          <w:rFonts w:hint="default"/>
          <w:b/>
          <w:color w:val="auto"/>
          <w:sz w:val="28"/>
          <w:szCs w:val="24"/>
          <w:highlight w:val="none"/>
        </w:rPr>
      </w:pPr>
      <w:bookmarkStart w:id="167" w:name="bookmark177"/>
      <w:bookmarkEnd w:id="167"/>
      <w:bookmarkStart w:id="168" w:name="_Toc13758"/>
      <w:r>
        <w:rPr>
          <w:rFonts w:hint="default"/>
          <w:b/>
          <w:color w:val="auto"/>
          <w:sz w:val="28"/>
          <w:szCs w:val="24"/>
          <w:highlight w:val="none"/>
        </w:rPr>
        <w:t>（一）投标函</w:t>
      </w:r>
      <w:bookmarkEnd w:id="168"/>
    </w:p>
    <w:p w14:paraId="2F2A8B79">
      <w:pPr>
        <w:pStyle w:val="3"/>
        <w:kinsoku w:val="0"/>
        <w:overflowPunct w:val="0"/>
        <w:spacing w:before="1"/>
        <w:ind w:left="0"/>
        <w:rPr>
          <w:rFonts w:hint="default"/>
          <w:color w:val="auto"/>
          <w:sz w:val="23"/>
          <w:szCs w:val="24"/>
          <w:highlight w:val="none"/>
        </w:rPr>
      </w:pPr>
    </w:p>
    <w:p w14:paraId="5578B577">
      <w:pPr>
        <w:pStyle w:val="3"/>
        <w:tabs>
          <w:tab w:val="left" w:pos="1991"/>
        </w:tabs>
        <w:kinsoku w:val="0"/>
        <w:overflowPunct w:val="0"/>
        <w:spacing w:line="400" w:lineRule="exact"/>
        <w:ind w:left="100" w:right="113"/>
        <w:rPr>
          <w:rFonts w:hint="default"/>
          <w:color w:val="auto"/>
          <w:spacing w:val="-15"/>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pacing w:val="-15"/>
          <w:sz w:val="24"/>
          <w:szCs w:val="24"/>
          <w:highlight w:val="none"/>
        </w:rPr>
        <w:t>（招标人名称）：</w:t>
      </w:r>
    </w:p>
    <w:p w14:paraId="49B77280">
      <w:pPr>
        <w:autoSpaceDE/>
        <w:autoSpaceDN/>
        <w:adjustRightInd/>
        <w:spacing w:line="4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1．我方已仔细研究了</w:t>
      </w:r>
      <w:r>
        <w:rPr>
          <w:rFonts w:hint="default" w:ascii="宋体" w:hAnsi="宋体" w:eastAsia="宋体" w:cs="宋体"/>
          <w:color w:val="auto"/>
          <w:kern w:val="2"/>
          <w:sz w:val="24"/>
          <w:szCs w:val="24"/>
          <w:highlight w:val="none"/>
          <w:u w:val="single"/>
          <w:lang w:val="en-US" w:eastAsia="zh-CN" w:bidi="ar-SA"/>
        </w:rPr>
        <w:tab/>
      </w:r>
      <w:r>
        <w:rPr>
          <w:rFonts w:hint="default" w:ascii="宋体" w:hAnsi="宋体" w:eastAsia="宋体" w:cs="宋体"/>
          <w:color w:val="auto"/>
          <w:kern w:val="2"/>
          <w:sz w:val="24"/>
          <w:szCs w:val="24"/>
          <w:highlight w:val="none"/>
          <w:u w:val="single"/>
          <w:lang w:val="en-US" w:eastAsia="zh-CN" w:bidi="ar-SA"/>
        </w:rPr>
        <w:tab/>
      </w:r>
      <w:r>
        <w:rPr>
          <w:rFonts w:hint="default" w:ascii="宋体" w:hAnsi="宋体" w:eastAsia="宋体" w:cs="宋体"/>
          <w:color w:val="auto"/>
          <w:kern w:val="2"/>
          <w:sz w:val="24"/>
          <w:szCs w:val="24"/>
          <w:highlight w:val="none"/>
          <w:u w:val="single"/>
          <w:lang w:val="en-US" w:eastAsia="zh-CN" w:bidi="ar-SA"/>
        </w:rPr>
        <w:t xml:space="preserve">（项目名称）  </w:t>
      </w:r>
      <w:r>
        <w:rPr>
          <w:rFonts w:hint="default" w:ascii="宋体" w:hAnsi="宋体" w:eastAsia="宋体" w:cs="宋体"/>
          <w:color w:val="auto"/>
          <w:kern w:val="2"/>
          <w:sz w:val="24"/>
          <w:szCs w:val="24"/>
          <w:highlight w:val="none"/>
          <w:lang w:val="en-US" w:eastAsia="zh-CN" w:bidi="ar-SA"/>
        </w:rPr>
        <w:t xml:space="preserve"> 招标项目招标文件的全部内容， 愿意以人民币（大写）</w:t>
      </w:r>
      <w:r>
        <w:rPr>
          <w:rFonts w:hint="default" w:ascii="宋体" w:hAnsi="宋体" w:eastAsia="宋体" w:cs="宋体"/>
          <w:color w:val="auto"/>
          <w:kern w:val="2"/>
          <w:sz w:val="24"/>
          <w:szCs w:val="24"/>
          <w:highlight w:val="none"/>
          <w:u w:val="single"/>
          <w:lang w:val="en-US" w:eastAsia="zh-CN" w:bidi="ar-SA"/>
        </w:rPr>
        <w:tab/>
      </w:r>
      <w:r>
        <w:rPr>
          <w:rFonts w:hint="default" w:ascii="宋体" w:hAnsi="宋体" w:eastAsia="宋体" w:cs="宋体"/>
          <w:color w:val="auto"/>
          <w:kern w:val="2"/>
          <w:sz w:val="24"/>
          <w:szCs w:val="24"/>
          <w:highlight w:val="none"/>
          <w:u w:val="single"/>
          <w:lang w:val="en-US" w:eastAsia="zh-CN" w:bidi="ar-SA"/>
        </w:rPr>
        <w:t xml:space="preserve">   </w:t>
      </w:r>
      <w:r>
        <w:rPr>
          <w:rFonts w:hint="default" w:ascii="宋体" w:hAnsi="宋体" w:eastAsia="宋体" w:cs="宋体"/>
          <w:color w:val="auto"/>
          <w:kern w:val="2"/>
          <w:sz w:val="24"/>
          <w:szCs w:val="24"/>
          <w:highlight w:val="none"/>
          <w:lang w:val="en-US" w:eastAsia="zh-CN" w:bidi="ar-SA"/>
        </w:rPr>
        <w:t>（¥</w:t>
      </w:r>
      <w:r>
        <w:rPr>
          <w:rFonts w:hint="default" w:ascii="宋体" w:hAnsi="宋体" w:eastAsia="宋体" w:cs="宋体"/>
          <w:color w:val="auto"/>
          <w:kern w:val="2"/>
          <w:sz w:val="24"/>
          <w:szCs w:val="24"/>
          <w:highlight w:val="none"/>
          <w:u w:val="single"/>
          <w:lang w:val="en-US" w:eastAsia="zh-CN" w:bidi="ar-SA"/>
        </w:rPr>
        <w:tab/>
      </w:r>
      <w:r>
        <w:rPr>
          <w:rFonts w:hint="default" w:ascii="宋体" w:hAnsi="宋体" w:eastAsia="宋体" w:cs="宋体"/>
          <w:color w:val="auto"/>
          <w:kern w:val="2"/>
          <w:sz w:val="24"/>
          <w:szCs w:val="24"/>
          <w:highlight w:val="none"/>
          <w:u w:val="single"/>
          <w:lang w:val="en-US" w:eastAsia="zh-CN" w:bidi="ar-SA"/>
        </w:rPr>
        <w:tab/>
      </w:r>
      <w:r>
        <w:rPr>
          <w:rFonts w:hint="default" w:ascii="宋体" w:hAnsi="宋体" w:eastAsia="宋体" w:cs="宋体"/>
          <w:color w:val="auto"/>
          <w:kern w:val="2"/>
          <w:sz w:val="24"/>
          <w:szCs w:val="24"/>
          <w:highlight w:val="none"/>
          <w:lang w:val="en-US" w:eastAsia="zh-CN" w:bidi="ar-SA"/>
        </w:rPr>
        <w:t>）的投标总报价，服务期限：</w:t>
      </w:r>
      <w:r>
        <w:rPr>
          <w:rFonts w:hint="default" w:ascii="宋体" w:hAnsi="宋体" w:eastAsia="宋体" w:cs="宋体"/>
          <w:color w:val="auto"/>
          <w:kern w:val="2"/>
          <w:sz w:val="24"/>
          <w:szCs w:val="24"/>
          <w:highlight w:val="none"/>
          <w:u w:val="single"/>
          <w:lang w:val="en-US" w:eastAsia="zh-CN" w:bidi="ar-SA"/>
        </w:rPr>
        <w:t>按招标文件要求</w:t>
      </w:r>
      <w:r>
        <w:rPr>
          <w:rFonts w:hint="default" w:ascii="宋体" w:hAnsi="宋体" w:eastAsia="宋体" w:cs="宋体"/>
          <w:color w:val="auto"/>
          <w:kern w:val="2"/>
          <w:sz w:val="24"/>
          <w:szCs w:val="24"/>
          <w:highlight w:val="none"/>
          <w:lang w:val="en-US" w:eastAsia="zh-CN" w:bidi="ar-SA"/>
        </w:rPr>
        <w:t>，按合同约定完成</w:t>
      </w:r>
      <w:r>
        <w:rPr>
          <w:rFonts w:hint="default" w:ascii="宋体" w:hAnsi="宋体" w:eastAsia="宋体" w:cs="宋体"/>
          <w:color w:val="auto"/>
          <w:kern w:val="2"/>
          <w:sz w:val="24"/>
          <w:szCs w:val="24"/>
          <w:highlight w:val="none"/>
          <w:u w:val="single"/>
          <w:lang w:val="en-US" w:eastAsia="zh-CN" w:bidi="ar-SA"/>
        </w:rPr>
        <w:t>施工监理</w:t>
      </w:r>
      <w:r>
        <w:rPr>
          <w:rFonts w:hint="default" w:ascii="宋体" w:hAnsi="宋体" w:eastAsia="宋体" w:cs="宋体"/>
          <w:color w:val="auto"/>
          <w:kern w:val="2"/>
          <w:sz w:val="24"/>
          <w:szCs w:val="24"/>
          <w:highlight w:val="none"/>
          <w:lang w:val="en-US" w:eastAsia="zh-CN" w:bidi="ar-SA"/>
        </w:rPr>
        <w:t>工作。</w:t>
      </w:r>
    </w:p>
    <w:p w14:paraId="3DED992C">
      <w:pPr>
        <w:autoSpaceDE/>
        <w:autoSpaceDN/>
        <w:adjustRightInd/>
        <w:spacing w:line="4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 我方的投标文件包括下列内容：</w:t>
      </w:r>
    </w:p>
    <w:p w14:paraId="2A455DC4">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（1）投标函及投标函附录；</w:t>
      </w:r>
    </w:p>
    <w:p w14:paraId="6C050D4C">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（2）法定代表人身份证明</w:t>
      </w:r>
      <w:r>
        <w:rPr>
          <w:rFonts w:hint="default" w:ascii="宋体" w:hAnsi="宋体" w:eastAsia="宋体" w:cs="宋体"/>
          <w:color w:val="auto"/>
          <w:spacing w:val="8"/>
          <w:sz w:val="24"/>
          <w:szCs w:val="24"/>
          <w:highlight w:val="none"/>
        </w:rPr>
        <w:t>或附有法定代表人身份证明的授权委托书</w:t>
      </w:r>
      <w:r>
        <w:rPr>
          <w:rFonts w:hint="default" w:ascii="宋体" w:hAnsi="宋体" w:eastAsia="宋体" w:cs="宋体"/>
          <w:color w:val="auto"/>
          <w:kern w:val="2"/>
          <w:sz w:val="24"/>
          <w:szCs w:val="24"/>
          <w:highlight w:val="none"/>
          <w:lang w:val="en-US" w:eastAsia="zh-CN" w:bidi="ar-SA"/>
        </w:rPr>
        <w:t>；</w:t>
      </w:r>
    </w:p>
    <w:p w14:paraId="52C0B4EC">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（3）投标保证金；</w:t>
      </w:r>
    </w:p>
    <w:p w14:paraId="05E23BD1">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4</w:t>
      </w:r>
      <w:r>
        <w:rPr>
          <w:rFonts w:hint="default" w:ascii="宋体" w:hAnsi="宋体" w:eastAsia="宋体" w:cs="宋体"/>
          <w:color w:val="auto"/>
          <w:kern w:val="2"/>
          <w:sz w:val="24"/>
          <w:szCs w:val="24"/>
          <w:highlight w:val="none"/>
          <w:lang w:val="en-US" w:eastAsia="zh-CN" w:bidi="ar-SA"/>
        </w:rPr>
        <w:t>）资格审查资料；</w:t>
      </w:r>
    </w:p>
    <w:p w14:paraId="2693BF6C">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w:t>
      </w:r>
      <w:r>
        <w:rPr>
          <w:rFonts w:hint="eastAsia" w:ascii="宋体" w:hAnsi="宋体" w:cs="宋体"/>
          <w:highlight w:val="none"/>
          <w:lang w:val="en-US" w:eastAsia="zh-CN"/>
        </w:rPr>
        <w:t>监理大纲部分</w:t>
      </w:r>
      <w:r>
        <w:rPr>
          <w:rFonts w:hint="default" w:ascii="宋体" w:hAnsi="宋体" w:eastAsia="宋体" w:cs="宋体"/>
          <w:color w:val="auto"/>
          <w:kern w:val="2"/>
          <w:sz w:val="24"/>
          <w:szCs w:val="24"/>
          <w:highlight w:val="none"/>
          <w:lang w:val="en-US" w:eastAsia="zh-CN" w:bidi="ar-SA"/>
        </w:rPr>
        <w:t>；</w:t>
      </w:r>
    </w:p>
    <w:p w14:paraId="0669CEA2">
      <w:pPr>
        <w:autoSpaceDE/>
        <w:autoSpaceDN/>
        <w:adjustRightInd/>
        <w:spacing w:line="400" w:lineRule="exact"/>
        <w:ind w:left="600" w:leftChars="200" w:hanging="120" w:hangingChars="50"/>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）其他资料。</w:t>
      </w:r>
    </w:p>
    <w:p w14:paraId="6564D142">
      <w:pPr>
        <w:autoSpaceDE/>
        <w:autoSpaceDN/>
        <w:adjustRightInd/>
        <w:ind w:firstLine="472" w:firstLineChars="200"/>
        <w:jc w:val="both"/>
        <w:rPr>
          <w:rFonts w:hint="default"/>
          <w:color w:val="auto"/>
          <w:spacing w:val="-2"/>
          <w:sz w:val="24"/>
          <w:szCs w:val="24"/>
          <w:highlight w:val="none"/>
        </w:rPr>
      </w:pPr>
      <w:r>
        <w:rPr>
          <w:rFonts w:hint="default"/>
          <w:color w:val="auto"/>
          <w:spacing w:val="-2"/>
          <w:sz w:val="24"/>
          <w:szCs w:val="24"/>
          <w:highlight w:val="none"/>
        </w:rPr>
        <w:t>投标文件的上述组成部分如存在内容不一致的，以投标函为</w:t>
      </w:r>
      <w:r>
        <w:rPr>
          <w:rFonts w:hint="eastAsia"/>
          <w:color w:val="auto"/>
          <w:spacing w:val="-2"/>
          <w:sz w:val="24"/>
          <w:szCs w:val="24"/>
          <w:highlight w:val="none"/>
          <w:lang w:val="en-US" w:eastAsia="zh-CN"/>
        </w:rPr>
        <w:t>准</w:t>
      </w:r>
      <w:r>
        <w:rPr>
          <w:rFonts w:hint="default"/>
          <w:color w:val="auto"/>
          <w:spacing w:val="-2"/>
          <w:sz w:val="24"/>
          <w:szCs w:val="24"/>
          <w:highlight w:val="none"/>
        </w:rPr>
        <w:t>。</w:t>
      </w:r>
    </w:p>
    <w:p w14:paraId="560FF5F8">
      <w:pPr>
        <w:autoSpaceDE/>
        <w:autoSpaceDN/>
        <w:adjustRightInd/>
        <w:spacing w:line="4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3．我方承诺在招标文件规定的投标有效期内不撤销投标文件</w:t>
      </w:r>
      <w:r>
        <w:rPr>
          <w:rFonts w:hint="default" w:ascii="宋体" w:hAnsi="宋体" w:eastAsia="宋体" w:cs="宋体"/>
          <w:color w:val="auto"/>
          <w:kern w:val="2"/>
          <w:sz w:val="24"/>
          <w:szCs w:val="24"/>
          <w:highlight w:val="none"/>
          <w:u w:val="single"/>
          <w:lang w:val="en-US" w:eastAsia="zh-CN" w:bidi="ar-SA"/>
        </w:rPr>
        <w:t>，如出现异议或投诉，则投标有效期自动延长至异议或投诉处理结束</w:t>
      </w:r>
      <w:r>
        <w:rPr>
          <w:rFonts w:hint="default" w:ascii="宋体" w:hAnsi="宋体" w:eastAsia="宋体" w:cs="宋体"/>
          <w:color w:val="auto"/>
          <w:kern w:val="2"/>
          <w:sz w:val="24"/>
          <w:szCs w:val="24"/>
          <w:highlight w:val="none"/>
          <w:lang w:val="en-US" w:eastAsia="zh-CN" w:bidi="ar-SA"/>
        </w:rPr>
        <w:t>。</w:t>
      </w:r>
    </w:p>
    <w:p w14:paraId="4895F52B">
      <w:pPr>
        <w:autoSpaceDE/>
        <w:autoSpaceDN/>
        <w:adjustRightInd/>
        <w:spacing w:line="4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4．如我方中标，我方承诺：</w:t>
      </w:r>
    </w:p>
    <w:p w14:paraId="62D5465E">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（1）在收到中标通知书后，在中标通知书规定的期限内与你方签订合同；</w:t>
      </w:r>
    </w:p>
    <w:p w14:paraId="457584FE">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（2）在签订合同时不向你方提出附加条件；</w:t>
      </w:r>
    </w:p>
    <w:p w14:paraId="071106D6">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（3）按照招标文件要求提交履约保证金；</w:t>
      </w:r>
    </w:p>
    <w:p w14:paraId="749A4099">
      <w:pPr>
        <w:autoSpaceDE/>
        <w:autoSpaceDN/>
        <w:adjustRightInd/>
        <w:spacing w:line="400" w:lineRule="exact"/>
        <w:ind w:left="600" w:leftChars="200" w:hanging="120" w:hangingChars="5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（4）在合同约定的期限内完成合同规定的全部义务。</w:t>
      </w:r>
    </w:p>
    <w:p w14:paraId="2185993D">
      <w:pPr>
        <w:autoSpaceDE/>
        <w:autoSpaceDN/>
        <w:adjustRightInd/>
        <w:spacing w:line="4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5．我方在此声明，所递交的投标文件及有关资料内容完整、真实和准确，且不存在第二章 “投标人须知”第 1.4.3 项规定的任何一种情形。</w:t>
      </w:r>
    </w:p>
    <w:p w14:paraId="4AB664D4">
      <w:pPr>
        <w:autoSpaceDE/>
        <w:autoSpaceDN/>
        <w:adjustRightInd/>
        <w:spacing w:line="400" w:lineRule="exact"/>
        <w:ind w:firstLine="480" w:firstLineChars="200"/>
        <w:jc w:val="both"/>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u w:val="single"/>
          <w:lang w:val="en-US" w:eastAsia="zh-CN" w:bidi="ar-SA"/>
        </w:rPr>
        <w:tab/>
      </w:r>
      <w:r>
        <w:rPr>
          <w:rFonts w:hint="default" w:ascii="宋体" w:hAnsi="宋体" w:eastAsia="宋体" w:cs="宋体"/>
          <w:color w:val="auto"/>
          <w:kern w:val="2"/>
          <w:sz w:val="24"/>
          <w:szCs w:val="24"/>
          <w:highlight w:val="none"/>
          <w:lang w:val="en-US" w:eastAsia="zh-CN" w:bidi="ar-SA"/>
        </w:rPr>
        <w:t>（其他补充说明）。</w:t>
      </w:r>
    </w:p>
    <w:p w14:paraId="6C97EB80">
      <w:pPr>
        <w:pStyle w:val="3"/>
        <w:keepNext w:val="0"/>
        <w:keepLines w:val="0"/>
        <w:pageBreakBefore w:val="0"/>
        <w:tabs>
          <w:tab w:val="left" w:pos="7241"/>
        </w:tabs>
        <w:kinsoku w:val="0"/>
        <w:wordWrap/>
        <w:overflowPunct w:val="0"/>
        <w:topLinePunct w:val="0"/>
        <w:autoSpaceDE w:val="0"/>
        <w:autoSpaceDN w:val="0"/>
        <w:bidi w:val="0"/>
        <w:adjustRightInd w:val="0"/>
        <w:spacing w:before="36" w:line="360" w:lineRule="auto"/>
        <w:ind w:left="2621" w:right="113" w:firstLine="1440" w:firstLineChars="600"/>
        <w:rPr>
          <w:rFonts w:hint="default"/>
          <w:color w:val="auto"/>
          <w:sz w:val="24"/>
          <w:szCs w:val="24"/>
          <w:highlight w:val="none"/>
        </w:rPr>
      </w:pPr>
    </w:p>
    <w:p w14:paraId="5E30FE84">
      <w:pPr>
        <w:pStyle w:val="3"/>
        <w:keepNext w:val="0"/>
        <w:keepLines w:val="0"/>
        <w:pageBreakBefore w:val="0"/>
        <w:tabs>
          <w:tab w:val="left" w:pos="7241"/>
        </w:tabs>
        <w:kinsoku w:val="0"/>
        <w:wordWrap/>
        <w:overflowPunct w:val="0"/>
        <w:topLinePunct w:val="0"/>
        <w:autoSpaceDE w:val="0"/>
        <w:autoSpaceDN w:val="0"/>
        <w:bidi w:val="0"/>
        <w:adjustRightInd w:val="0"/>
        <w:spacing w:before="36" w:line="360" w:lineRule="auto"/>
        <w:ind w:left="2621" w:right="113" w:firstLine="1440" w:firstLineChars="600"/>
        <w:rPr>
          <w:rFonts w:hint="default"/>
          <w:color w:val="auto"/>
          <w:sz w:val="24"/>
          <w:szCs w:val="24"/>
          <w:highlight w:val="none"/>
        </w:rPr>
      </w:pPr>
    </w:p>
    <w:p w14:paraId="4CEA6C80">
      <w:pPr>
        <w:pStyle w:val="3"/>
        <w:keepNext w:val="0"/>
        <w:keepLines w:val="0"/>
        <w:pageBreakBefore w:val="0"/>
        <w:tabs>
          <w:tab w:val="left" w:pos="7241"/>
        </w:tabs>
        <w:kinsoku w:val="0"/>
        <w:wordWrap/>
        <w:overflowPunct w:val="0"/>
        <w:topLinePunct w:val="0"/>
        <w:autoSpaceDE w:val="0"/>
        <w:autoSpaceDN w:val="0"/>
        <w:bidi w:val="0"/>
        <w:adjustRightInd w:val="0"/>
        <w:spacing w:before="36" w:line="360" w:lineRule="auto"/>
        <w:ind w:left="2621" w:right="113" w:firstLine="1440" w:firstLineChars="600"/>
        <w:rPr>
          <w:rFonts w:hint="default"/>
          <w:color w:val="auto"/>
          <w:sz w:val="24"/>
          <w:szCs w:val="24"/>
          <w:highlight w:val="none"/>
        </w:rPr>
      </w:pPr>
      <w:r>
        <w:rPr>
          <w:rFonts w:hint="default"/>
          <w:color w:val="auto"/>
          <w:sz w:val="24"/>
          <w:szCs w:val="24"/>
          <w:highlight w:val="none"/>
        </w:rPr>
        <w:t>投 标</w:t>
      </w:r>
      <w:r>
        <w:rPr>
          <w:rFonts w:hint="default"/>
          <w:color w:val="auto"/>
          <w:spacing w:val="-1"/>
          <w:sz w:val="24"/>
          <w:szCs w:val="24"/>
          <w:highlight w:val="none"/>
        </w:rPr>
        <w:t xml:space="preserve"> </w:t>
      </w:r>
      <w:r>
        <w:rPr>
          <w:rFonts w:hint="default"/>
          <w:color w:val="auto"/>
          <w:sz w:val="24"/>
          <w:szCs w:val="24"/>
          <w:highlight w:val="none"/>
        </w:rPr>
        <w:t>人：</w:t>
      </w:r>
      <w:r>
        <w:rPr>
          <w:rFonts w:hint="default"/>
          <w:color w:val="auto"/>
          <w:sz w:val="24"/>
          <w:szCs w:val="24"/>
          <w:highlight w:val="none"/>
          <w:u w:val="single"/>
          <w:lang w:val="en-US" w:eastAsia="zh-CN"/>
        </w:rPr>
        <w:t xml:space="preserve">                 </w:t>
      </w:r>
      <w:r>
        <w:rPr>
          <w:rFonts w:hint="default" w:hAnsi="Times New Roman"/>
          <w:color w:val="auto"/>
          <w:sz w:val="24"/>
          <w:szCs w:val="24"/>
          <w:highlight w:val="none"/>
          <w:u w:val="single"/>
          <w:lang w:val="en-US" w:eastAsia="zh-CN"/>
        </w:rPr>
        <w:t xml:space="preserve"> </w:t>
      </w:r>
      <w:r>
        <w:rPr>
          <w:rFonts w:hint="default"/>
          <w:color w:val="auto"/>
          <w:sz w:val="24"/>
          <w:szCs w:val="24"/>
          <w:highlight w:val="none"/>
        </w:rPr>
        <w:t>（盖单位章）</w:t>
      </w:r>
    </w:p>
    <w:p w14:paraId="6749ECFB">
      <w:pPr>
        <w:keepNext w:val="0"/>
        <w:keepLines w:val="0"/>
        <w:pageBreakBefore w:val="0"/>
        <w:widowControl/>
        <w:kinsoku w:val="0"/>
        <w:wordWrap/>
        <w:topLinePunct w:val="0"/>
        <w:autoSpaceDE w:val="0"/>
        <w:autoSpaceDN w:val="0"/>
        <w:bidi w:val="0"/>
        <w:adjustRightInd w:val="0"/>
        <w:snapToGrid w:val="0"/>
        <w:spacing w:line="360" w:lineRule="auto"/>
        <w:ind w:left="3840" w:leftChars="1600" w:right="253" w:firstLine="224" w:firstLineChars="100"/>
        <w:textAlignment w:val="baseline"/>
        <w:rPr>
          <w:rFonts w:hint="default" w:ascii="宋体" w:hAnsi="宋体" w:eastAsia="宋体" w:cs="宋体"/>
          <w:color w:val="auto"/>
          <w:spacing w:val="-4"/>
          <w:sz w:val="24"/>
          <w:szCs w:val="24"/>
          <w:highlight w:val="none"/>
        </w:rPr>
      </w:pPr>
      <w:r>
        <w:rPr>
          <w:rFonts w:hint="default" w:ascii="宋体" w:hAnsi="宋体" w:eastAsia="宋体" w:cs="宋体"/>
          <w:color w:val="auto"/>
          <w:spacing w:val="-8"/>
          <w:sz w:val="24"/>
          <w:szCs w:val="24"/>
          <w:highlight w:val="none"/>
        </w:rPr>
        <w:t>法定</w:t>
      </w:r>
      <w:r>
        <w:rPr>
          <w:rFonts w:hint="default" w:ascii="宋体" w:hAnsi="宋体" w:eastAsia="宋体" w:cs="宋体"/>
          <w:color w:val="auto"/>
          <w:spacing w:val="-4"/>
          <w:sz w:val="24"/>
          <w:szCs w:val="24"/>
          <w:highlight w:val="none"/>
        </w:rPr>
        <w:t>代表人</w:t>
      </w:r>
      <w:r>
        <w:rPr>
          <w:rFonts w:hint="default" w:ascii="宋体" w:hAnsi="宋体" w:eastAsia="宋体" w:cs="宋体"/>
          <w:color w:val="auto"/>
          <w:spacing w:val="-4"/>
          <w:sz w:val="24"/>
          <w:szCs w:val="24"/>
          <w:highlight w:val="none"/>
          <w:lang w:eastAsia="zh-CN"/>
        </w:rPr>
        <w:t>：</w:t>
      </w:r>
      <w:r>
        <w:rPr>
          <w:rFonts w:hint="default" w:ascii="宋体" w:hAnsi="宋体" w:eastAsia="宋体" w:cs="宋体"/>
          <w:color w:val="auto"/>
          <w:spacing w:val="-4"/>
          <w:sz w:val="24"/>
          <w:szCs w:val="24"/>
          <w:highlight w:val="none"/>
          <w:u w:val="single" w:color="auto"/>
        </w:rPr>
        <w:t xml:space="preserve">            </w:t>
      </w:r>
      <w:r>
        <w:rPr>
          <w:rFonts w:hint="default" w:ascii="宋体" w:hAnsi="宋体" w:eastAsia="宋体" w:cs="宋体"/>
          <w:color w:val="auto"/>
          <w:spacing w:val="-4"/>
          <w:sz w:val="24"/>
          <w:szCs w:val="24"/>
          <w:highlight w:val="none"/>
        </w:rPr>
        <w:t>(签字</w:t>
      </w:r>
      <w:r>
        <w:rPr>
          <w:rFonts w:hint="default" w:ascii="宋体" w:hAnsi="宋体" w:eastAsia="宋体" w:cs="宋体"/>
          <w:color w:val="auto"/>
          <w:spacing w:val="-4"/>
          <w:sz w:val="24"/>
          <w:szCs w:val="24"/>
          <w:highlight w:val="none"/>
          <w:lang w:eastAsia="zh-CN"/>
        </w:rPr>
        <w:t>或盖章</w:t>
      </w:r>
      <w:r>
        <w:rPr>
          <w:rFonts w:hint="default" w:ascii="宋体" w:hAnsi="宋体" w:eastAsia="宋体" w:cs="宋体"/>
          <w:color w:val="auto"/>
          <w:spacing w:val="-4"/>
          <w:sz w:val="24"/>
          <w:szCs w:val="24"/>
          <w:highlight w:val="none"/>
        </w:rPr>
        <w:t>)</w:t>
      </w:r>
    </w:p>
    <w:p w14:paraId="18234260">
      <w:pPr>
        <w:keepNext w:val="0"/>
        <w:keepLines w:val="0"/>
        <w:pageBreakBefore w:val="0"/>
        <w:widowControl/>
        <w:kinsoku w:val="0"/>
        <w:wordWrap/>
        <w:topLinePunct w:val="0"/>
        <w:autoSpaceDE w:val="0"/>
        <w:autoSpaceDN w:val="0"/>
        <w:bidi w:val="0"/>
        <w:adjustRightInd w:val="0"/>
        <w:snapToGrid w:val="0"/>
        <w:spacing w:line="360" w:lineRule="auto"/>
        <w:ind w:left="3840" w:leftChars="1600" w:right="253" w:firstLine="232" w:firstLineChars="100"/>
        <w:textAlignment w:val="baseline"/>
        <w:rPr>
          <w:rFonts w:hint="default" w:ascii="宋体" w:hAnsi="宋体" w:eastAsia="宋体" w:cs="宋体"/>
          <w:color w:val="auto"/>
          <w:spacing w:val="-4"/>
          <w:sz w:val="24"/>
          <w:szCs w:val="24"/>
          <w:highlight w:val="none"/>
        </w:rPr>
      </w:pPr>
      <w:r>
        <w:rPr>
          <w:rFonts w:hint="default" w:ascii="宋体" w:hAnsi="宋体" w:eastAsia="宋体" w:cs="宋体"/>
          <w:color w:val="auto"/>
          <w:spacing w:val="-4"/>
          <w:sz w:val="24"/>
          <w:szCs w:val="24"/>
          <w:highlight w:val="none"/>
        </w:rPr>
        <w:t>委托代理人：</w:t>
      </w:r>
      <w:r>
        <w:rPr>
          <w:rFonts w:hint="default" w:ascii="宋体" w:hAnsi="宋体" w:eastAsia="宋体" w:cs="宋体"/>
          <w:color w:val="auto"/>
          <w:spacing w:val="-4"/>
          <w:sz w:val="24"/>
          <w:szCs w:val="24"/>
          <w:highlight w:val="none"/>
          <w:u w:val="single" w:color="auto"/>
        </w:rPr>
        <w:t xml:space="preserve">            </w:t>
      </w:r>
      <w:r>
        <w:rPr>
          <w:rFonts w:hint="default" w:ascii="宋体" w:hAnsi="宋体" w:eastAsia="宋体" w:cs="宋体"/>
          <w:color w:val="auto"/>
          <w:spacing w:val="-4"/>
          <w:sz w:val="24"/>
          <w:szCs w:val="24"/>
          <w:highlight w:val="none"/>
        </w:rPr>
        <w:t>(签字或盖章)</w:t>
      </w:r>
    </w:p>
    <w:p w14:paraId="4BE09E52">
      <w:pPr>
        <w:pStyle w:val="36"/>
        <w:keepNext w:val="0"/>
        <w:keepLines w:val="0"/>
        <w:pageBreakBefore w:val="0"/>
        <w:widowControl/>
        <w:kinsoku w:val="0"/>
        <w:wordWrap/>
        <w:topLinePunct w:val="0"/>
        <w:autoSpaceDE w:val="0"/>
        <w:autoSpaceDN w:val="0"/>
        <w:bidi w:val="0"/>
        <w:adjustRightInd w:val="0"/>
        <w:snapToGrid w:val="0"/>
        <w:spacing w:line="360" w:lineRule="auto"/>
        <w:ind w:left="3840" w:leftChars="1600" w:firstLine="232" w:firstLineChars="100"/>
        <w:jc w:val="left"/>
        <w:textAlignment w:val="baseline"/>
        <w:rPr>
          <w:rFonts w:hint="default" w:ascii="宋体" w:hAnsi="宋体" w:eastAsia="宋体" w:cs="宋体"/>
          <w:b w:val="0"/>
          <w:snapToGrid/>
          <w:color w:val="auto"/>
          <w:spacing w:val="-4"/>
          <w:sz w:val="24"/>
          <w:szCs w:val="24"/>
          <w:highlight w:val="none"/>
          <w:lang w:val="en-US" w:eastAsia="zh-CN"/>
        </w:rPr>
      </w:pPr>
      <w:r>
        <w:rPr>
          <w:rFonts w:hint="eastAsia" w:ascii="宋体" w:hAnsi="宋体" w:cs="宋体"/>
          <w:b w:val="0"/>
          <w:snapToGrid w:val="0"/>
          <w:color w:val="auto"/>
          <w:spacing w:val="-4"/>
          <w:sz w:val="24"/>
          <w:szCs w:val="24"/>
          <w:highlight w:val="none"/>
          <w:lang w:eastAsia="zh-CN"/>
        </w:rPr>
        <w:t>总监理工程师</w:t>
      </w:r>
      <w:r>
        <w:rPr>
          <w:rFonts w:hint="default" w:ascii="宋体" w:hAnsi="宋体" w:eastAsia="宋体" w:cs="宋体"/>
          <w:b w:val="0"/>
          <w:snapToGrid w:val="0"/>
          <w:color w:val="auto"/>
          <w:spacing w:val="-4"/>
          <w:sz w:val="24"/>
          <w:szCs w:val="24"/>
          <w:highlight w:val="none"/>
          <w:lang w:eastAsia="zh-CN"/>
        </w:rPr>
        <w:t>：</w:t>
      </w:r>
      <w:r>
        <w:rPr>
          <w:rFonts w:hint="default" w:ascii="宋体" w:hAnsi="宋体" w:eastAsia="宋体" w:cs="宋体"/>
          <w:color w:val="auto"/>
          <w:spacing w:val="-4"/>
          <w:sz w:val="24"/>
          <w:szCs w:val="24"/>
          <w:highlight w:val="none"/>
          <w:u w:val="single" w:color="auto"/>
        </w:rPr>
        <w:t xml:space="preserve">        </w:t>
      </w:r>
      <w:r>
        <w:rPr>
          <w:rFonts w:hint="default" w:ascii="宋体" w:hAnsi="宋体" w:eastAsia="宋体" w:cs="宋体"/>
          <w:color w:val="auto"/>
          <w:spacing w:val="-4"/>
          <w:sz w:val="24"/>
          <w:szCs w:val="24"/>
          <w:highlight w:val="none"/>
          <w:u w:val="single" w:color="auto"/>
          <w:lang w:val="en-US" w:eastAsia="zh-CN"/>
        </w:rPr>
        <w:t xml:space="preserve"> </w:t>
      </w:r>
      <w:r>
        <w:rPr>
          <w:rFonts w:hint="default" w:ascii="宋体" w:hAnsi="宋体" w:eastAsia="宋体" w:cs="宋体"/>
          <w:color w:val="auto"/>
          <w:spacing w:val="-4"/>
          <w:sz w:val="24"/>
          <w:szCs w:val="24"/>
          <w:highlight w:val="none"/>
          <w:u w:val="single" w:color="auto"/>
        </w:rPr>
        <w:t xml:space="preserve">  </w:t>
      </w:r>
      <w:r>
        <w:rPr>
          <w:rFonts w:hint="default" w:ascii="宋体" w:hAnsi="宋体" w:eastAsia="宋体" w:cs="宋体"/>
          <w:b w:val="0"/>
          <w:color w:val="auto"/>
          <w:spacing w:val="-4"/>
          <w:sz w:val="24"/>
          <w:szCs w:val="24"/>
          <w:highlight w:val="none"/>
        </w:rPr>
        <w:t>(签字或盖章)</w:t>
      </w:r>
    </w:p>
    <w:p w14:paraId="7837656B">
      <w:pPr>
        <w:pStyle w:val="3"/>
        <w:keepNext w:val="0"/>
        <w:keepLines w:val="0"/>
        <w:pageBreakBefore w:val="0"/>
        <w:tabs>
          <w:tab w:val="left" w:pos="3232"/>
          <w:tab w:val="left" w:pos="8529"/>
        </w:tabs>
        <w:kinsoku w:val="0"/>
        <w:wordWrap/>
        <w:overflowPunct w:val="0"/>
        <w:topLinePunct w:val="0"/>
        <w:autoSpaceDE w:val="0"/>
        <w:autoSpaceDN w:val="0"/>
        <w:bidi w:val="0"/>
        <w:adjustRightInd w:val="0"/>
        <w:spacing w:before="36" w:line="360" w:lineRule="auto"/>
        <w:ind w:left="2601" w:firstLine="1440" w:firstLineChars="600"/>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地</w:t>
      </w:r>
      <w:r>
        <w:rPr>
          <w:rFonts w:hint="default"/>
          <w:color w:val="auto"/>
          <w:sz w:val="24"/>
          <w:szCs w:val="24"/>
          <w:highlight w:val="none"/>
          <w:lang w:val="en-US" w:eastAsia="zh-CN"/>
        </w:rPr>
        <w:t xml:space="preserve">    </w:t>
      </w:r>
      <w:r>
        <w:rPr>
          <w:rFonts w:hint="default"/>
          <w:color w:val="auto"/>
          <w:sz w:val="24"/>
          <w:szCs w:val="24"/>
          <w:highlight w:val="none"/>
        </w:rPr>
        <w:t>址：</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p>
    <w:p w14:paraId="4E17AE10">
      <w:pPr>
        <w:pStyle w:val="3"/>
        <w:keepNext w:val="0"/>
        <w:keepLines w:val="0"/>
        <w:pageBreakBefore w:val="0"/>
        <w:tabs>
          <w:tab w:val="left" w:pos="3232"/>
          <w:tab w:val="left" w:pos="8529"/>
        </w:tabs>
        <w:kinsoku w:val="0"/>
        <w:wordWrap/>
        <w:overflowPunct w:val="0"/>
        <w:topLinePunct w:val="0"/>
        <w:autoSpaceDE w:val="0"/>
        <w:autoSpaceDN w:val="0"/>
        <w:bidi w:val="0"/>
        <w:adjustRightInd w:val="0"/>
        <w:spacing w:before="36" w:line="360" w:lineRule="auto"/>
        <w:ind w:left="2601" w:firstLine="1440" w:firstLineChars="600"/>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网</w:t>
      </w:r>
      <w:r>
        <w:rPr>
          <w:rFonts w:hint="default"/>
          <w:color w:val="auto"/>
          <w:sz w:val="24"/>
          <w:szCs w:val="24"/>
          <w:highlight w:val="none"/>
          <w:lang w:val="en-US" w:eastAsia="zh-CN"/>
        </w:rPr>
        <w:t xml:space="preserve">    </w:t>
      </w:r>
      <w:r>
        <w:rPr>
          <w:rFonts w:hint="default"/>
          <w:color w:val="auto"/>
          <w:sz w:val="24"/>
          <w:szCs w:val="24"/>
          <w:highlight w:val="none"/>
        </w:rPr>
        <w:t>址：</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p>
    <w:p w14:paraId="19ECD6F1">
      <w:pPr>
        <w:pStyle w:val="3"/>
        <w:keepNext w:val="0"/>
        <w:keepLines w:val="0"/>
        <w:pageBreakBefore w:val="0"/>
        <w:tabs>
          <w:tab w:val="left" w:pos="3232"/>
          <w:tab w:val="left" w:pos="8529"/>
        </w:tabs>
        <w:kinsoku w:val="0"/>
        <w:wordWrap/>
        <w:overflowPunct w:val="0"/>
        <w:topLinePunct w:val="0"/>
        <w:autoSpaceDE w:val="0"/>
        <w:autoSpaceDN w:val="0"/>
        <w:bidi w:val="0"/>
        <w:adjustRightInd w:val="0"/>
        <w:spacing w:before="36" w:line="360" w:lineRule="auto"/>
        <w:ind w:left="2601" w:firstLine="1440" w:firstLineChars="600"/>
        <w:rPr>
          <w:rFonts w:hint="eastAsia" w:ascii="Times New Roman" w:hAnsi="Times New Roman" w:eastAsia="Times New Roman"/>
          <w:color w:val="auto"/>
          <w:sz w:val="24"/>
          <w:szCs w:val="24"/>
          <w:highlight w:val="none"/>
          <w:u w:val="single"/>
          <w:lang w:val="en-US" w:eastAsia="zh-CN"/>
        </w:rPr>
      </w:pPr>
      <w:r>
        <w:rPr>
          <w:rFonts w:hint="default"/>
          <w:color w:val="auto"/>
          <w:sz w:val="24"/>
          <w:szCs w:val="24"/>
          <w:highlight w:val="none"/>
        </w:rPr>
        <w:t>电</w:t>
      </w:r>
      <w:r>
        <w:rPr>
          <w:rFonts w:hint="default"/>
          <w:color w:val="auto"/>
          <w:sz w:val="24"/>
          <w:szCs w:val="24"/>
          <w:highlight w:val="none"/>
          <w:lang w:val="en-US" w:eastAsia="zh-CN"/>
        </w:rPr>
        <w:t xml:space="preserve">    </w:t>
      </w:r>
      <w:r>
        <w:rPr>
          <w:rFonts w:hint="default"/>
          <w:color w:val="auto"/>
          <w:sz w:val="24"/>
          <w:szCs w:val="24"/>
          <w:highlight w:val="none"/>
        </w:rPr>
        <w:t>话：</w:t>
      </w:r>
      <w:r>
        <w:rPr>
          <w:rFonts w:hint="default"/>
          <w:color w:val="auto"/>
          <w:sz w:val="24"/>
          <w:szCs w:val="24"/>
          <w:highlight w:val="none"/>
          <w:u w:val="single"/>
          <w:lang w:val="en-US" w:eastAsia="zh-CN"/>
        </w:rPr>
        <w:t xml:space="preserve">                          </w:t>
      </w:r>
    </w:p>
    <w:p w14:paraId="3AE7439B">
      <w:pPr>
        <w:pStyle w:val="3"/>
        <w:keepNext w:val="0"/>
        <w:keepLines w:val="0"/>
        <w:pageBreakBefore w:val="0"/>
        <w:tabs>
          <w:tab w:val="left" w:pos="3232"/>
          <w:tab w:val="left" w:pos="8529"/>
        </w:tabs>
        <w:kinsoku w:val="0"/>
        <w:wordWrap/>
        <w:overflowPunct w:val="0"/>
        <w:topLinePunct w:val="0"/>
        <w:autoSpaceDE w:val="0"/>
        <w:autoSpaceDN w:val="0"/>
        <w:bidi w:val="0"/>
        <w:adjustRightInd w:val="0"/>
        <w:spacing w:before="36" w:line="360" w:lineRule="auto"/>
        <w:ind w:left="2601" w:firstLine="1440" w:firstLineChars="600"/>
        <w:rPr>
          <w:rFonts w:hint="eastAsia" w:ascii="Times New Roman" w:hAnsi="Times New Roman" w:eastAsia="Times New Roman"/>
          <w:color w:val="auto"/>
          <w:sz w:val="24"/>
          <w:szCs w:val="24"/>
          <w:highlight w:val="none"/>
          <w:u w:val="single"/>
          <w:lang w:val="en-US" w:eastAsia="zh-CN"/>
        </w:rPr>
      </w:pPr>
      <w:r>
        <w:rPr>
          <w:rFonts w:hint="default"/>
          <w:color w:val="auto"/>
          <w:sz w:val="24"/>
          <w:szCs w:val="24"/>
          <w:highlight w:val="none"/>
        </w:rPr>
        <w:t>传</w:t>
      </w:r>
      <w:r>
        <w:rPr>
          <w:rFonts w:hint="default"/>
          <w:color w:val="auto"/>
          <w:sz w:val="24"/>
          <w:szCs w:val="24"/>
          <w:highlight w:val="none"/>
          <w:lang w:val="en-US" w:eastAsia="zh-CN"/>
        </w:rPr>
        <w:t xml:space="preserve">    </w:t>
      </w:r>
      <w:r>
        <w:rPr>
          <w:rFonts w:hint="default"/>
          <w:color w:val="auto"/>
          <w:sz w:val="24"/>
          <w:szCs w:val="24"/>
          <w:highlight w:val="none"/>
        </w:rPr>
        <w:t>真：</w:t>
      </w:r>
      <w:r>
        <w:rPr>
          <w:rFonts w:hint="default"/>
          <w:color w:val="auto"/>
          <w:sz w:val="24"/>
          <w:szCs w:val="24"/>
          <w:highlight w:val="none"/>
          <w:u w:val="single"/>
          <w:lang w:val="en-US" w:eastAsia="zh-CN"/>
        </w:rPr>
        <w:t xml:space="preserve">                          </w:t>
      </w:r>
    </w:p>
    <w:p w14:paraId="6CF9E33F">
      <w:pPr>
        <w:pStyle w:val="3"/>
        <w:keepNext w:val="0"/>
        <w:keepLines w:val="0"/>
        <w:pageBreakBefore w:val="0"/>
        <w:tabs>
          <w:tab w:val="left" w:pos="8529"/>
        </w:tabs>
        <w:kinsoku w:val="0"/>
        <w:wordWrap/>
        <w:overflowPunct w:val="0"/>
        <w:topLinePunct w:val="0"/>
        <w:autoSpaceDE w:val="0"/>
        <w:autoSpaceDN w:val="0"/>
        <w:bidi w:val="0"/>
        <w:adjustRightInd w:val="0"/>
        <w:spacing w:before="36" w:line="360" w:lineRule="auto"/>
        <w:ind w:left="2601" w:firstLine="1440" w:firstLineChars="600"/>
        <w:rPr>
          <w:rFonts w:hint="eastAsia" w:ascii="Times New Roman" w:hAnsi="Times New Roman" w:eastAsia="Times New Roman"/>
          <w:color w:val="auto"/>
          <w:sz w:val="24"/>
          <w:szCs w:val="24"/>
          <w:highlight w:val="none"/>
          <w:u w:val="single"/>
          <w:lang w:val="en-US" w:eastAsia="zh-CN"/>
        </w:rPr>
      </w:pPr>
      <w:r>
        <w:rPr>
          <w:rFonts w:hint="default"/>
          <w:color w:val="auto"/>
          <w:sz w:val="24"/>
          <w:szCs w:val="24"/>
          <w:highlight w:val="none"/>
        </w:rPr>
        <w:t>邮政编码：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p>
    <w:p w14:paraId="72C47CC4">
      <w:pPr>
        <w:pStyle w:val="3"/>
        <w:keepNext w:val="0"/>
        <w:keepLines w:val="0"/>
        <w:pageBreakBefore w:val="0"/>
        <w:tabs>
          <w:tab w:val="left" w:pos="8529"/>
        </w:tabs>
        <w:kinsoku w:val="0"/>
        <w:wordWrap/>
        <w:overflowPunct w:val="0"/>
        <w:topLinePunct w:val="0"/>
        <w:autoSpaceDE w:val="0"/>
        <w:autoSpaceDN w:val="0"/>
        <w:bidi w:val="0"/>
        <w:adjustRightInd w:val="0"/>
        <w:spacing w:before="36" w:line="360" w:lineRule="auto"/>
        <w:ind w:left="2601"/>
        <w:rPr>
          <w:rFonts w:hint="eastAsia" w:ascii="Times New Roman" w:hAnsi="Times New Roman" w:eastAsia="Times New Roman"/>
          <w:color w:val="auto"/>
          <w:sz w:val="24"/>
          <w:szCs w:val="24"/>
          <w:highlight w:val="none"/>
          <w:u w:val="single"/>
          <w:lang w:val="en-US" w:eastAsia="zh-CN"/>
        </w:rPr>
      </w:pPr>
      <w:r>
        <w:rPr>
          <w:rFonts w:hint="default" w:hAnsi="Times New Roman"/>
          <w:color w:val="auto"/>
          <w:sz w:val="24"/>
          <w:szCs w:val="24"/>
          <w:highlight w:val="none"/>
          <w:lang w:val="en-US" w:eastAsia="zh-CN"/>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年</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月</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日</w:t>
      </w:r>
    </w:p>
    <w:p w14:paraId="56EA1FC9">
      <w:pPr>
        <w:pStyle w:val="3"/>
        <w:keepNext w:val="0"/>
        <w:keepLines w:val="0"/>
        <w:pageBreakBefore w:val="0"/>
        <w:tabs>
          <w:tab w:val="left" w:pos="631"/>
          <w:tab w:val="left" w:pos="1471"/>
          <w:tab w:val="left" w:pos="2311"/>
        </w:tabs>
        <w:kinsoku w:val="0"/>
        <w:wordWrap/>
        <w:overflowPunct w:val="0"/>
        <w:topLinePunct w:val="0"/>
        <w:autoSpaceDE w:val="0"/>
        <w:autoSpaceDN w:val="0"/>
        <w:bidi w:val="0"/>
        <w:adjustRightInd w:val="0"/>
        <w:spacing w:before="36" w:line="360" w:lineRule="auto"/>
        <w:ind w:left="0" w:right="117"/>
        <w:jc w:val="right"/>
        <w:rPr>
          <w:rFonts w:hint="default"/>
          <w:color w:val="auto"/>
          <w:sz w:val="21"/>
          <w:szCs w:val="24"/>
          <w:highlight w:val="none"/>
        </w:rPr>
      </w:pPr>
    </w:p>
    <w:p w14:paraId="7BC847C8">
      <w:pPr>
        <w:rPr>
          <w:rFonts w:hint="default"/>
          <w:color w:val="auto"/>
          <w:sz w:val="21"/>
          <w:szCs w:val="24"/>
          <w:highlight w:val="none"/>
        </w:rPr>
      </w:pPr>
      <w:r>
        <w:rPr>
          <w:rFonts w:hint="default"/>
          <w:color w:val="auto"/>
          <w:sz w:val="21"/>
          <w:szCs w:val="24"/>
          <w:highlight w:val="none"/>
        </w:rPr>
        <w:br w:type="page"/>
      </w:r>
    </w:p>
    <w:p w14:paraId="0F96E404">
      <w:pPr>
        <w:pStyle w:val="3"/>
        <w:rPr>
          <w:rFonts w:hint="default"/>
          <w:highlight w:val="none"/>
        </w:rPr>
      </w:pPr>
    </w:p>
    <w:p w14:paraId="6A362914">
      <w:pPr>
        <w:numPr>
          <w:ilvl w:val="0"/>
          <w:numId w:val="1"/>
        </w:numPr>
        <w:rPr>
          <w:rFonts w:hint="default"/>
          <w:b/>
          <w:color w:val="auto"/>
          <w:sz w:val="28"/>
          <w:szCs w:val="24"/>
          <w:highlight w:val="none"/>
        </w:rPr>
      </w:pPr>
      <w:bookmarkStart w:id="169" w:name="bookmark178"/>
      <w:bookmarkEnd w:id="169"/>
      <w:r>
        <w:rPr>
          <w:rFonts w:hint="default"/>
          <w:b/>
          <w:color w:val="auto"/>
          <w:sz w:val="28"/>
          <w:szCs w:val="24"/>
          <w:highlight w:val="none"/>
        </w:rPr>
        <w:t>投标函附录</w:t>
      </w:r>
    </w:p>
    <w:p w14:paraId="0A22C3D2">
      <w:pPr>
        <w:pStyle w:val="3"/>
        <w:widowControl w:val="0"/>
        <w:numPr>
          <w:ilvl w:val="0"/>
          <w:numId w:val="0"/>
        </w:numPr>
        <w:autoSpaceDE w:val="0"/>
        <w:autoSpaceDN w:val="0"/>
        <w:adjustRightInd w:val="0"/>
        <w:rPr>
          <w:rFonts w:hint="default"/>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1498"/>
        <w:gridCol w:w="3680"/>
        <w:gridCol w:w="2029"/>
        <w:gridCol w:w="984"/>
      </w:tblGrid>
      <w:tr w14:paraId="72D1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04A68F21">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498" w:type="dxa"/>
            <w:tcBorders>
              <w:top w:val="single" w:color="auto" w:sz="4" w:space="0"/>
              <w:left w:val="nil"/>
              <w:bottom w:val="single" w:color="auto" w:sz="4" w:space="0"/>
              <w:right w:val="single" w:color="auto" w:sz="4" w:space="0"/>
            </w:tcBorders>
            <w:noWrap w:val="0"/>
            <w:vAlign w:val="center"/>
          </w:tcPr>
          <w:p w14:paraId="4E33EF80">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条款名称</w:t>
            </w:r>
          </w:p>
        </w:tc>
        <w:tc>
          <w:tcPr>
            <w:tcW w:w="5709" w:type="dxa"/>
            <w:gridSpan w:val="2"/>
            <w:tcBorders>
              <w:top w:val="single" w:color="auto" w:sz="4" w:space="0"/>
              <w:left w:val="nil"/>
              <w:bottom w:val="single" w:color="auto" w:sz="4" w:space="0"/>
              <w:right w:val="single" w:color="auto" w:sz="4" w:space="0"/>
            </w:tcBorders>
            <w:noWrap w:val="0"/>
            <w:vAlign w:val="center"/>
          </w:tcPr>
          <w:p w14:paraId="47DAF1A6">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约定内容</w:t>
            </w:r>
          </w:p>
        </w:tc>
        <w:tc>
          <w:tcPr>
            <w:tcW w:w="984" w:type="dxa"/>
            <w:tcBorders>
              <w:top w:val="single" w:color="auto" w:sz="4" w:space="0"/>
              <w:left w:val="nil"/>
              <w:bottom w:val="single" w:color="auto" w:sz="4" w:space="0"/>
              <w:right w:val="single" w:color="auto" w:sz="4" w:space="0"/>
            </w:tcBorders>
            <w:noWrap w:val="0"/>
            <w:vAlign w:val="center"/>
          </w:tcPr>
          <w:p w14:paraId="215CE32A">
            <w:pPr>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备注</w:t>
            </w:r>
          </w:p>
        </w:tc>
      </w:tr>
      <w:tr w14:paraId="40C49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63CF4F7">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498" w:type="dxa"/>
            <w:tcBorders>
              <w:top w:val="single" w:color="auto" w:sz="4" w:space="0"/>
              <w:left w:val="nil"/>
              <w:bottom w:val="single" w:color="auto" w:sz="4" w:space="0"/>
              <w:right w:val="single" w:color="auto" w:sz="4" w:space="0"/>
            </w:tcBorders>
            <w:noWrap w:val="0"/>
            <w:vAlign w:val="center"/>
          </w:tcPr>
          <w:p w14:paraId="5F24EA78">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总监理工程师</w:t>
            </w:r>
          </w:p>
        </w:tc>
        <w:tc>
          <w:tcPr>
            <w:tcW w:w="5709" w:type="dxa"/>
            <w:gridSpan w:val="2"/>
            <w:tcBorders>
              <w:top w:val="single" w:color="auto" w:sz="4" w:space="0"/>
              <w:left w:val="nil"/>
              <w:bottom w:val="single" w:color="auto" w:sz="4" w:space="0"/>
              <w:right w:val="single" w:color="auto" w:sz="4" w:space="0"/>
            </w:tcBorders>
            <w:noWrap w:val="0"/>
            <w:vAlign w:val="center"/>
          </w:tcPr>
          <w:p w14:paraId="15F4919B">
            <w:pPr>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姓</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名：</w:t>
            </w:r>
            <w:r>
              <w:rPr>
                <w:rFonts w:hint="eastAsia" w:ascii="宋体" w:hAnsi="宋体" w:eastAsia="宋体" w:cs="宋体"/>
                <w:color w:val="auto"/>
                <w:sz w:val="24"/>
                <w:highlight w:val="none"/>
                <w:u w:val="single"/>
              </w:rPr>
              <w:t xml:space="preserve">           </w:t>
            </w:r>
          </w:p>
          <w:p w14:paraId="593E071F">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技术职称：</w:t>
            </w:r>
            <w:r>
              <w:rPr>
                <w:rFonts w:hint="eastAsia" w:ascii="宋体" w:hAnsi="宋体" w:eastAsia="宋体" w:cs="宋体"/>
                <w:color w:val="auto"/>
                <w:sz w:val="24"/>
                <w:highlight w:val="none"/>
                <w:u w:val="single"/>
              </w:rPr>
              <w:t xml:space="preserve">           </w:t>
            </w:r>
          </w:p>
          <w:p w14:paraId="7A37D63E">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证</w:t>
            </w:r>
            <w:r>
              <w:rPr>
                <w:rFonts w:hint="eastAsia" w:ascii="宋体" w:hAnsi="宋体" w:cs="宋体"/>
                <w:color w:val="auto"/>
                <w:sz w:val="24"/>
                <w:highlight w:val="none"/>
                <w:lang w:val="en-US" w:eastAsia="zh-CN"/>
              </w:rPr>
              <w:t>书</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u w:val="single"/>
              </w:rPr>
              <w:t xml:space="preserve">           </w:t>
            </w:r>
          </w:p>
        </w:tc>
        <w:tc>
          <w:tcPr>
            <w:tcW w:w="984" w:type="dxa"/>
            <w:tcBorders>
              <w:top w:val="single" w:color="auto" w:sz="4" w:space="0"/>
              <w:left w:val="nil"/>
              <w:bottom w:val="single" w:color="auto" w:sz="4" w:space="0"/>
              <w:right w:val="single" w:color="auto" w:sz="4" w:space="0"/>
            </w:tcBorders>
            <w:noWrap w:val="0"/>
            <w:vAlign w:val="center"/>
          </w:tcPr>
          <w:p w14:paraId="0DED015E">
            <w:pPr>
              <w:jc w:val="center"/>
              <w:rPr>
                <w:rFonts w:hint="eastAsia" w:ascii="宋体" w:hAnsi="宋体" w:eastAsia="宋体" w:cs="宋体"/>
                <w:b/>
                <w:bCs/>
                <w:color w:val="auto"/>
                <w:highlight w:val="none"/>
              </w:rPr>
            </w:pPr>
          </w:p>
        </w:tc>
      </w:tr>
      <w:tr w14:paraId="157A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0B8F72B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498" w:type="dxa"/>
            <w:tcBorders>
              <w:top w:val="single" w:color="auto" w:sz="4" w:space="0"/>
              <w:left w:val="nil"/>
              <w:bottom w:val="single" w:color="auto" w:sz="4" w:space="0"/>
              <w:right w:val="single" w:color="auto" w:sz="4" w:space="0"/>
            </w:tcBorders>
            <w:noWrap w:val="0"/>
            <w:vAlign w:val="center"/>
          </w:tcPr>
          <w:p w14:paraId="69475F44">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工程监理服务期限</w:t>
            </w:r>
          </w:p>
        </w:tc>
        <w:tc>
          <w:tcPr>
            <w:tcW w:w="5709" w:type="dxa"/>
            <w:gridSpan w:val="2"/>
            <w:tcBorders>
              <w:top w:val="single" w:color="auto" w:sz="4" w:space="0"/>
              <w:left w:val="nil"/>
              <w:bottom w:val="single" w:color="auto" w:sz="4" w:space="0"/>
              <w:right w:val="single" w:color="auto" w:sz="4" w:space="0"/>
            </w:tcBorders>
            <w:noWrap w:val="0"/>
            <w:vAlign w:val="center"/>
          </w:tcPr>
          <w:p w14:paraId="6EFD0EE5">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c>
          <w:tcPr>
            <w:tcW w:w="984" w:type="dxa"/>
            <w:tcBorders>
              <w:top w:val="single" w:color="auto" w:sz="4" w:space="0"/>
              <w:left w:val="nil"/>
              <w:bottom w:val="single" w:color="auto" w:sz="4" w:space="0"/>
              <w:right w:val="single" w:color="auto" w:sz="4" w:space="0"/>
            </w:tcBorders>
            <w:noWrap w:val="0"/>
            <w:vAlign w:val="center"/>
          </w:tcPr>
          <w:p w14:paraId="43CBF944">
            <w:pPr>
              <w:jc w:val="center"/>
              <w:rPr>
                <w:rFonts w:hint="eastAsia" w:ascii="宋体" w:hAnsi="宋体" w:eastAsia="宋体" w:cs="宋体"/>
                <w:b/>
                <w:bCs/>
                <w:color w:val="auto"/>
                <w:highlight w:val="none"/>
              </w:rPr>
            </w:pPr>
          </w:p>
        </w:tc>
      </w:tr>
      <w:tr w14:paraId="7B78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76E05001">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w:t>
            </w:r>
          </w:p>
        </w:tc>
        <w:tc>
          <w:tcPr>
            <w:tcW w:w="1498" w:type="dxa"/>
            <w:tcBorders>
              <w:top w:val="single" w:color="auto" w:sz="4" w:space="0"/>
              <w:left w:val="nil"/>
              <w:bottom w:val="single" w:color="auto" w:sz="4" w:space="0"/>
              <w:right w:val="single" w:color="auto" w:sz="4" w:space="0"/>
            </w:tcBorders>
            <w:noWrap w:val="0"/>
            <w:vAlign w:val="center"/>
          </w:tcPr>
          <w:p w14:paraId="25713C1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投标内容</w:t>
            </w:r>
          </w:p>
        </w:tc>
        <w:tc>
          <w:tcPr>
            <w:tcW w:w="5709" w:type="dxa"/>
            <w:gridSpan w:val="2"/>
            <w:tcBorders>
              <w:top w:val="single" w:color="auto" w:sz="4" w:space="0"/>
              <w:left w:val="nil"/>
              <w:bottom w:val="single" w:color="auto" w:sz="4" w:space="0"/>
              <w:right w:val="single" w:color="auto" w:sz="4" w:space="0"/>
            </w:tcBorders>
            <w:noWrap w:val="0"/>
            <w:vAlign w:val="center"/>
          </w:tcPr>
          <w:p w14:paraId="362E13D8">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c>
          <w:tcPr>
            <w:tcW w:w="984" w:type="dxa"/>
            <w:tcBorders>
              <w:top w:val="single" w:color="auto" w:sz="4" w:space="0"/>
              <w:left w:val="nil"/>
              <w:bottom w:val="single" w:color="auto" w:sz="4" w:space="0"/>
              <w:right w:val="single" w:color="auto" w:sz="4" w:space="0"/>
            </w:tcBorders>
            <w:noWrap w:val="0"/>
            <w:vAlign w:val="center"/>
          </w:tcPr>
          <w:p w14:paraId="25B44471">
            <w:pPr>
              <w:jc w:val="center"/>
              <w:rPr>
                <w:rFonts w:hint="eastAsia" w:ascii="宋体" w:hAnsi="宋体" w:eastAsia="宋体" w:cs="宋体"/>
                <w:b/>
                <w:bCs/>
                <w:color w:val="auto"/>
                <w:highlight w:val="none"/>
              </w:rPr>
            </w:pPr>
          </w:p>
        </w:tc>
      </w:tr>
      <w:tr w14:paraId="572A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5228DB40">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p>
        </w:tc>
        <w:tc>
          <w:tcPr>
            <w:tcW w:w="1498" w:type="dxa"/>
            <w:tcBorders>
              <w:top w:val="single" w:color="auto" w:sz="4" w:space="0"/>
              <w:left w:val="nil"/>
              <w:bottom w:val="single" w:color="auto" w:sz="4" w:space="0"/>
              <w:right w:val="single" w:color="auto" w:sz="4" w:space="0"/>
            </w:tcBorders>
            <w:noWrap w:val="0"/>
            <w:vAlign w:val="center"/>
          </w:tcPr>
          <w:p w14:paraId="1B1310E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合同价款确定方式</w:t>
            </w:r>
          </w:p>
        </w:tc>
        <w:tc>
          <w:tcPr>
            <w:tcW w:w="5709" w:type="dxa"/>
            <w:gridSpan w:val="2"/>
            <w:tcBorders>
              <w:top w:val="single" w:color="auto" w:sz="4" w:space="0"/>
              <w:left w:val="nil"/>
              <w:bottom w:val="single" w:color="auto" w:sz="4" w:space="0"/>
              <w:right w:val="single" w:color="auto" w:sz="4" w:space="0"/>
            </w:tcBorders>
            <w:noWrap w:val="0"/>
            <w:vAlign w:val="center"/>
          </w:tcPr>
          <w:p w14:paraId="16A88534">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c>
          <w:tcPr>
            <w:tcW w:w="984" w:type="dxa"/>
            <w:tcBorders>
              <w:top w:val="single" w:color="auto" w:sz="4" w:space="0"/>
              <w:left w:val="nil"/>
              <w:bottom w:val="single" w:color="auto" w:sz="4" w:space="0"/>
              <w:right w:val="single" w:color="auto" w:sz="4" w:space="0"/>
            </w:tcBorders>
            <w:noWrap w:val="0"/>
            <w:vAlign w:val="center"/>
          </w:tcPr>
          <w:p w14:paraId="5149BB0C">
            <w:pPr>
              <w:jc w:val="center"/>
              <w:rPr>
                <w:rFonts w:hint="eastAsia" w:ascii="宋体" w:hAnsi="宋体" w:eastAsia="宋体" w:cs="宋体"/>
                <w:b/>
                <w:bCs/>
                <w:color w:val="auto"/>
                <w:highlight w:val="none"/>
              </w:rPr>
            </w:pPr>
          </w:p>
        </w:tc>
      </w:tr>
      <w:tr w14:paraId="35CE1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0C472BC7">
            <w:pPr>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498" w:type="dxa"/>
            <w:tcBorders>
              <w:top w:val="single" w:color="auto" w:sz="4" w:space="0"/>
              <w:left w:val="nil"/>
              <w:bottom w:val="single" w:color="auto" w:sz="4" w:space="0"/>
              <w:right w:val="single" w:color="auto" w:sz="4" w:space="0"/>
            </w:tcBorders>
            <w:noWrap w:val="0"/>
            <w:vAlign w:val="center"/>
          </w:tcPr>
          <w:p w14:paraId="64413D6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质量标准</w:t>
            </w:r>
          </w:p>
        </w:tc>
        <w:tc>
          <w:tcPr>
            <w:tcW w:w="5709" w:type="dxa"/>
            <w:gridSpan w:val="2"/>
            <w:tcBorders>
              <w:top w:val="single" w:color="auto" w:sz="4" w:space="0"/>
              <w:left w:val="nil"/>
              <w:bottom w:val="single" w:color="auto" w:sz="4" w:space="0"/>
              <w:right w:val="single" w:color="auto" w:sz="4" w:space="0"/>
            </w:tcBorders>
            <w:noWrap w:val="0"/>
            <w:vAlign w:val="center"/>
          </w:tcPr>
          <w:p w14:paraId="0A6BAD1A">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c>
          <w:tcPr>
            <w:tcW w:w="984" w:type="dxa"/>
            <w:tcBorders>
              <w:top w:val="single" w:color="auto" w:sz="4" w:space="0"/>
              <w:left w:val="nil"/>
              <w:bottom w:val="single" w:color="auto" w:sz="4" w:space="0"/>
              <w:right w:val="single" w:color="auto" w:sz="4" w:space="0"/>
            </w:tcBorders>
            <w:noWrap w:val="0"/>
            <w:vAlign w:val="center"/>
          </w:tcPr>
          <w:p w14:paraId="207DC406">
            <w:pPr>
              <w:jc w:val="center"/>
              <w:rPr>
                <w:rFonts w:hint="eastAsia" w:ascii="宋体" w:hAnsi="宋体" w:eastAsia="宋体" w:cs="宋体"/>
                <w:b/>
                <w:bCs/>
                <w:color w:val="auto"/>
                <w:highlight w:val="none"/>
              </w:rPr>
            </w:pPr>
          </w:p>
        </w:tc>
      </w:tr>
      <w:tr w14:paraId="6C5B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2159" w:type="dxa"/>
            <w:gridSpan w:val="2"/>
            <w:vMerge w:val="restart"/>
            <w:tcBorders>
              <w:top w:val="single" w:color="auto" w:sz="4" w:space="0"/>
              <w:left w:val="single" w:color="auto" w:sz="4" w:space="0"/>
              <w:right w:val="single" w:color="auto" w:sz="4" w:space="0"/>
            </w:tcBorders>
            <w:noWrap w:val="0"/>
            <w:vAlign w:val="center"/>
          </w:tcPr>
          <w:p w14:paraId="1B57FADF">
            <w:pPr>
              <w:keepNext w:val="0"/>
              <w:keepLines w:val="0"/>
              <w:pageBreakBefore w:val="0"/>
              <w:widowControl w:val="0"/>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监理服务费报价</w:t>
            </w:r>
          </w:p>
          <w:p w14:paraId="50073898">
            <w:pPr>
              <w:pStyle w:val="2"/>
              <w:keepNext w:val="0"/>
              <w:keepLines w:val="0"/>
              <w:pageBreakBefore w:val="0"/>
              <w:widowControl w:val="0"/>
              <w:kinsoku/>
              <w:wordWrap/>
              <w:overflowPunct/>
              <w:topLinePunct w:val="0"/>
              <w:autoSpaceDE/>
              <w:autoSpaceDN/>
              <w:bidi w:val="0"/>
              <w:spacing w:after="0" w:line="240" w:lineRule="auto"/>
              <w:ind w:firstLine="0"/>
              <w:jc w:val="center"/>
              <w:textAlignment w:val="auto"/>
              <w:rPr>
                <w:rFonts w:hint="eastAsia" w:ascii="宋体" w:hAnsi="宋体" w:eastAsia="宋体" w:cs="宋体"/>
                <w:color w:val="auto"/>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3680" w:type="dxa"/>
            <w:tcBorders>
              <w:top w:val="single" w:color="auto" w:sz="4" w:space="0"/>
              <w:left w:val="nil"/>
              <w:bottom w:val="single" w:color="auto" w:sz="4" w:space="0"/>
              <w:right w:val="single" w:color="auto" w:sz="4" w:space="0"/>
            </w:tcBorders>
            <w:noWrap w:val="0"/>
            <w:vAlign w:val="center"/>
          </w:tcPr>
          <w:p w14:paraId="0F909EE2">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投标下浮率</w:t>
            </w:r>
          </w:p>
          <w:p w14:paraId="17C96AF9">
            <w:pPr>
              <w:keepNext w:val="0"/>
              <w:keepLines w:val="0"/>
              <w:pageBreakBefore w:val="0"/>
              <w:widowControl w:val="0"/>
              <w:kinsoku/>
              <w:wordWrap/>
              <w:overflowPunct/>
              <w:topLinePunct w:val="0"/>
              <w:autoSpaceDE/>
              <w:autoSpaceDN/>
              <w:bidi w:val="0"/>
              <w:spacing w:line="240" w:lineRule="auto"/>
              <w:ind w:firstLine="0"/>
              <w:jc w:val="center"/>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zh-CN"/>
              </w:rPr>
              <w:t>（填正数）</w:t>
            </w:r>
          </w:p>
        </w:tc>
        <w:tc>
          <w:tcPr>
            <w:tcW w:w="3013" w:type="dxa"/>
            <w:gridSpan w:val="2"/>
            <w:tcBorders>
              <w:top w:val="single" w:color="auto" w:sz="4" w:space="0"/>
              <w:left w:val="nil"/>
              <w:bottom w:val="single" w:color="auto" w:sz="4" w:space="0"/>
              <w:right w:val="single" w:color="auto" w:sz="4" w:space="0"/>
            </w:tcBorders>
            <w:noWrap w:val="0"/>
            <w:vAlign w:val="center"/>
          </w:tcPr>
          <w:p w14:paraId="3C6717DC">
            <w:pPr>
              <w:keepNext w:val="0"/>
              <w:keepLines w:val="0"/>
              <w:pageBreakBefore w:val="0"/>
              <w:widowControl w:val="0"/>
              <w:kinsoku/>
              <w:wordWrap/>
              <w:overflowPunct/>
              <w:topLinePunct w:val="0"/>
              <w:autoSpaceDE/>
              <w:autoSpaceDN/>
              <w:bidi w:val="0"/>
              <w:spacing w:line="240" w:lineRule="auto"/>
              <w:ind w:firstLine="0"/>
              <w:jc w:val="center"/>
              <w:textAlignment w:val="auto"/>
              <w:rPr>
                <w:rFonts w:hint="eastAsia" w:ascii="宋体" w:hAnsi="宋体" w:eastAsia="宋体" w:cs="宋体"/>
                <w:b/>
                <w:bCs/>
                <w:color w:val="auto"/>
                <w:sz w:val="24"/>
                <w:highlight w:val="none"/>
                <w:u w:val="single"/>
              </w:rPr>
            </w:pPr>
            <w:r>
              <w:rPr>
                <w:rFonts w:hint="eastAsia" w:ascii="宋体" w:hAnsi="宋体" w:eastAsia="宋体" w:cs="宋体"/>
                <w:b/>
                <w:bCs/>
                <w:color w:val="auto"/>
                <w:sz w:val="24"/>
                <w:highlight w:val="none"/>
                <w:u w:val="single"/>
              </w:rPr>
              <w:t>%</w:t>
            </w:r>
          </w:p>
        </w:tc>
      </w:tr>
      <w:tr w14:paraId="05EB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2159" w:type="dxa"/>
            <w:gridSpan w:val="2"/>
            <w:vMerge w:val="continue"/>
            <w:tcBorders>
              <w:left w:val="single" w:color="auto" w:sz="4" w:space="0"/>
              <w:right w:val="single" w:color="auto" w:sz="4" w:space="0"/>
            </w:tcBorders>
            <w:noWrap w:val="0"/>
            <w:vAlign w:val="center"/>
          </w:tcPr>
          <w:p w14:paraId="24DEE2FF">
            <w:pPr>
              <w:keepNext w:val="0"/>
              <w:keepLines w:val="0"/>
              <w:pageBreakBefore w:val="0"/>
              <w:widowControl w:val="0"/>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highlight w:val="none"/>
              </w:rPr>
            </w:pPr>
          </w:p>
        </w:tc>
        <w:tc>
          <w:tcPr>
            <w:tcW w:w="3680" w:type="dxa"/>
            <w:tcBorders>
              <w:top w:val="single" w:color="auto" w:sz="4" w:space="0"/>
              <w:left w:val="nil"/>
              <w:bottom w:val="single" w:color="auto" w:sz="4" w:space="0"/>
              <w:right w:val="single" w:color="auto" w:sz="4" w:space="0"/>
            </w:tcBorders>
            <w:noWrap w:val="0"/>
            <w:vAlign w:val="center"/>
          </w:tcPr>
          <w:p w14:paraId="6D898ADE">
            <w:pPr>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投标总报价</w:t>
            </w:r>
          </w:p>
          <w:p w14:paraId="6F6CEA42">
            <w:pPr>
              <w:keepNext w:val="0"/>
              <w:keepLines w:val="0"/>
              <w:pageBreakBefore w:val="0"/>
              <w:widowControl w:val="0"/>
              <w:kinsoku/>
              <w:wordWrap/>
              <w:overflowPunct/>
              <w:topLinePunct w:val="0"/>
              <w:autoSpaceDE/>
              <w:autoSpaceDN/>
              <w:bidi w:val="0"/>
              <w:spacing w:line="240" w:lineRule="auto"/>
              <w:ind w:firstLine="0"/>
              <w:jc w:val="center"/>
              <w:textAlignment w:val="auto"/>
              <w:rPr>
                <w:rFonts w:hint="eastAsia" w:ascii="宋体" w:hAnsi="宋体" w:eastAsia="宋体" w:cs="宋体"/>
                <w:color w:val="auto"/>
                <w:sz w:val="24"/>
                <w:highlight w:val="none"/>
                <w:lang w:val="zh-CN"/>
              </w:rPr>
            </w:pPr>
            <w:r>
              <w:rPr>
                <w:rFonts w:hint="eastAsia" w:ascii="宋体" w:hAnsi="宋体" w:eastAsia="宋体" w:cs="宋体"/>
                <w:b/>
                <w:bCs/>
                <w:color w:val="auto"/>
                <w:sz w:val="24"/>
                <w:highlight w:val="none"/>
                <w:lang w:val="zh-CN"/>
              </w:rPr>
              <w:t>（保留2位小数）</w:t>
            </w:r>
          </w:p>
        </w:tc>
        <w:tc>
          <w:tcPr>
            <w:tcW w:w="3013" w:type="dxa"/>
            <w:gridSpan w:val="2"/>
            <w:tcBorders>
              <w:top w:val="single" w:color="auto" w:sz="4" w:space="0"/>
              <w:left w:val="nil"/>
              <w:bottom w:val="single" w:color="auto" w:sz="4" w:space="0"/>
              <w:right w:val="single" w:color="auto" w:sz="4" w:space="0"/>
            </w:tcBorders>
            <w:noWrap w:val="0"/>
            <w:vAlign w:val="center"/>
          </w:tcPr>
          <w:p w14:paraId="318509C9">
            <w:pPr>
              <w:keepNext w:val="0"/>
              <w:keepLines w:val="0"/>
              <w:pageBreakBefore w:val="0"/>
              <w:widowControl w:val="0"/>
              <w:kinsoku/>
              <w:wordWrap/>
              <w:overflowPunct/>
              <w:topLinePunct w:val="0"/>
              <w:autoSpaceDE/>
              <w:autoSpaceDN/>
              <w:bidi w:val="0"/>
              <w:spacing w:line="240" w:lineRule="auto"/>
              <w:ind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p>
          <w:p w14:paraId="116CD2B1">
            <w:pPr>
              <w:keepNext w:val="0"/>
              <w:keepLines w:val="0"/>
              <w:pageBreakBefore w:val="0"/>
              <w:widowControl w:val="0"/>
              <w:kinsoku/>
              <w:wordWrap/>
              <w:overflowPunct/>
              <w:topLinePunct w:val="0"/>
              <w:autoSpaceDE/>
              <w:autoSpaceDN/>
              <w:bidi w:val="0"/>
              <w:spacing w:line="240" w:lineRule="auto"/>
              <w:ind w:firstLine="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小写：</w:t>
            </w:r>
          </w:p>
        </w:tc>
      </w:tr>
      <w:tr w14:paraId="701A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61" w:type="dxa"/>
            <w:tcBorders>
              <w:top w:val="single" w:color="auto" w:sz="4" w:space="0"/>
              <w:left w:val="single" w:color="auto" w:sz="4" w:space="0"/>
              <w:bottom w:val="single" w:color="auto" w:sz="4" w:space="0"/>
              <w:right w:val="single" w:color="auto" w:sz="4" w:space="0"/>
            </w:tcBorders>
            <w:noWrap w:val="0"/>
            <w:vAlign w:val="center"/>
          </w:tcPr>
          <w:p w14:paraId="0006BAB4">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1498" w:type="dxa"/>
            <w:tcBorders>
              <w:top w:val="single" w:color="auto" w:sz="4" w:space="0"/>
              <w:left w:val="nil"/>
              <w:bottom w:val="single" w:color="auto" w:sz="4" w:space="0"/>
              <w:right w:val="single" w:color="auto" w:sz="4" w:space="0"/>
            </w:tcBorders>
            <w:noWrap w:val="0"/>
            <w:vAlign w:val="center"/>
          </w:tcPr>
          <w:p w14:paraId="0E58AE02">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w:t>
            </w:r>
          </w:p>
        </w:tc>
        <w:tc>
          <w:tcPr>
            <w:tcW w:w="5709" w:type="dxa"/>
            <w:gridSpan w:val="2"/>
            <w:tcBorders>
              <w:top w:val="single" w:color="auto" w:sz="4" w:space="0"/>
              <w:left w:val="nil"/>
              <w:bottom w:val="single" w:color="auto" w:sz="4" w:space="0"/>
              <w:right w:val="single" w:color="auto" w:sz="4" w:space="0"/>
            </w:tcBorders>
            <w:noWrap w:val="0"/>
            <w:vAlign w:val="center"/>
          </w:tcPr>
          <w:p w14:paraId="15BABDA6">
            <w:pPr>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按招标文件要求</w:t>
            </w:r>
          </w:p>
        </w:tc>
        <w:tc>
          <w:tcPr>
            <w:tcW w:w="984" w:type="dxa"/>
            <w:tcBorders>
              <w:top w:val="single" w:color="auto" w:sz="4" w:space="0"/>
              <w:left w:val="nil"/>
              <w:bottom w:val="single" w:color="auto" w:sz="4" w:space="0"/>
              <w:right w:val="single" w:color="auto" w:sz="4" w:space="0"/>
            </w:tcBorders>
            <w:noWrap w:val="0"/>
            <w:vAlign w:val="center"/>
          </w:tcPr>
          <w:p w14:paraId="2E776008">
            <w:pPr>
              <w:jc w:val="center"/>
              <w:rPr>
                <w:rFonts w:hint="eastAsia" w:ascii="宋体" w:hAnsi="宋体" w:eastAsia="宋体" w:cs="宋体"/>
                <w:b/>
                <w:bCs/>
                <w:color w:val="auto"/>
                <w:highlight w:val="none"/>
              </w:rPr>
            </w:pPr>
          </w:p>
        </w:tc>
      </w:tr>
    </w:tbl>
    <w:p w14:paraId="2467E59B">
      <w:pPr>
        <w:autoSpaceDE/>
        <w:autoSpaceDN/>
        <w:adjustRightInd/>
        <w:spacing w:line="440" w:lineRule="exact"/>
        <w:ind w:firstLine="480" w:firstLineChars="200"/>
        <w:rPr>
          <w:rFonts w:hint="eastAsia" w:asciiTheme="majorEastAsia" w:hAnsiTheme="majorEastAsia" w:eastAsiaTheme="majorEastAsia" w:cstheme="majorEastAsia"/>
          <w:kern w:val="2"/>
          <w:sz w:val="24"/>
          <w:szCs w:val="24"/>
          <w:highlight w:val="none"/>
        </w:rPr>
      </w:pPr>
      <w:r>
        <w:rPr>
          <w:rFonts w:hint="eastAsia" w:asciiTheme="majorEastAsia" w:hAnsiTheme="majorEastAsia" w:eastAsiaTheme="majorEastAsia" w:cstheme="majorEastAsia"/>
          <w:kern w:val="2"/>
          <w:sz w:val="24"/>
          <w:szCs w:val="24"/>
          <w:highlight w:val="none"/>
          <w:lang w:bidi="ar"/>
        </w:rPr>
        <w:t>注：1.投标人根据企业自身情况进行报价，</w:t>
      </w:r>
      <w:r>
        <w:rPr>
          <w:rFonts w:hint="eastAsia" w:asciiTheme="majorEastAsia" w:hAnsiTheme="majorEastAsia" w:eastAsiaTheme="majorEastAsia" w:cstheme="majorEastAsia"/>
          <w:bCs/>
          <w:kern w:val="2"/>
          <w:sz w:val="24"/>
          <w:szCs w:val="24"/>
          <w:highlight w:val="none"/>
          <w:lang w:bidi="ar"/>
        </w:rPr>
        <w:t>投标报价不得超过最高投标限价。</w:t>
      </w:r>
      <w:r>
        <w:rPr>
          <w:rFonts w:hint="eastAsia" w:asciiTheme="majorEastAsia" w:hAnsiTheme="majorEastAsia" w:eastAsiaTheme="majorEastAsia" w:cstheme="majorEastAsia"/>
          <w:kern w:val="2"/>
          <w:sz w:val="24"/>
          <w:szCs w:val="24"/>
          <w:highlight w:val="none"/>
          <w:lang w:bidi="ar"/>
        </w:rPr>
        <w:t>小数点后保留两位小数，第三位小数四舍五入。</w:t>
      </w:r>
    </w:p>
    <w:p w14:paraId="4B3322CF">
      <w:pPr>
        <w:pStyle w:val="3"/>
        <w:kinsoku w:val="0"/>
        <w:overflowPunct w:val="0"/>
        <w:ind w:left="0"/>
        <w:rPr>
          <w:rFonts w:hint="eastAsia" w:ascii="仿宋" w:hAnsi="仿宋" w:eastAsia="仿宋" w:cs="仿宋"/>
          <w:sz w:val="20"/>
          <w:highlight w:val="none"/>
        </w:rPr>
      </w:pPr>
    </w:p>
    <w:p w14:paraId="4203FC93">
      <w:pPr>
        <w:pStyle w:val="3"/>
        <w:kinsoku w:val="0"/>
        <w:overflowPunct w:val="0"/>
        <w:ind w:left="0"/>
        <w:rPr>
          <w:rFonts w:hint="eastAsia" w:ascii="仿宋" w:hAnsi="仿宋" w:eastAsia="仿宋" w:cs="仿宋"/>
          <w:sz w:val="20"/>
          <w:highlight w:val="none"/>
        </w:rPr>
      </w:pPr>
    </w:p>
    <w:p w14:paraId="7A6B0CB5">
      <w:pPr>
        <w:pStyle w:val="3"/>
        <w:kinsoku w:val="0"/>
        <w:overflowPunct w:val="0"/>
        <w:ind w:left="0"/>
        <w:rPr>
          <w:rFonts w:hint="eastAsia" w:ascii="仿宋" w:hAnsi="仿宋" w:eastAsia="仿宋" w:cs="仿宋"/>
          <w:sz w:val="20"/>
          <w:highlight w:val="none"/>
        </w:rPr>
      </w:pPr>
    </w:p>
    <w:p w14:paraId="64612B4D">
      <w:pPr>
        <w:spacing w:line="480" w:lineRule="exact"/>
        <w:ind w:left="0" w:leftChars="0" w:firstLine="1440" w:firstLineChars="6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投标人名称：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（盖单位公章） </w:t>
      </w:r>
    </w:p>
    <w:p w14:paraId="03C6CB89">
      <w:pPr>
        <w:spacing w:line="480" w:lineRule="exact"/>
        <w:ind w:left="0" w:leftChars="0" w:right="204" w:rightChars="85" w:firstLine="1440" w:firstLineChars="600"/>
        <w:jc w:val="right"/>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法定代表人或委托代理人：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（签字或盖章）</w:t>
      </w:r>
    </w:p>
    <w:p w14:paraId="2F5680DD">
      <w:pPr>
        <w:spacing w:line="480" w:lineRule="exact"/>
        <w:ind w:left="0" w:leftChars="0" w:firstLine="1440" w:firstLineChars="600"/>
        <w:jc w:val="right"/>
        <w:rPr>
          <w:rFonts w:hint="eastAsia" w:ascii="宋体" w:hAnsi="宋体" w:eastAsia="宋体" w:cs="宋体"/>
          <w:color w:val="auto"/>
          <w:sz w:val="24"/>
          <w:highlight w:val="none"/>
        </w:rPr>
      </w:pPr>
      <w:r>
        <w:rPr>
          <w:rFonts w:hint="eastAsia" w:ascii="宋体" w:hAnsi="宋体" w:eastAsia="宋体" w:cs="宋体"/>
          <w:color w:val="auto"/>
          <w:highlight w:val="none"/>
        </w:rPr>
        <w:t>日    期：</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年</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月</w:t>
      </w:r>
      <w:r>
        <w:rPr>
          <w:rFonts w:hint="eastAsia" w:ascii="宋体" w:hAnsi="宋体" w:eastAsia="宋体" w:cs="宋体"/>
          <w:color w:val="auto"/>
          <w:kern w:val="0"/>
          <w:highlight w:val="none"/>
          <w:u w:val="single"/>
        </w:rPr>
        <w:t xml:space="preserve">    </w:t>
      </w:r>
      <w:r>
        <w:rPr>
          <w:rFonts w:hint="eastAsia" w:ascii="宋体" w:hAnsi="宋体" w:eastAsia="宋体" w:cs="宋体"/>
          <w:color w:val="auto"/>
          <w:kern w:val="0"/>
          <w:highlight w:val="none"/>
        </w:rPr>
        <w:t>日</w:t>
      </w:r>
    </w:p>
    <w:p w14:paraId="71B45739">
      <w:pPr>
        <w:rPr>
          <w:rFonts w:hint="default"/>
          <w:highlight w:val="none"/>
        </w:rPr>
        <w:sectPr>
          <w:footerReference r:id="rId10" w:type="default"/>
          <w:pgSz w:w="11905" w:h="16838"/>
          <w:pgMar w:top="1417" w:right="1417" w:bottom="1417" w:left="1417" w:header="992" w:footer="992" w:gutter="0"/>
          <w:lnNumType w:countBy="0" w:distance="360"/>
          <w:pgNumType w:fmt="decimal"/>
          <w:cols w:space="720" w:num="1"/>
        </w:sectPr>
      </w:pPr>
    </w:p>
    <w:p w14:paraId="165D5C59">
      <w:pPr>
        <w:pStyle w:val="6"/>
        <w:jc w:val="center"/>
        <w:outlineLvl w:val="1"/>
        <w:rPr>
          <w:rFonts w:hint="default"/>
          <w:color w:val="auto"/>
          <w:sz w:val="28"/>
          <w:szCs w:val="24"/>
          <w:highlight w:val="none"/>
        </w:rPr>
      </w:pPr>
      <w:bookmarkStart w:id="170" w:name="bookmark179"/>
      <w:bookmarkEnd w:id="170"/>
      <w:bookmarkStart w:id="171" w:name="_Toc18723"/>
      <w:r>
        <w:rPr>
          <w:rFonts w:hint="default"/>
          <w:color w:val="auto"/>
          <w:sz w:val="28"/>
          <w:szCs w:val="24"/>
          <w:highlight w:val="none"/>
        </w:rPr>
        <w:t>二、法定代表人身份证明</w:t>
      </w:r>
      <w:bookmarkEnd w:id="171"/>
    </w:p>
    <w:p w14:paraId="5D012E1D">
      <w:pPr>
        <w:pStyle w:val="3"/>
        <w:kinsoku w:val="0"/>
        <w:overflowPunct w:val="0"/>
        <w:ind w:left="0"/>
        <w:rPr>
          <w:rFonts w:hint="eastAsia" w:ascii="Microsoft JhengHei" w:hAnsi="Microsoft JhengHei" w:eastAsia="Microsoft JhengHei"/>
          <w:b/>
          <w:color w:val="auto"/>
          <w:sz w:val="32"/>
          <w:szCs w:val="24"/>
          <w:highlight w:val="none"/>
        </w:rPr>
      </w:pPr>
    </w:p>
    <w:p w14:paraId="5B5272F8">
      <w:pPr>
        <w:pStyle w:val="3"/>
        <w:kinsoku w:val="0"/>
        <w:overflowPunct w:val="0"/>
        <w:ind w:left="0"/>
        <w:rPr>
          <w:rFonts w:hint="eastAsia" w:ascii="Microsoft JhengHei" w:hAnsi="Microsoft JhengHei" w:eastAsia="Microsoft JhengHei"/>
          <w:b/>
          <w:color w:val="auto"/>
          <w:sz w:val="32"/>
          <w:szCs w:val="24"/>
          <w:highlight w:val="none"/>
        </w:rPr>
      </w:pPr>
    </w:p>
    <w:p w14:paraId="01CA51AB">
      <w:pPr>
        <w:pStyle w:val="3"/>
        <w:kinsoku w:val="0"/>
        <w:overflowPunct w:val="0"/>
        <w:spacing w:before="8"/>
        <w:ind w:left="0"/>
        <w:rPr>
          <w:rFonts w:hint="eastAsia" w:ascii="Microsoft JhengHei" w:hAnsi="Microsoft JhengHei" w:eastAsia="Microsoft JhengHei"/>
          <w:b/>
          <w:color w:val="auto"/>
          <w:sz w:val="25"/>
          <w:szCs w:val="24"/>
          <w:highlight w:val="none"/>
        </w:rPr>
      </w:pPr>
    </w:p>
    <w:p w14:paraId="62941B0C">
      <w:pPr>
        <w:pStyle w:val="3"/>
        <w:tabs>
          <w:tab w:val="left" w:pos="3928"/>
        </w:tabs>
        <w:kinsoku w:val="0"/>
        <w:overflowPunct w:val="0"/>
        <w:ind w:left="100"/>
        <w:rPr>
          <w:rFonts w:hint="eastAsia" w:ascii="Times New Roman" w:hAnsi="Times New Roman" w:eastAsia="Times New Roman"/>
          <w:color w:val="auto"/>
          <w:sz w:val="24"/>
          <w:szCs w:val="24"/>
          <w:highlight w:val="none"/>
        </w:rPr>
      </w:pPr>
      <w:r>
        <w:rPr>
          <w:rFonts w:hint="default"/>
          <w:color w:val="auto"/>
          <w:sz w:val="24"/>
          <w:szCs w:val="24"/>
          <w:highlight w:val="none"/>
        </w:rPr>
        <w:t>投标人名称：</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1ED58882">
      <w:pPr>
        <w:pStyle w:val="3"/>
        <w:kinsoku w:val="0"/>
        <w:overflowPunct w:val="0"/>
        <w:spacing w:before="2"/>
        <w:ind w:left="0"/>
        <w:rPr>
          <w:rFonts w:hint="eastAsia" w:ascii="Times New Roman" w:hAnsi="Times New Roman" w:eastAsia="Times New Roman"/>
          <w:color w:val="auto"/>
          <w:sz w:val="24"/>
          <w:szCs w:val="24"/>
          <w:highlight w:val="none"/>
        </w:rPr>
      </w:pPr>
    </w:p>
    <w:p w14:paraId="1366098D">
      <w:pPr>
        <w:pStyle w:val="3"/>
        <w:tabs>
          <w:tab w:val="left" w:pos="2412"/>
          <w:tab w:val="left" w:pos="3883"/>
          <w:tab w:val="left" w:pos="5352"/>
          <w:tab w:val="left" w:pos="6869"/>
        </w:tabs>
        <w:kinsoku w:val="0"/>
        <w:overflowPunct w:val="0"/>
        <w:spacing w:before="36"/>
        <w:ind w:left="100"/>
        <w:rPr>
          <w:rFonts w:hint="eastAsia" w:ascii="Times New Roman" w:hAnsi="Times New Roman" w:eastAsia="Times New Roman"/>
          <w:color w:val="auto"/>
          <w:sz w:val="24"/>
          <w:szCs w:val="24"/>
          <w:highlight w:val="none"/>
        </w:rPr>
      </w:pPr>
      <w:r>
        <w:rPr>
          <w:rFonts w:hint="default"/>
          <w:color w:val="auto"/>
          <w:spacing w:val="-1"/>
          <w:sz w:val="24"/>
          <w:szCs w:val="24"/>
          <w:highlight w:val="none"/>
        </w:rPr>
        <w:t>姓名：</w:t>
      </w:r>
      <w:r>
        <w:rPr>
          <w:rFonts w:hint="eastAsia" w:ascii="Times New Roman" w:hAnsi="Times New Roman" w:eastAsia="Times New Roman"/>
          <w:color w:val="auto"/>
          <w:spacing w:val="-1"/>
          <w:sz w:val="24"/>
          <w:szCs w:val="24"/>
          <w:highlight w:val="none"/>
          <w:u w:val="single"/>
        </w:rPr>
        <w:tab/>
      </w:r>
      <w:r>
        <w:rPr>
          <w:rFonts w:hint="default"/>
          <w:color w:val="auto"/>
          <w:spacing w:val="-1"/>
          <w:sz w:val="24"/>
          <w:szCs w:val="24"/>
          <w:highlight w:val="none"/>
        </w:rPr>
        <w:t>性别：</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年龄：</w:t>
      </w:r>
      <w:r>
        <w:rPr>
          <w:rFonts w:hint="eastAsia" w:ascii="Times New Roman" w:hAnsi="Times New Roman" w:eastAsia="Times New Roman"/>
          <w:color w:val="auto"/>
          <w:spacing w:val="-2"/>
          <w:sz w:val="24"/>
          <w:szCs w:val="24"/>
          <w:highlight w:val="none"/>
          <w:u w:val="single"/>
        </w:rPr>
        <w:tab/>
      </w:r>
      <w:r>
        <w:rPr>
          <w:rFonts w:hint="default"/>
          <w:color w:val="auto"/>
          <w:spacing w:val="-2"/>
          <w:sz w:val="24"/>
          <w:szCs w:val="24"/>
          <w:highlight w:val="none"/>
        </w:rPr>
        <w:t>职务：</w:t>
      </w: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p>
    <w:p w14:paraId="2CB8B1B8">
      <w:pPr>
        <w:pStyle w:val="3"/>
        <w:kinsoku w:val="0"/>
        <w:overflowPunct w:val="0"/>
        <w:spacing w:before="5"/>
        <w:ind w:left="0"/>
        <w:rPr>
          <w:rFonts w:hint="eastAsia" w:ascii="Times New Roman" w:hAnsi="Times New Roman" w:eastAsia="Times New Roman"/>
          <w:color w:val="auto"/>
          <w:sz w:val="24"/>
          <w:szCs w:val="24"/>
          <w:highlight w:val="none"/>
        </w:rPr>
      </w:pPr>
    </w:p>
    <w:p w14:paraId="12EB6267">
      <w:pPr>
        <w:pStyle w:val="3"/>
        <w:tabs>
          <w:tab w:val="left" w:pos="2832"/>
        </w:tabs>
        <w:kinsoku w:val="0"/>
        <w:overflowPunct w:val="0"/>
        <w:spacing w:before="36"/>
        <w:ind w:left="100"/>
        <w:rPr>
          <w:rFonts w:hint="default"/>
          <w:color w:val="auto"/>
          <w:spacing w:val="-2"/>
          <w:sz w:val="24"/>
          <w:szCs w:val="24"/>
          <w:highlight w:val="none"/>
        </w:rPr>
      </w:pPr>
      <w:r>
        <w:rPr>
          <w:rFonts w:hint="default"/>
          <w:color w:val="auto"/>
          <w:spacing w:val="-1"/>
          <w:sz w:val="24"/>
          <w:szCs w:val="24"/>
          <w:highlight w:val="none"/>
        </w:rPr>
        <w:t>系</w:t>
      </w:r>
      <w:r>
        <w:rPr>
          <w:rFonts w:hint="eastAsia" w:ascii="Times New Roman" w:hAnsi="Times New Roman" w:eastAsia="Times New Roman"/>
          <w:color w:val="auto"/>
          <w:spacing w:val="-1"/>
          <w:sz w:val="24"/>
          <w:szCs w:val="24"/>
          <w:highlight w:val="none"/>
          <w:u w:val="single"/>
        </w:rPr>
        <w:tab/>
      </w:r>
      <w:r>
        <w:rPr>
          <w:rFonts w:hint="default"/>
          <w:color w:val="auto"/>
          <w:spacing w:val="-2"/>
          <w:sz w:val="24"/>
          <w:szCs w:val="24"/>
          <w:highlight w:val="none"/>
        </w:rPr>
        <w:t>（投标人名称）的法定代表人。</w:t>
      </w:r>
    </w:p>
    <w:p w14:paraId="24DD3269">
      <w:pPr>
        <w:pStyle w:val="3"/>
        <w:kinsoku w:val="0"/>
        <w:overflowPunct w:val="0"/>
        <w:spacing w:before="10"/>
        <w:ind w:left="0"/>
        <w:rPr>
          <w:rFonts w:hint="default"/>
          <w:color w:val="auto"/>
          <w:sz w:val="24"/>
          <w:szCs w:val="24"/>
          <w:highlight w:val="none"/>
        </w:rPr>
      </w:pPr>
    </w:p>
    <w:p w14:paraId="2BADF6B9">
      <w:pPr>
        <w:pStyle w:val="3"/>
        <w:kinsoku w:val="0"/>
        <w:overflowPunct w:val="0"/>
        <w:spacing w:before="36"/>
        <w:ind w:left="100" w:firstLine="419"/>
        <w:rPr>
          <w:rFonts w:hint="default"/>
          <w:color w:val="auto"/>
          <w:sz w:val="24"/>
          <w:szCs w:val="24"/>
          <w:highlight w:val="none"/>
        </w:rPr>
      </w:pPr>
      <w:r>
        <w:rPr>
          <w:rFonts w:hint="default"/>
          <w:color w:val="auto"/>
          <w:sz w:val="24"/>
          <w:szCs w:val="24"/>
          <w:highlight w:val="none"/>
        </w:rPr>
        <w:t>特此证明。</w:t>
      </w:r>
    </w:p>
    <w:p w14:paraId="09FB311E">
      <w:pPr>
        <w:pStyle w:val="3"/>
        <w:kinsoku w:val="0"/>
        <w:overflowPunct w:val="0"/>
        <w:ind w:left="0"/>
        <w:rPr>
          <w:rFonts w:hint="default"/>
          <w:color w:val="auto"/>
          <w:sz w:val="24"/>
          <w:szCs w:val="24"/>
          <w:highlight w:val="none"/>
        </w:rPr>
      </w:pPr>
    </w:p>
    <w:p w14:paraId="24A7A44E">
      <w:pPr>
        <w:pStyle w:val="3"/>
        <w:kinsoku w:val="0"/>
        <w:overflowPunct w:val="0"/>
        <w:spacing w:before="4"/>
        <w:ind w:left="0"/>
        <w:rPr>
          <w:rFonts w:hint="default"/>
          <w:color w:val="auto"/>
          <w:sz w:val="24"/>
          <w:szCs w:val="24"/>
          <w:highlight w:val="none"/>
        </w:rPr>
      </w:pPr>
    </w:p>
    <w:p w14:paraId="4893356C">
      <w:pPr>
        <w:pStyle w:val="3"/>
        <w:kinsoku w:val="0"/>
        <w:overflowPunct w:val="0"/>
        <w:ind w:left="100"/>
        <w:rPr>
          <w:rFonts w:hint="default"/>
          <w:color w:val="auto"/>
          <w:sz w:val="24"/>
          <w:szCs w:val="24"/>
          <w:highlight w:val="none"/>
        </w:rPr>
      </w:pPr>
      <w:r>
        <w:rPr>
          <w:rFonts w:hint="default"/>
          <w:color w:val="auto"/>
          <w:sz w:val="24"/>
          <w:szCs w:val="24"/>
          <w:highlight w:val="none"/>
        </w:rPr>
        <w:t>附：法定代表人身份证</w:t>
      </w:r>
      <w:r>
        <w:rPr>
          <w:rFonts w:hint="default"/>
          <w:color w:val="auto"/>
          <w:sz w:val="24"/>
          <w:szCs w:val="24"/>
          <w:highlight w:val="none"/>
          <w:lang w:eastAsia="zh-CN"/>
        </w:rPr>
        <w:t>正反面扫描</w:t>
      </w:r>
      <w:r>
        <w:rPr>
          <w:rFonts w:hint="default"/>
          <w:color w:val="auto"/>
          <w:sz w:val="24"/>
          <w:szCs w:val="24"/>
          <w:highlight w:val="none"/>
        </w:rPr>
        <w:t>件。</w:t>
      </w:r>
    </w:p>
    <w:p w14:paraId="70669856">
      <w:pPr>
        <w:pStyle w:val="3"/>
        <w:kinsoku w:val="0"/>
        <w:overflowPunct w:val="0"/>
        <w:ind w:left="0"/>
        <w:rPr>
          <w:rFonts w:hint="default"/>
          <w:color w:val="auto"/>
          <w:sz w:val="24"/>
          <w:szCs w:val="24"/>
          <w:highlight w:val="none"/>
        </w:rPr>
      </w:pPr>
    </w:p>
    <w:p w14:paraId="37A0471F">
      <w:pPr>
        <w:pStyle w:val="3"/>
        <w:kinsoku w:val="0"/>
        <w:overflowPunct w:val="0"/>
        <w:spacing w:before="2"/>
        <w:ind w:left="0"/>
        <w:rPr>
          <w:rFonts w:hint="default"/>
          <w:color w:val="auto"/>
          <w:sz w:val="24"/>
          <w:szCs w:val="24"/>
          <w:highlight w:val="none"/>
        </w:rPr>
      </w:pPr>
    </w:p>
    <w:p w14:paraId="0B5E6CE7">
      <w:pPr>
        <w:pStyle w:val="3"/>
        <w:kinsoku w:val="0"/>
        <w:overflowPunct w:val="0"/>
        <w:ind w:left="0"/>
        <w:rPr>
          <w:rFonts w:hint="default"/>
          <w:color w:val="auto"/>
          <w:sz w:val="24"/>
          <w:szCs w:val="24"/>
          <w:highlight w:val="none"/>
        </w:rPr>
      </w:pPr>
    </w:p>
    <w:p w14:paraId="5C3C1E89">
      <w:pPr>
        <w:pStyle w:val="3"/>
        <w:kinsoku w:val="0"/>
        <w:overflowPunct w:val="0"/>
        <w:ind w:left="0"/>
        <w:rPr>
          <w:rFonts w:hint="default"/>
          <w:color w:val="auto"/>
          <w:sz w:val="24"/>
          <w:szCs w:val="24"/>
          <w:highlight w:val="none"/>
        </w:rPr>
      </w:pPr>
    </w:p>
    <w:p w14:paraId="1C0EC78B">
      <w:pPr>
        <w:pStyle w:val="3"/>
        <w:kinsoku w:val="0"/>
        <w:overflowPunct w:val="0"/>
        <w:ind w:left="0"/>
        <w:rPr>
          <w:rFonts w:hint="default"/>
          <w:color w:val="auto"/>
          <w:sz w:val="24"/>
          <w:szCs w:val="24"/>
          <w:highlight w:val="none"/>
        </w:rPr>
      </w:pPr>
    </w:p>
    <w:p w14:paraId="1A3E5BDB">
      <w:pPr>
        <w:pStyle w:val="3"/>
        <w:kinsoku w:val="0"/>
        <w:overflowPunct w:val="0"/>
        <w:spacing w:before="2"/>
        <w:ind w:left="0"/>
        <w:rPr>
          <w:rFonts w:hint="default"/>
          <w:color w:val="auto"/>
          <w:sz w:val="24"/>
          <w:szCs w:val="24"/>
          <w:highlight w:val="none"/>
        </w:rPr>
      </w:pPr>
    </w:p>
    <w:p w14:paraId="2C76455C">
      <w:pPr>
        <w:pStyle w:val="3"/>
        <w:tabs>
          <w:tab w:val="left" w:pos="6521"/>
        </w:tabs>
        <w:kinsoku w:val="0"/>
        <w:overflowPunct w:val="0"/>
        <w:spacing w:before="36"/>
        <w:ind w:left="4212"/>
        <w:rPr>
          <w:rFonts w:hint="default"/>
          <w:color w:val="auto"/>
          <w:spacing w:val="-1"/>
          <w:sz w:val="24"/>
          <w:szCs w:val="24"/>
          <w:highlight w:val="none"/>
        </w:rPr>
      </w:pPr>
      <w:r>
        <w:rPr>
          <w:rFonts w:hint="default"/>
          <w:color w:val="auto"/>
          <w:spacing w:val="-2"/>
          <w:sz w:val="24"/>
          <w:szCs w:val="24"/>
          <w:highlight w:val="none"/>
        </w:rPr>
        <w:t>投标人：</w:t>
      </w:r>
      <w:r>
        <w:rPr>
          <w:rFonts w:hint="eastAsia" w:ascii="Times New Roman" w:hAnsi="Times New Roman" w:eastAsia="Times New Roman"/>
          <w:color w:val="auto"/>
          <w:spacing w:val="-2"/>
          <w:sz w:val="24"/>
          <w:szCs w:val="24"/>
          <w:highlight w:val="none"/>
          <w:u w:val="single"/>
        </w:rPr>
        <w:tab/>
      </w:r>
      <w:r>
        <w:rPr>
          <w:rFonts w:hint="default"/>
          <w:color w:val="auto"/>
          <w:spacing w:val="-1"/>
          <w:sz w:val="24"/>
          <w:szCs w:val="24"/>
          <w:highlight w:val="none"/>
        </w:rPr>
        <w:t>（盖单位章）</w:t>
      </w:r>
    </w:p>
    <w:p w14:paraId="4B213024">
      <w:pPr>
        <w:pStyle w:val="3"/>
        <w:kinsoku w:val="0"/>
        <w:overflowPunct w:val="0"/>
        <w:ind w:left="0"/>
        <w:rPr>
          <w:rFonts w:hint="default"/>
          <w:color w:val="auto"/>
          <w:sz w:val="24"/>
          <w:szCs w:val="24"/>
          <w:highlight w:val="none"/>
        </w:rPr>
      </w:pPr>
    </w:p>
    <w:p w14:paraId="6EA56E03">
      <w:pPr>
        <w:pStyle w:val="3"/>
        <w:kinsoku w:val="0"/>
        <w:overflowPunct w:val="0"/>
        <w:spacing w:before="7"/>
        <w:ind w:left="0"/>
        <w:rPr>
          <w:rFonts w:hint="default"/>
          <w:color w:val="auto"/>
          <w:sz w:val="24"/>
          <w:szCs w:val="24"/>
          <w:highlight w:val="none"/>
        </w:rPr>
      </w:pPr>
    </w:p>
    <w:p w14:paraId="0809D914">
      <w:pPr>
        <w:pStyle w:val="3"/>
        <w:tabs>
          <w:tab w:val="left" w:pos="5352"/>
          <w:tab w:val="left" w:pos="6192"/>
          <w:tab w:val="left" w:pos="7032"/>
        </w:tabs>
        <w:kinsoku w:val="0"/>
        <w:overflowPunct w:val="0"/>
        <w:spacing w:before="36"/>
        <w:ind w:left="4721"/>
        <w:rPr>
          <w:rFonts w:hint="default"/>
          <w:color w:val="auto"/>
          <w:sz w:val="24"/>
          <w:szCs w:val="24"/>
          <w:highlight w:val="none"/>
        </w:rPr>
      </w:pPr>
      <w:r>
        <w:rPr>
          <w:rFonts w:hint="eastAsia" w:ascii="Times New Roman" w:hAnsi="Times New Roman" w:eastAsia="Times New Roman"/>
          <w:color w:val="auto"/>
          <w:sz w:val="24"/>
          <w:szCs w:val="24"/>
          <w:highlight w:val="none"/>
          <w:u w:val="single"/>
        </w:rPr>
        <w:t xml:space="preserve"> </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年</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月</w:t>
      </w:r>
      <w:r>
        <w:rPr>
          <w:rFonts w:hint="eastAsia" w:ascii="Times New Roman" w:hAnsi="Times New Roman" w:eastAsia="Times New Roman"/>
          <w:color w:val="auto"/>
          <w:sz w:val="24"/>
          <w:szCs w:val="24"/>
          <w:highlight w:val="none"/>
          <w:u w:val="single"/>
        </w:rPr>
        <w:tab/>
      </w:r>
      <w:r>
        <w:rPr>
          <w:rFonts w:hint="default"/>
          <w:color w:val="auto"/>
          <w:sz w:val="24"/>
          <w:szCs w:val="24"/>
          <w:highlight w:val="none"/>
        </w:rPr>
        <w:t>日</w:t>
      </w:r>
    </w:p>
    <w:p w14:paraId="3741F545">
      <w:pPr>
        <w:pStyle w:val="3"/>
        <w:tabs>
          <w:tab w:val="left" w:pos="5352"/>
          <w:tab w:val="left" w:pos="6192"/>
          <w:tab w:val="left" w:pos="7032"/>
        </w:tabs>
        <w:kinsoku w:val="0"/>
        <w:overflowPunct w:val="0"/>
        <w:spacing w:before="36"/>
        <w:ind w:left="4721"/>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10C9C51B">
      <w:pPr>
        <w:pStyle w:val="6"/>
        <w:jc w:val="center"/>
        <w:outlineLvl w:val="1"/>
        <w:rPr>
          <w:rFonts w:hint="default"/>
          <w:color w:val="auto"/>
          <w:sz w:val="28"/>
          <w:szCs w:val="24"/>
          <w:highlight w:val="none"/>
        </w:rPr>
      </w:pPr>
      <w:bookmarkStart w:id="172" w:name="bookmark180"/>
      <w:bookmarkEnd w:id="172"/>
      <w:bookmarkStart w:id="173" w:name="_Toc13873"/>
      <w:r>
        <w:rPr>
          <w:rFonts w:hint="eastAsia"/>
          <w:color w:val="auto"/>
          <w:sz w:val="28"/>
          <w:szCs w:val="24"/>
          <w:highlight w:val="none"/>
          <w:lang w:val="en-US" w:eastAsia="zh-CN"/>
        </w:rPr>
        <w:t>三</w:t>
      </w:r>
      <w:r>
        <w:rPr>
          <w:rFonts w:hint="default"/>
          <w:color w:val="auto"/>
          <w:sz w:val="28"/>
          <w:szCs w:val="24"/>
          <w:highlight w:val="none"/>
        </w:rPr>
        <w:t>、授权委托书</w:t>
      </w:r>
      <w:bookmarkEnd w:id="173"/>
    </w:p>
    <w:p w14:paraId="4CBA686F">
      <w:pPr>
        <w:pStyle w:val="3"/>
        <w:kinsoku w:val="0"/>
        <w:overflowPunct w:val="0"/>
        <w:ind w:left="0"/>
        <w:rPr>
          <w:rFonts w:hint="eastAsia" w:ascii="Microsoft JhengHei" w:hAnsi="Microsoft JhengHei" w:eastAsia="Microsoft JhengHei"/>
          <w:b/>
          <w:color w:val="auto"/>
          <w:sz w:val="32"/>
          <w:szCs w:val="24"/>
          <w:highlight w:val="none"/>
        </w:rPr>
      </w:pPr>
    </w:p>
    <w:p w14:paraId="394958EB">
      <w:pPr>
        <w:pStyle w:val="3"/>
        <w:kinsoku w:val="0"/>
        <w:overflowPunct w:val="0"/>
        <w:spacing w:before="4"/>
        <w:ind w:left="0"/>
        <w:rPr>
          <w:rFonts w:hint="eastAsia" w:ascii="Microsoft JhengHei" w:hAnsi="Microsoft JhengHei" w:eastAsia="Microsoft JhengHei"/>
          <w:b/>
          <w:color w:val="auto"/>
          <w:sz w:val="32"/>
          <w:szCs w:val="24"/>
          <w:highlight w:val="none"/>
        </w:rPr>
      </w:pPr>
    </w:p>
    <w:p w14:paraId="2AF4CC5E">
      <w:pPr>
        <w:pStyle w:val="3"/>
        <w:tabs>
          <w:tab w:val="left" w:pos="3928"/>
        </w:tabs>
        <w:kinsoku w:val="0"/>
        <w:overflowPunct w:val="0"/>
        <w:spacing w:line="360" w:lineRule="auto"/>
        <w:ind w:left="0" w:firstLine="480" w:firstLineChars="200"/>
        <w:rPr>
          <w:rFonts w:hint="default" w:cs="Times New Roman"/>
          <w:color w:val="auto"/>
          <w:sz w:val="24"/>
          <w:szCs w:val="24"/>
          <w:highlight w:val="none"/>
        </w:rPr>
      </w:pPr>
      <w:r>
        <w:rPr>
          <w:rFonts w:hint="default" w:cs="Times New Roman"/>
          <w:color w:val="auto"/>
          <w:sz w:val="24"/>
          <w:szCs w:val="24"/>
          <w:highlight w:val="none"/>
        </w:rPr>
        <w:t>本人</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（姓名）系</w:t>
      </w:r>
      <w:r>
        <w:rPr>
          <w:rFonts w:hint="default" w:cs="Times New Roman"/>
          <w:color w:val="auto"/>
          <w:sz w:val="24"/>
          <w:szCs w:val="24"/>
          <w:highlight w:val="none"/>
          <w:lang w:val="en-US" w:eastAsia="zh-CN"/>
        </w:rPr>
        <w:t xml:space="preserve"> </w:t>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（投标人名称）的法定代表人，现委托</w:t>
      </w:r>
      <w:r>
        <w:rPr>
          <w:rFonts w:hint="default" w:cs="Times New Roman"/>
          <w:color w:val="auto"/>
          <w:sz w:val="24"/>
          <w:szCs w:val="24"/>
          <w:highlight w:val="none"/>
          <w:u w:val="single"/>
        </w:rPr>
        <w:tab/>
      </w:r>
      <w:r>
        <w:rPr>
          <w:rFonts w:hint="default" w:cs="Times New Roman"/>
          <w:color w:val="auto"/>
          <w:sz w:val="24"/>
          <w:szCs w:val="24"/>
          <w:highlight w:val="none"/>
          <w:u w:val="single"/>
          <w:lang w:val="en-US" w:eastAsia="zh-CN"/>
        </w:rPr>
        <w:t xml:space="preserve"> </w:t>
      </w:r>
      <w:r>
        <w:rPr>
          <w:rFonts w:hint="default" w:cs="Times New Roman"/>
          <w:color w:val="auto"/>
          <w:sz w:val="24"/>
          <w:szCs w:val="24"/>
          <w:highlight w:val="none"/>
        </w:rPr>
        <w:t xml:space="preserve">（姓名）为我方代理人。代理人根据授权，以我方名义签署、澄清确认、递交、撤回、修改监理招标项目投标文件、签订合同和处理有关事宜，其法律后果由我方承担。 </w:t>
      </w:r>
    </w:p>
    <w:p w14:paraId="35FC0B92">
      <w:pPr>
        <w:pStyle w:val="3"/>
        <w:tabs>
          <w:tab w:val="left" w:pos="3928"/>
        </w:tabs>
        <w:kinsoku w:val="0"/>
        <w:overflowPunct w:val="0"/>
        <w:spacing w:line="360" w:lineRule="auto"/>
        <w:ind w:left="0"/>
        <w:rPr>
          <w:rFonts w:hint="default" w:cs="Times New Roman"/>
          <w:color w:val="auto"/>
          <w:sz w:val="24"/>
          <w:szCs w:val="24"/>
          <w:highlight w:val="none"/>
        </w:rPr>
      </w:pPr>
      <w:r>
        <w:rPr>
          <w:rFonts w:hint="default" w:cs="Times New Roman"/>
          <w:color w:val="auto"/>
          <w:sz w:val="24"/>
          <w:szCs w:val="24"/>
          <w:highlight w:val="none"/>
        </w:rPr>
        <w:t>委托期限：</w:t>
      </w:r>
      <w:r>
        <w:rPr>
          <w:rFonts w:hint="default" w:cs="Times New Roman"/>
          <w:color w:val="auto"/>
          <w:sz w:val="24"/>
          <w:szCs w:val="24"/>
          <w:highlight w:val="none"/>
          <w:u w:val="single"/>
        </w:rPr>
        <w:tab/>
      </w:r>
      <w:r>
        <w:rPr>
          <w:rFonts w:hint="default" w:cs="Times New Roman"/>
          <w:color w:val="auto"/>
          <w:sz w:val="24"/>
          <w:szCs w:val="24"/>
          <w:highlight w:val="none"/>
        </w:rPr>
        <w:t>。</w:t>
      </w:r>
    </w:p>
    <w:p w14:paraId="0D676434">
      <w:pPr>
        <w:pStyle w:val="3"/>
        <w:tabs>
          <w:tab w:val="left" w:pos="3928"/>
        </w:tabs>
        <w:kinsoku w:val="0"/>
        <w:overflowPunct w:val="0"/>
        <w:spacing w:line="360" w:lineRule="auto"/>
        <w:ind w:left="0" w:firstLine="480" w:firstLineChars="200"/>
        <w:rPr>
          <w:rFonts w:hint="eastAsia" w:eastAsia="宋体" w:cs="Times New Roman"/>
          <w:color w:val="auto"/>
          <w:sz w:val="24"/>
          <w:szCs w:val="24"/>
          <w:highlight w:val="none"/>
          <w:lang w:eastAsia="zh-CN"/>
        </w:rPr>
      </w:pPr>
      <w:r>
        <w:rPr>
          <w:rFonts w:hint="default" w:cs="Times New Roman"/>
          <w:color w:val="auto"/>
          <w:sz w:val="24"/>
          <w:szCs w:val="24"/>
          <w:highlight w:val="none"/>
        </w:rPr>
        <w:t>代理人无转委托权。</w:t>
      </w:r>
    </w:p>
    <w:p w14:paraId="7A73DA8E">
      <w:pPr>
        <w:pStyle w:val="3"/>
        <w:tabs>
          <w:tab w:val="left" w:pos="3928"/>
        </w:tabs>
        <w:kinsoku w:val="0"/>
        <w:overflowPunct w:val="0"/>
        <w:spacing w:line="360" w:lineRule="auto"/>
        <w:ind w:left="100"/>
        <w:rPr>
          <w:rFonts w:hint="default" w:cs="Times New Roman"/>
          <w:color w:val="auto"/>
          <w:sz w:val="24"/>
          <w:szCs w:val="24"/>
          <w:highlight w:val="none"/>
        </w:rPr>
      </w:pPr>
    </w:p>
    <w:p w14:paraId="021DD8A2">
      <w:pPr>
        <w:pStyle w:val="3"/>
        <w:kinsoku w:val="0"/>
        <w:overflowPunct w:val="0"/>
        <w:spacing w:before="4"/>
        <w:ind w:left="0"/>
        <w:rPr>
          <w:rFonts w:hint="default"/>
          <w:color w:val="auto"/>
          <w:sz w:val="24"/>
          <w:szCs w:val="24"/>
          <w:highlight w:val="none"/>
        </w:rPr>
      </w:pPr>
    </w:p>
    <w:p w14:paraId="0D06633F">
      <w:pPr>
        <w:pStyle w:val="3"/>
        <w:kinsoku w:val="0"/>
        <w:overflowPunct w:val="0"/>
        <w:ind w:left="100" w:right="113"/>
        <w:rPr>
          <w:rFonts w:hint="default"/>
          <w:color w:val="auto"/>
          <w:sz w:val="24"/>
          <w:szCs w:val="24"/>
          <w:highlight w:val="none"/>
        </w:rPr>
      </w:pPr>
      <w:r>
        <w:rPr>
          <w:rFonts w:hint="default"/>
          <w:color w:val="auto"/>
          <w:sz w:val="24"/>
          <w:szCs w:val="24"/>
          <w:highlight w:val="none"/>
        </w:rPr>
        <w:t>附：</w:t>
      </w:r>
      <w:r>
        <w:rPr>
          <w:rFonts w:hint="default" w:cs="Times New Roman"/>
          <w:color w:val="auto"/>
          <w:sz w:val="24"/>
          <w:szCs w:val="24"/>
          <w:highlight w:val="none"/>
          <w:lang w:eastAsia="zh-CN"/>
        </w:rPr>
        <w:t>委托代理人身份证正反面和社保证明扫描件。</w:t>
      </w:r>
    </w:p>
    <w:p w14:paraId="006C4DF9">
      <w:pPr>
        <w:pStyle w:val="3"/>
        <w:kinsoku w:val="0"/>
        <w:overflowPunct w:val="0"/>
        <w:ind w:left="0"/>
        <w:rPr>
          <w:rFonts w:hint="default"/>
          <w:color w:val="auto"/>
          <w:sz w:val="24"/>
          <w:szCs w:val="24"/>
          <w:highlight w:val="none"/>
        </w:rPr>
      </w:pPr>
    </w:p>
    <w:p w14:paraId="38BE7BFA">
      <w:pPr>
        <w:pStyle w:val="3"/>
        <w:kinsoku w:val="0"/>
        <w:overflowPunct w:val="0"/>
        <w:spacing w:before="2"/>
        <w:ind w:left="0"/>
        <w:rPr>
          <w:rFonts w:hint="default"/>
          <w:color w:val="auto"/>
          <w:sz w:val="24"/>
          <w:szCs w:val="24"/>
          <w:highlight w:val="none"/>
        </w:rPr>
      </w:pPr>
    </w:p>
    <w:p w14:paraId="00149D3D">
      <w:pPr>
        <w:pStyle w:val="3"/>
        <w:kinsoku w:val="0"/>
        <w:overflowPunct w:val="0"/>
        <w:ind w:left="0"/>
        <w:rPr>
          <w:rFonts w:hint="default"/>
          <w:color w:val="auto"/>
          <w:sz w:val="24"/>
          <w:szCs w:val="24"/>
          <w:highlight w:val="none"/>
        </w:rPr>
      </w:pPr>
    </w:p>
    <w:p w14:paraId="18171E3E">
      <w:pPr>
        <w:pStyle w:val="3"/>
        <w:kinsoku w:val="0"/>
        <w:overflowPunct w:val="0"/>
        <w:spacing w:before="4"/>
        <w:ind w:left="0"/>
        <w:rPr>
          <w:rFonts w:hint="default"/>
          <w:color w:val="auto"/>
          <w:sz w:val="24"/>
          <w:szCs w:val="24"/>
          <w:highlight w:val="none"/>
        </w:rPr>
      </w:pPr>
    </w:p>
    <w:p w14:paraId="2E510103">
      <w:pPr>
        <w:pStyle w:val="3"/>
        <w:tabs>
          <w:tab w:val="left" w:pos="3216"/>
          <w:tab w:val="left" w:pos="3636"/>
          <w:tab w:val="left" w:pos="7241"/>
        </w:tabs>
        <w:kinsoku w:val="0"/>
        <w:overflowPunct w:val="0"/>
        <w:ind w:left="2793" w:right="113"/>
        <w:rPr>
          <w:rFonts w:hint="default"/>
          <w:color w:val="auto"/>
          <w:sz w:val="24"/>
          <w:szCs w:val="24"/>
          <w:highlight w:val="none"/>
        </w:rPr>
      </w:pPr>
      <w:r>
        <w:rPr>
          <w:rFonts w:hint="default"/>
          <w:color w:val="auto"/>
          <w:sz w:val="24"/>
          <w:szCs w:val="24"/>
          <w:highlight w:val="none"/>
        </w:rPr>
        <w:t>投</w:t>
      </w:r>
      <w:r>
        <w:rPr>
          <w:rFonts w:hint="default"/>
          <w:color w:val="auto"/>
          <w:sz w:val="24"/>
          <w:szCs w:val="24"/>
          <w:highlight w:val="none"/>
        </w:rPr>
        <w:tab/>
      </w:r>
      <w:r>
        <w:rPr>
          <w:rFonts w:hint="default"/>
          <w:color w:val="auto"/>
          <w:sz w:val="24"/>
          <w:szCs w:val="24"/>
          <w:highlight w:val="none"/>
        </w:rPr>
        <w:t>标</w:t>
      </w:r>
      <w:r>
        <w:rPr>
          <w:rFonts w:hint="default"/>
          <w:color w:val="auto"/>
          <w:sz w:val="24"/>
          <w:szCs w:val="24"/>
          <w:highlight w:val="none"/>
        </w:rPr>
        <w:tab/>
      </w:r>
      <w:r>
        <w:rPr>
          <w:rFonts w:hint="default"/>
          <w:color w:val="auto"/>
          <w:spacing w:val="-3"/>
          <w:sz w:val="24"/>
          <w:szCs w:val="24"/>
          <w:highlight w:val="none"/>
        </w:rPr>
        <w:t>人：</w:t>
      </w:r>
      <w:r>
        <w:rPr>
          <w:rFonts w:hint="default" w:hAnsi="Times New Roman"/>
          <w:color w:val="auto"/>
          <w:spacing w:val="-3"/>
          <w:sz w:val="24"/>
          <w:szCs w:val="24"/>
          <w:highlight w:val="none"/>
          <w:u w:val="single"/>
          <w:lang w:val="en-US" w:eastAsia="zh-CN"/>
        </w:rPr>
        <w:t xml:space="preserve">                     </w:t>
      </w:r>
      <w:r>
        <w:rPr>
          <w:rFonts w:hint="eastAsia" w:hAnsi="Times New Roman"/>
          <w:color w:val="auto"/>
          <w:spacing w:val="-3"/>
          <w:sz w:val="24"/>
          <w:szCs w:val="24"/>
          <w:highlight w:val="none"/>
          <w:u w:val="single"/>
          <w:lang w:val="en-US" w:eastAsia="zh-CN"/>
        </w:rPr>
        <w:t xml:space="preserve">  </w:t>
      </w:r>
      <w:r>
        <w:rPr>
          <w:rFonts w:hint="default" w:hAnsi="Times New Roman"/>
          <w:color w:val="auto"/>
          <w:spacing w:val="-3"/>
          <w:sz w:val="24"/>
          <w:szCs w:val="24"/>
          <w:highlight w:val="none"/>
          <w:u w:val="single"/>
          <w:lang w:val="en-US" w:eastAsia="zh-CN"/>
        </w:rPr>
        <w:t xml:space="preserve">  </w:t>
      </w:r>
      <w:r>
        <w:rPr>
          <w:rFonts w:hint="default"/>
          <w:color w:val="auto"/>
          <w:sz w:val="24"/>
          <w:szCs w:val="24"/>
          <w:highlight w:val="none"/>
        </w:rPr>
        <w:t>（盖单位章）</w:t>
      </w:r>
    </w:p>
    <w:p w14:paraId="1B9CF9DD">
      <w:pPr>
        <w:pStyle w:val="3"/>
        <w:kinsoku w:val="0"/>
        <w:overflowPunct w:val="0"/>
        <w:ind w:left="0"/>
        <w:rPr>
          <w:rFonts w:hint="default"/>
          <w:color w:val="auto"/>
          <w:sz w:val="24"/>
          <w:szCs w:val="24"/>
          <w:highlight w:val="none"/>
        </w:rPr>
      </w:pPr>
    </w:p>
    <w:p w14:paraId="2AF4A50B">
      <w:pPr>
        <w:pStyle w:val="3"/>
        <w:tabs>
          <w:tab w:val="left" w:pos="6401"/>
        </w:tabs>
        <w:kinsoku w:val="0"/>
        <w:overflowPunct w:val="0"/>
        <w:spacing w:before="36"/>
        <w:ind w:left="2791" w:right="113"/>
        <w:rPr>
          <w:rFonts w:hint="default"/>
          <w:color w:val="auto"/>
          <w:spacing w:val="-1"/>
          <w:sz w:val="24"/>
          <w:szCs w:val="24"/>
          <w:highlight w:val="none"/>
        </w:rPr>
      </w:pPr>
      <w:r>
        <w:rPr>
          <w:rFonts w:hint="default"/>
          <w:color w:val="auto"/>
          <w:spacing w:val="-2"/>
          <w:sz w:val="24"/>
          <w:szCs w:val="24"/>
          <w:highlight w:val="none"/>
        </w:rPr>
        <w:t>法定代表人：</w:t>
      </w:r>
      <w:r>
        <w:rPr>
          <w:rFonts w:hint="eastAsia" w:ascii="Times New Roman" w:hAnsi="Times New Roman" w:eastAsia="Times New Roman"/>
          <w:color w:val="auto"/>
          <w:spacing w:val="-2"/>
          <w:sz w:val="24"/>
          <w:szCs w:val="24"/>
          <w:highlight w:val="none"/>
          <w:u w:val="single"/>
        </w:rPr>
        <w:tab/>
      </w:r>
      <w:r>
        <w:rPr>
          <w:rFonts w:hint="eastAsia" w:ascii="Times New Roman" w:hAnsi="Times New Roman" w:eastAsia="宋体"/>
          <w:color w:val="auto"/>
          <w:spacing w:val="-2"/>
          <w:sz w:val="24"/>
          <w:szCs w:val="24"/>
          <w:highlight w:val="none"/>
          <w:u w:val="single"/>
          <w:lang w:val="en-US" w:eastAsia="zh-CN"/>
        </w:rPr>
        <w:t xml:space="preserve">  </w:t>
      </w:r>
      <w:r>
        <w:rPr>
          <w:rFonts w:hint="default" w:hAnsi="Times New Roman"/>
          <w:color w:val="auto"/>
          <w:spacing w:val="-2"/>
          <w:sz w:val="24"/>
          <w:szCs w:val="24"/>
          <w:highlight w:val="none"/>
          <w:u w:val="single"/>
          <w:lang w:val="en-US" w:eastAsia="zh-CN"/>
        </w:rPr>
        <w:t xml:space="preserve">    </w:t>
      </w:r>
      <w:r>
        <w:rPr>
          <w:rFonts w:hint="default"/>
          <w:color w:val="auto"/>
          <w:spacing w:val="-1"/>
          <w:sz w:val="24"/>
          <w:szCs w:val="24"/>
          <w:highlight w:val="none"/>
        </w:rPr>
        <w:t>（签字或盖章）</w:t>
      </w:r>
    </w:p>
    <w:p w14:paraId="09B7523C">
      <w:pPr>
        <w:pStyle w:val="3"/>
        <w:kinsoku w:val="0"/>
        <w:overflowPunct w:val="0"/>
        <w:ind w:left="0"/>
        <w:rPr>
          <w:rFonts w:hint="default"/>
          <w:color w:val="auto"/>
          <w:sz w:val="24"/>
          <w:szCs w:val="24"/>
          <w:highlight w:val="none"/>
        </w:rPr>
      </w:pPr>
    </w:p>
    <w:p w14:paraId="70998606">
      <w:pPr>
        <w:pStyle w:val="3"/>
        <w:tabs>
          <w:tab w:val="left" w:pos="8549"/>
        </w:tabs>
        <w:kinsoku w:val="0"/>
        <w:overflowPunct w:val="0"/>
        <w:spacing w:before="36"/>
        <w:ind w:left="2793" w:right="113"/>
        <w:rPr>
          <w:rFonts w:hint="eastAsia" w:ascii="Times New Roman" w:hAnsi="Times New Roman" w:eastAsia="Times New Roman"/>
          <w:color w:val="auto"/>
          <w:sz w:val="24"/>
          <w:szCs w:val="24"/>
          <w:highlight w:val="none"/>
          <w:lang w:val="en-US" w:eastAsia="zh-CN"/>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3F6A91D7">
      <w:pPr>
        <w:pStyle w:val="3"/>
        <w:kinsoku w:val="0"/>
        <w:overflowPunct w:val="0"/>
        <w:ind w:left="0"/>
        <w:rPr>
          <w:rFonts w:hint="eastAsia" w:ascii="Times New Roman" w:hAnsi="Times New Roman" w:eastAsia="Times New Roman"/>
          <w:color w:val="auto"/>
          <w:sz w:val="24"/>
          <w:szCs w:val="24"/>
          <w:highlight w:val="none"/>
        </w:rPr>
      </w:pPr>
    </w:p>
    <w:p w14:paraId="59C73123">
      <w:pPr>
        <w:pStyle w:val="3"/>
        <w:tabs>
          <w:tab w:val="left" w:pos="7661"/>
        </w:tabs>
        <w:kinsoku w:val="0"/>
        <w:overflowPunct w:val="0"/>
        <w:spacing w:before="36"/>
        <w:ind w:left="2793" w:right="113"/>
        <w:rPr>
          <w:rFonts w:hint="default"/>
          <w:color w:val="auto"/>
          <w:spacing w:val="-1"/>
          <w:sz w:val="24"/>
          <w:szCs w:val="24"/>
          <w:highlight w:val="none"/>
        </w:rPr>
      </w:pPr>
      <w:r>
        <w:rPr>
          <w:rFonts w:hint="default"/>
          <w:color w:val="auto"/>
          <w:spacing w:val="-2"/>
          <w:sz w:val="24"/>
          <w:szCs w:val="24"/>
          <w:highlight w:val="none"/>
        </w:rPr>
        <w:t>委托代理人：</w:t>
      </w:r>
      <w:r>
        <w:rPr>
          <w:rFonts w:hint="default"/>
          <w:color w:val="auto"/>
          <w:spacing w:val="-2"/>
          <w:sz w:val="24"/>
          <w:szCs w:val="24"/>
          <w:highlight w:val="none"/>
          <w:u w:val="single"/>
          <w:lang w:val="en-US" w:eastAsia="zh-CN"/>
        </w:rPr>
        <w:t xml:space="preserve">                        </w:t>
      </w:r>
      <w:r>
        <w:rPr>
          <w:rFonts w:hint="default"/>
          <w:color w:val="auto"/>
          <w:spacing w:val="-1"/>
          <w:sz w:val="24"/>
          <w:szCs w:val="24"/>
          <w:highlight w:val="none"/>
        </w:rPr>
        <w:t>（签字或盖章）</w:t>
      </w:r>
    </w:p>
    <w:p w14:paraId="5E7BEAB9">
      <w:pPr>
        <w:pStyle w:val="3"/>
        <w:kinsoku w:val="0"/>
        <w:overflowPunct w:val="0"/>
        <w:ind w:left="0"/>
        <w:rPr>
          <w:rFonts w:hint="default"/>
          <w:color w:val="auto"/>
          <w:sz w:val="24"/>
          <w:szCs w:val="24"/>
          <w:highlight w:val="none"/>
        </w:rPr>
      </w:pPr>
    </w:p>
    <w:p w14:paraId="4DFDE309">
      <w:pPr>
        <w:pStyle w:val="3"/>
        <w:tabs>
          <w:tab w:val="left" w:pos="8549"/>
        </w:tabs>
        <w:kinsoku w:val="0"/>
        <w:overflowPunct w:val="0"/>
        <w:spacing w:before="36"/>
        <w:ind w:left="2793" w:right="113"/>
        <w:rPr>
          <w:rFonts w:hint="eastAsia" w:ascii="Times New Roman" w:hAnsi="Times New Roman" w:eastAsia="Times New Roman"/>
          <w:color w:val="auto"/>
          <w:sz w:val="24"/>
          <w:szCs w:val="24"/>
          <w:highlight w:val="none"/>
          <w:u w:val="single"/>
        </w:rPr>
      </w:pPr>
      <w:r>
        <w:rPr>
          <w:rFonts w:hint="default"/>
          <w:color w:val="auto"/>
          <w:sz w:val="24"/>
          <w:szCs w:val="24"/>
          <w:highlight w:val="none"/>
        </w:rPr>
        <w:t>身份证号码：</w:t>
      </w:r>
      <w:r>
        <w:rPr>
          <w:rFonts w:hint="eastAsia" w:ascii="Times New Roman" w:hAnsi="Times New Roman" w:eastAsia="Times New Roman"/>
          <w:color w:val="auto"/>
          <w:sz w:val="24"/>
          <w:szCs w:val="24"/>
          <w:highlight w:val="none"/>
          <w:u w:val="single"/>
        </w:rPr>
        <w:t xml:space="preserve"> </w:t>
      </w:r>
      <w:r>
        <w:rPr>
          <w:rFonts w:hint="default" w:hAnsi="Times New Roman"/>
          <w:color w:val="auto"/>
          <w:sz w:val="24"/>
          <w:szCs w:val="24"/>
          <w:highlight w:val="none"/>
          <w:u w:val="single"/>
          <w:lang w:val="en-US" w:eastAsia="zh-CN"/>
        </w:rPr>
        <w:t xml:space="preserve">                        </w:t>
      </w:r>
      <w:r>
        <w:rPr>
          <w:rFonts w:hint="default" w:hAnsi="Times New Roman"/>
          <w:color w:val="auto"/>
          <w:sz w:val="24"/>
          <w:szCs w:val="24"/>
          <w:highlight w:val="none"/>
          <w:lang w:val="en-US" w:eastAsia="zh-CN"/>
        </w:rPr>
        <w:t xml:space="preserve">               </w:t>
      </w:r>
    </w:p>
    <w:p w14:paraId="640645BD">
      <w:pPr>
        <w:pStyle w:val="3"/>
        <w:kinsoku w:val="0"/>
        <w:overflowPunct w:val="0"/>
        <w:spacing w:before="9"/>
        <w:ind w:left="0"/>
        <w:rPr>
          <w:rFonts w:hint="eastAsia" w:ascii="Times New Roman" w:hAnsi="Times New Roman" w:eastAsia="Times New Roman"/>
          <w:color w:val="auto"/>
          <w:sz w:val="24"/>
          <w:szCs w:val="24"/>
          <w:highlight w:val="none"/>
        </w:rPr>
      </w:pPr>
    </w:p>
    <w:p w14:paraId="7DAF64C0">
      <w:pPr>
        <w:pStyle w:val="3"/>
        <w:tabs>
          <w:tab w:val="left" w:pos="736"/>
          <w:tab w:val="left" w:pos="1682"/>
          <w:tab w:val="left" w:pos="2626"/>
        </w:tabs>
        <w:kinsoku w:val="0"/>
        <w:overflowPunct w:val="0"/>
        <w:spacing w:before="36"/>
        <w:ind w:left="0" w:right="113"/>
        <w:jc w:val="both"/>
        <w:rPr>
          <w:rFonts w:hint="default"/>
          <w:color w:val="auto"/>
          <w:sz w:val="24"/>
          <w:szCs w:val="24"/>
          <w:highlight w:val="none"/>
          <w:u w:val="single"/>
          <w:lang w:val="en-US" w:eastAsia="zh-CN"/>
        </w:rPr>
      </w:pPr>
      <w:r>
        <w:rPr>
          <w:rFonts w:hint="default"/>
          <w:color w:val="auto"/>
          <w:sz w:val="24"/>
          <w:szCs w:val="24"/>
          <w:highlight w:val="none"/>
          <w:lang w:val="en-US" w:eastAsia="zh-CN"/>
        </w:rPr>
        <w:t xml:space="preserve">                                  </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年</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月</w:t>
      </w:r>
      <w:r>
        <w:rPr>
          <w:rFonts w:hint="default"/>
          <w:color w:val="auto"/>
          <w:sz w:val="24"/>
          <w:szCs w:val="24"/>
          <w:highlight w:val="none"/>
          <w:u w:val="single"/>
          <w:lang w:val="en-US" w:eastAsia="zh-CN"/>
        </w:rPr>
        <w:t xml:space="preserve">     </w:t>
      </w:r>
      <w:r>
        <w:rPr>
          <w:rFonts w:hint="default"/>
          <w:color w:val="auto"/>
          <w:sz w:val="24"/>
          <w:szCs w:val="24"/>
          <w:highlight w:val="none"/>
          <w:lang w:val="en-US" w:eastAsia="zh-CN"/>
        </w:rPr>
        <w:t>日</w:t>
      </w:r>
    </w:p>
    <w:p w14:paraId="26E2FD82">
      <w:pPr>
        <w:pStyle w:val="3"/>
        <w:tabs>
          <w:tab w:val="left" w:pos="736"/>
          <w:tab w:val="left" w:pos="1682"/>
          <w:tab w:val="left" w:pos="2626"/>
        </w:tabs>
        <w:kinsoku w:val="0"/>
        <w:overflowPunct w:val="0"/>
        <w:spacing w:before="36"/>
        <w:ind w:left="0"/>
        <w:jc w:val="right"/>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6A27345C">
      <w:pPr>
        <w:pStyle w:val="6"/>
        <w:kinsoku w:val="0"/>
        <w:overflowPunct w:val="0"/>
        <w:spacing w:line="456" w:lineRule="exact"/>
        <w:ind w:right="1"/>
        <w:jc w:val="center"/>
        <w:outlineLvl w:val="1"/>
        <w:rPr>
          <w:rFonts w:hint="eastAsia" w:ascii="宋体" w:hAnsi="宋体" w:eastAsia="宋体" w:cs="Times New Roman"/>
          <w:color w:val="auto"/>
          <w:sz w:val="28"/>
          <w:szCs w:val="24"/>
          <w:highlight w:val="none"/>
          <w:lang w:val="en-US" w:eastAsia="zh-CN"/>
        </w:rPr>
      </w:pPr>
      <w:bookmarkStart w:id="174" w:name="bookmark181"/>
      <w:bookmarkEnd w:id="174"/>
      <w:bookmarkStart w:id="175" w:name="bookmark184"/>
      <w:bookmarkEnd w:id="175"/>
      <w:bookmarkStart w:id="176" w:name="_Toc9753"/>
      <w:bookmarkStart w:id="177" w:name="_Toc26761"/>
      <w:r>
        <w:rPr>
          <w:rFonts w:hint="eastAsia" w:ascii="宋体" w:hAnsi="宋体" w:eastAsia="宋体" w:cs="Times New Roman"/>
          <w:color w:val="auto"/>
          <w:sz w:val="28"/>
          <w:szCs w:val="24"/>
          <w:highlight w:val="none"/>
          <w:lang w:val="en-US" w:eastAsia="zh-CN"/>
        </w:rPr>
        <w:t>四</w:t>
      </w:r>
      <w:r>
        <w:rPr>
          <w:rFonts w:hint="default" w:ascii="宋体" w:hAnsi="宋体" w:eastAsia="宋体" w:cs="Times New Roman"/>
          <w:color w:val="auto"/>
          <w:sz w:val="28"/>
          <w:szCs w:val="24"/>
          <w:highlight w:val="none"/>
          <w:lang w:val="en-US" w:eastAsia="zh-CN"/>
        </w:rPr>
        <w:t>、投标保证金</w:t>
      </w:r>
      <w:bookmarkEnd w:id="176"/>
    </w:p>
    <w:p w14:paraId="0928810F">
      <w:pPr>
        <w:rPr>
          <w:rFonts w:hint="eastAsia"/>
          <w:color w:val="auto"/>
          <w:sz w:val="28"/>
          <w:szCs w:val="24"/>
          <w:highlight w:val="none"/>
          <w:lang w:val="en-US" w:eastAsia="zh-CN"/>
        </w:rPr>
      </w:pPr>
      <w:r>
        <w:rPr>
          <w:rFonts w:hint="eastAsia"/>
          <w:color w:val="auto"/>
          <w:sz w:val="28"/>
          <w:szCs w:val="24"/>
          <w:highlight w:val="none"/>
          <w:lang w:val="en-US" w:eastAsia="zh-CN"/>
        </w:rPr>
        <w:br w:type="page"/>
      </w:r>
    </w:p>
    <w:p w14:paraId="7E3993DA">
      <w:pPr>
        <w:pStyle w:val="6"/>
        <w:kinsoku w:val="0"/>
        <w:overflowPunct w:val="0"/>
        <w:spacing w:line="456" w:lineRule="exact"/>
        <w:ind w:right="1"/>
        <w:jc w:val="center"/>
        <w:outlineLvl w:val="1"/>
        <w:rPr>
          <w:rFonts w:hint="default"/>
          <w:b w:val="0"/>
          <w:color w:val="auto"/>
          <w:sz w:val="28"/>
          <w:szCs w:val="24"/>
          <w:highlight w:val="none"/>
        </w:rPr>
      </w:pPr>
      <w:r>
        <w:rPr>
          <w:rFonts w:hint="eastAsia"/>
          <w:color w:val="auto"/>
          <w:sz w:val="28"/>
          <w:szCs w:val="24"/>
          <w:highlight w:val="none"/>
          <w:lang w:val="en-US" w:eastAsia="zh-CN"/>
        </w:rPr>
        <w:t>五</w:t>
      </w:r>
      <w:r>
        <w:rPr>
          <w:rFonts w:hint="default"/>
          <w:color w:val="auto"/>
          <w:sz w:val="28"/>
          <w:szCs w:val="24"/>
          <w:highlight w:val="none"/>
        </w:rPr>
        <w:t>、资格审查资料</w:t>
      </w:r>
      <w:bookmarkEnd w:id="177"/>
    </w:p>
    <w:p w14:paraId="17AC8056">
      <w:pPr>
        <w:pStyle w:val="3"/>
        <w:kinsoku w:val="0"/>
        <w:overflowPunct w:val="0"/>
        <w:spacing w:before="10"/>
        <w:ind w:left="0"/>
        <w:rPr>
          <w:rFonts w:hint="eastAsia" w:ascii="Microsoft JhengHei" w:hAnsi="Microsoft JhengHei" w:eastAsia="Microsoft JhengHei"/>
          <w:b/>
          <w:color w:val="auto"/>
          <w:sz w:val="15"/>
          <w:szCs w:val="24"/>
          <w:highlight w:val="none"/>
        </w:rPr>
      </w:pPr>
    </w:p>
    <w:p w14:paraId="0F0A2099">
      <w:pPr>
        <w:pStyle w:val="7"/>
        <w:outlineLvl w:val="2"/>
        <w:rPr>
          <w:rFonts w:hint="default"/>
          <w:b/>
          <w:color w:val="auto"/>
          <w:sz w:val="24"/>
          <w:szCs w:val="24"/>
          <w:highlight w:val="none"/>
        </w:rPr>
      </w:pPr>
      <w:bookmarkStart w:id="178" w:name="bookmark185"/>
      <w:bookmarkEnd w:id="178"/>
      <w:bookmarkStart w:id="179" w:name="_Toc25320"/>
      <w:r>
        <w:rPr>
          <w:rFonts w:hint="default"/>
          <w:b/>
          <w:color w:val="auto"/>
          <w:sz w:val="24"/>
          <w:szCs w:val="24"/>
          <w:highlight w:val="none"/>
        </w:rPr>
        <w:t>（一）基本情况表</w:t>
      </w:r>
      <w:bookmarkEnd w:id="179"/>
    </w:p>
    <w:p w14:paraId="1E2836E2">
      <w:pPr>
        <w:pStyle w:val="3"/>
        <w:kinsoku w:val="0"/>
        <w:overflowPunct w:val="0"/>
        <w:ind w:left="0"/>
        <w:rPr>
          <w:rFonts w:hint="default"/>
          <w:color w:val="auto"/>
          <w:sz w:val="23"/>
          <w:szCs w:val="24"/>
          <w:highlight w:val="none"/>
        </w:rPr>
      </w:pPr>
    </w:p>
    <w:tbl>
      <w:tblPr>
        <w:tblStyle w:val="22"/>
        <w:tblW w:w="9212" w:type="dxa"/>
        <w:tblInd w:w="-1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396D0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16E19">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597D7693">
            <w:pPr>
              <w:rPr>
                <w:rFonts w:hint="default" w:ascii="宋体" w:hAnsi="宋体" w:eastAsia="宋体" w:cs="宋体"/>
                <w:color w:val="auto"/>
                <w:sz w:val="24"/>
                <w:szCs w:val="24"/>
                <w:highlight w:val="none"/>
              </w:rPr>
            </w:pPr>
          </w:p>
        </w:tc>
      </w:tr>
      <w:tr w14:paraId="75D97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5A850A">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37FABBF">
            <w:pPr>
              <w:rPr>
                <w:rFonts w:hint="default" w:ascii="宋体" w:hAnsi="宋体" w:eastAsia="宋体" w:cs="宋体"/>
                <w:color w:val="auto"/>
                <w:sz w:val="24"/>
                <w:szCs w:val="24"/>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D4A9F47">
            <w:pPr>
              <w:pStyle w:val="31"/>
              <w:kinsoku w:val="0"/>
              <w:overflowPunct w:val="0"/>
              <w:spacing w:before="107"/>
              <w:ind w:left="21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500D58B">
            <w:pPr>
              <w:rPr>
                <w:rFonts w:hint="default" w:ascii="宋体" w:hAnsi="宋体" w:eastAsia="宋体" w:cs="宋体"/>
                <w:color w:val="auto"/>
                <w:sz w:val="24"/>
                <w:szCs w:val="24"/>
                <w:highlight w:val="none"/>
              </w:rPr>
            </w:pPr>
          </w:p>
        </w:tc>
      </w:tr>
      <w:tr w14:paraId="52BA4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77D81">
            <w:pPr>
              <w:pStyle w:val="31"/>
              <w:kinsoku w:val="0"/>
              <w:overflowPunct w:val="0"/>
              <w:jc w:val="center"/>
              <w:rPr>
                <w:rFonts w:hint="default" w:ascii="宋体" w:hAnsi="宋体" w:eastAsia="宋体" w:cs="宋体"/>
                <w:color w:val="auto"/>
                <w:sz w:val="24"/>
                <w:szCs w:val="24"/>
                <w:highlight w:val="none"/>
              </w:rPr>
            </w:pPr>
          </w:p>
          <w:p w14:paraId="6C961B67">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98C480">
            <w:pPr>
              <w:pStyle w:val="31"/>
              <w:kinsoku w:val="0"/>
              <w:overflowPunct w:val="0"/>
              <w:spacing w:before="107"/>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95D83C7">
            <w:pPr>
              <w:rPr>
                <w:rFonts w:hint="default" w:ascii="宋体" w:hAnsi="宋体" w:eastAsia="宋体" w:cs="宋体"/>
                <w:color w:val="auto"/>
                <w:sz w:val="24"/>
                <w:szCs w:val="24"/>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CD2A02D">
            <w:pPr>
              <w:pStyle w:val="31"/>
              <w:kinsoku w:val="0"/>
              <w:overflowPunct w:val="0"/>
              <w:spacing w:before="107"/>
              <w:ind w:left="374"/>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电</w:t>
            </w:r>
            <w:r>
              <w:rPr>
                <w:rFonts w:hint="default" w:ascii="宋体" w:hAnsi="宋体" w:eastAsia="宋体" w:cs="宋体"/>
                <w:color w:val="auto"/>
                <w:spacing w:val="2"/>
                <w:sz w:val="24"/>
                <w:szCs w:val="24"/>
                <w:highlight w:val="none"/>
              </w:rPr>
              <w:t xml:space="preserve"> </w:t>
            </w:r>
            <w:r>
              <w:rPr>
                <w:rFonts w:hint="default" w:ascii="宋体" w:hAnsi="宋体" w:eastAsia="宋体" w:cs="宋体"/>
                <w:color w:val="auto"/>
                <w:sz w:val="24"/>
                <w:szCs w:val="24"/>
                <w:highlight w:val="none"/>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734AA8A8">
            <w:pPr>
              <w:rPr>
                <w:rFonts w:hint="default" w:ascii="宋体" w:hAnsi="宋体" w:eastAsia="宋体" w:cs="宋体"/>
                <w:color w:val="auto"/>
                <w:sz w:val="24"/>
                <w:szCs w:val="24"/>
                <w:highlight w:val="none"/>
              </w:rPr>
            </w:pPr>
          </w:p>
        </w:tc>
      </w:tr>
      <w:tr w14:paraId="649C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34068">
            <w:pPr>
              <w:jc w:val="center"/>
              <w:rPr>
                <w:rFonts w:hint="default" w:ascii="宋体" w:hAnsi="宋体" w:eastAsia="宋体" w:cs="宋体"/>
                <w:color w:val="auto"/>
                <w:sz w:val="24"/>
                <w:szCs w:val="24"/>
                <w:highlight w:val="none"/>
              </w:rPr>
            </w:pP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CF8C56">
            <w:pPr>
              <w:pStyle w:val="31"/>
              <w:tabs>
                <w:tab w:val="left" w:pos="550"/>
              </w:tabs>
              <w:kinsoku w:val="0"/>
              <w:overflowPunct w:val="0"/>
              <w:spacing w:before="108"/>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传</w:t>
            </w:r>
            <w:r>
              <w:rPr>
                <w:rFonts w:hint="default" w:ascii="宋体" w:hAnsi="宋体" w:eastAsia="宋体" w:cs="宋体"/>
                <w:color w:val="auto"/>
                <w:sz w:val="24"/>
                <w:szCs w:val="24"/>
                <w:highlight w:val="none"/>
                <w:lang w:val="en-US" w:eastAsia="zh-CN"/>
              </w:rPr>
              <w:t>真</w:t>
            </w:r>
            <w:r>
              <w:rPr>
                <w:rFonts w:hint="default" w:ascii="宋体" w:hAnsi="宋体" w:eastAsia="宋体" w:cs="宋体"/>
                <w:color w:val="auto"/>
                <w:sz w:val="24"/>
                <w:szCs w:val="24"/>
                <w:highlight w:val="none"/>
              </w:rPr>
              <w:tab/>
            </w:r>
            <w:r>
              <w:rPr>
                <w:rFonts w:hint="default" w:ascii="宋体" w:hAnsi="宋体" w:eastAsia="宋体" w:cs="宋体"/>
                <w:color w:val="auto"/>
                <w:sz w:val="24"/>
                <w:szCs w:val="24"/>
                <w:highlight w:val="none"/>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62AFED2B">
            <w:pPr>
              <w:rPr>
                <w:rFonts w:hint="default" w:ascii="宋体" w:hAnsi="宋体" w:eastAsia="宋体" w:cs="宋体"/>
                <w:color w:val="auto"/>
                <w:sz w:val="24"/>
                <w:szCs w:val="24"/>
                <w:highlight w:val="none"/>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55C4646">
            <w:pPr>
              <w:pStyle w:val="31"/>
              <w:kinsoku w:val="0"/>
              <w:overflowPunct w:val="0"/>
              <w:spacing w:before="108"/>
              <w:ind w:left="374"/>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网</w:t>
            </w:r>
            <w:r>
              <w:rPr>
                <w:rFonts w:hint="default" w:ascii="宋体" w:hAnsi="宋体" w:eastAsia="宋体" w:cs="宋体"/>
                <w:color w:val="auto"/>
                <w:spacing w:val="2"/>
                <w:sz w:val="24"/>
                <w:szCs w:val="24"/>
                <w:highlight w:val="none"/>
              </w:rPr>
              <w:t xml:space="preserve"> </w:t>
            </w:r>
            <w:r>
              <w:rPr>
                <w:rFonts w:hint="default" w:ascii="宋体" w:hAnsi="宋体" w:eastAsia="宋体" w:cs="宋体"/>
                <w:color w:val="auto"/>
                <w:sz w:val="24"/>
                <w:szCs w:val="24"/>
                <w:highlight w:val="none"/>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E2303C7">
            <w:pPr>
              <w:rPr>
                <w:rFonts w:hint="default" w:ascii="宋体" w:hAnsi="宋体" w:eastAsia="宋体" w:cs="宋体"/>
                <w:color w:val="auto"/>
                <w:sz w:val="24"/>
                <w:szCs w:val="24"/>
                <w:highlight w:val="none"/>
              </w:rPr>
            </w:pPr>
          </w:p>
        </w:tc>
      </w:tr>
      <w:tr w14:paraId="2021C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0D3C3">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5423F84">
            <w:pPr>
              <w:pStyle w:val="31"/>
              <w:kinsoku w:val="0"/>
              <w:overflowPunct w:val="0"/>
              <w:spacing w:before="107"/>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9E81EC">
            <w:pPr>
              <w:rPr>
                <w:rFonts w:hint="default" w:ascii="宋体" w:hAnsi="宋体" w:eastAsia="宋体" w:cs="宋体"/>
                <w:color w:val="auto"/>
                <w:sz w:val="24"/>
                <w:szCs w:val="24"/>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09F8E2">
            <w:pPr>
              <w:pStyle w:val="31"/>
              <w:kinsoku w:val="0"/>
              <w:overflowPunct w:val="0"/>
              <w:spacing w:before="107"/>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EF72F7C">
            <w:pPr>
              <w:rPr>
                <w:rFonts w:hint="default" w:ascii="宋体" w:hAnsi="宋体" w:eastAsia="宋体" w:cs="宋体"/>
                <w:color w:val="auto"/>
                <w:sz w:val="24"/>
                <w:szCs w:val="24"/>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4D2B68D">
            <w:pPr>
              <w:pStyle w:val="31"/>
              <w:kinsoku w:val="0"/>
              <w:overflowPunct w:val="0"/>
              <w:spacing w:before="107"/>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36DDE6">
            <w:pPr>
              <w:rPr>
                <w:rFonts w:hint="default" w:ascii="宋体" w:hAnsi="宋体" w:eastAsia="宋体" w:cs="宋体"/>
                <w:color w:val="auto"/>
                <w:sz w:val="24"/>
                <w:szCs w:val="24"/>
                <w:highlight w:val="none"/>
              </w:rPr>
            </w:pPr>
          </w:p>
        </w:tc>
      </w:tr>
      <w:tr w14:paraId="4AC06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A8DD2">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B810C4">
            <w:pPr>
              <w:pStyle w:val="31"/>
              <w:kinsoku w:val="0"/>
              <w:overflowPunct w:val="0"/>
              <w:spacing w:before="107"/>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FAF70">
            <w:pPr>
              <w:rPr>
                <w:rFonts w:hint="default" w:ascii="宋体" w:hAnsi="宋体" w:eastAsia="宋体" w:cs="宋体"/>
                <w:color w:val="auto"/>
                <w:sz w:val="24"/>
                <w:szCs w:val="24"/>
                <w:highlight w:val="none"/>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3B5F5E">
            <w:pPr>
              <w:pStyle w:val="31"/>
              <w:kinsoku w:val="0"/>
              <w:overflowPunct w:val="0"/>
              <w:spacing w:before="107"/>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D900001">
            <w:pPr>
              <w:rPr>
                <w:rFonts w:hint="default" w:ascii="宋体" w:hAnsi="宋体" w:eastAsia="宋体" w:cs="宋体"/>
                <w:color w:val="auto"/>
                <w:sz w:val="24"/>
                <w:szCs w:val="24"/>
                <w:highlight w:val="none"/>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45C610FC">
            <w:pPr>
              <w:pStyle w:val="31"/>
              <w:kinsoku w:val="0"/>
              <w:overflowPunct w:val="0"/>
              <w:spacing w:before="107"/>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DC79FD">
            <w:pPr>
              <w:rPr>
                <w:rFonts w:hint="default" w:ascii="宋体" w:hAnsi="宋体" w:eastAsia="宋体" w:cs="宋体"/>
                <w:color w:val="auto"/>
                <w:sz w:val="24"/>
                <w:szCs w:val="24"/>
                <w:highlight w:val="none"/>
              </w:rPr>
            </w:pPr>
          </w:p>
        </w:tc>
      </w:tr>
      <w:tr w14:paraId="0452A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9E926">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企业资质证书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387B9EC6">
            <w:pPr>
              <w:pStyle w:val="31"/>
              <w:tabs>
                <w:tab w:val="left" w:pos="3785"/>
                <w:tab w:val="left" w:pos="5045"/>
              </w:tabs>
              <w:kinsoku w:val="0"/>
              <w:overflowPunct w:val="0"/>
              <w:spacing w:before="107"/>
              <w:ind w:left="1054"/>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类型：</w:t>
            </w:r>
            <w:r>
              <w:rPr>
                <w:rFonts w:hint="default" w:ascii="宋体" w:hAnsi="宋体" w:eastAsia="宋体" w:cs="宋体"/>
                <w:color w:val="auto"/>
                <w:sz w:val="24"/>
                <w:szCs w:val="24"/>
                <w:highlight w:val="none"/>
              </w:rPr>
              <w:tab/>
            </w:r>
            <w:r>
              <w:rPr>
                <w:rFonts w:hint="default" w:ascii="宋体" w:hAnsi="宋体" w:eastAsia="宋体" w:cs="宋体"/>
                <w:color w:val="auto"/>
                <w:spacing w:val="-1"/>
                <w:sz w:val="24"/>
                <w:szCs w:val="24"/>
                <w:highlight w:val="none"/>
              </w:rPr>
              <w:t>等级：</w:t>
            </w:r>
            <w:r>
              <w:rPr>
                <w:rFonts w:hint="default" w:ascii="宋体" w:hAnsi="宋体" w:eastAsia="宋体" w:cs="宋体"/>
                <w:color w:val="auto"/>
                <w:spacing w:val="-1"/>
                <w:sz w:val="24"/>
                <w:szCs w:val="24"/>
                <w:highlight w:val="none"/>
              </w:rPr>
              <w:tab/>
            </w:r>
            <w:r>
              <w:rPr>
                <w:rFonts w:hint="default" w:ascii="宋体" w:hAnsi="宋体" w:eastAsia="宋体" w:cs="宋体"/>
                <w:color w:val="auto"/>
                <w:spacing w:val="-2"/>
                <w:sz w:val="24"/>
                <w:szCs w:val="24"/>
                <w:highlight w:val="none"/>
              </w:rPr>
              <w:t>证书号：</w:t>
            </w:r>
          </w:p>
        </w:tc>
      </w:tr>
      <w:tr w14:paraId="6597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ECE4C">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质量管理体系证书</w:t>
            </w:r>
          </w:p>
          <w:p w14:paraId="66FF90F0">
            <w:pPr>
              <w:pStyle w:val="31"/>
              <w:kinsoku w:val="0"/>
              <w:overflowPunct w:val="0"/>
              <w:ind w:right="101"/>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5A08784">
            <w:pPr>
              <w:pStyle w:val="31"/>
              <w:kinsoku w:val="0"/>
              <w:overflowPunct w:val="0"/>
              <w:spacing w:before="1"/>
              <w:rPr>
                <w:rFonts w:hint="default" w:ascii="宋体" w:hAnsi="宋体" w:eastAsia="宋体" w:cs="宋体"/>
                <w:color w:val="auto"/>
                <w:sz w:val="24"/>
                <w:szCs w:val="24"/>
                <w:highlight w:val="none"/>
              </w:rPr>
            </w:pPr>
          </w:p>
          <w:p w14:paraId="4DE3E4EC">
            <w:pPr>
              <w:pStyle w:val="31"/>
              <w:tabs>
                <w:tab w:val="left" w:pos="3785"/>
                <w:tab w:val="left" w:pos="5045"/>
              </w:tabs>
              <w:kinsoku w:val="0"/>
              <w:overflowPunct w:val="0"/>
              <w:ind w:left="1054"/>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类型：</w:t>
            </w:r>
            <w:r>
              <w:rPr>
                <w:rFonts w:hint="default" w:ascii="宋体" w:hAnsi="宋体" w:eastAsia="宋体" w:cs="宋体"/>
                <w:color w:val="auto"/>
                <w:sz w:val="24"/>
                <w:szCs w:val="24"/>
                <w:highlight w:val="none"/>
              </w:rPr>
              <w:tab/>
            </w:r>
            <w:r>
              <w:rPr>
                <w:rFonts w:hint="default" w:ascii="宋体" w:hAnsi="宋体" w:eastAsia="宋体" w:cs="宋体"/>
                <w:color w:val="auto"/>
                <w:spacing w:val="-1"/>
                <w:sz w:val="24"/>
                <w:szCs w:val="24"/>
                <w:highlight w:val="none"/>
              </w:rPr>
              <w:t>等级：</w:t>
            </w:r>
            <w:r>
              <w:rPr>
                <w:rFonts w:hint="default" w:ascii="宋体" w:hAnsi="宋体" w:eastAsia="宋体" w:cs="宋体"/>
                <w:color w:val="auto"/>
                <w:spacing w:val="-1"/>
                <w:sz w:val="24"/>
                <w:szCs w:val="24"/>
                <w:highlight w:val="none"/>
              </w:rPr>
              <w:tab/>
            </w:r>
            <w:r>
              <w:rPr>
                <w:rFonts w:hint="default" w:ascii="宋体" w:hAnsi="宋体" w:eastAsia="宋体" w:cs="宋体"/>
                <w:color w:val="auto"/>
                <w:spacing w:val="-2"/>
                <w:sz w:val="24"/>
                <w:szCs w:val="24"/>
                <w:highlight w:val="none"/>
              </w:rPr>
              <w:t>证书号：</w:t>
            </w:r>
          </w:p>
        </w:tc>
      </w:tr>
      <w:tr w14:paraId="118F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09B466">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E6592C6">
            <w:pPr>
              <w:rPr>
                <w:rFonts w:hint="default" w:ascii="宋体" w:hAnsi="宋体" w:eastAsia="宋体" w:cs="宋体"/>
                <w:color w:val="auto"/>
                <w:sz w:val="24"/>
                <w:szCs w:val="24"/>
                <w:highlight w:val="none"/>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noWrap w:val="0"/>
            <w:vAlign w:val="top"/>
          </w:tcPr>
          <w:p w14:paraId="4F428D83">
            <w:pPr>
              <w:pStyle w:val="31"/>
              <w:kinsoku w:val="0"/>
              <w:overflowPunct w:val="0"/>
              <w:spacing w:before="107"/>
              <w:ind w:left="1178"/>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员工总人数：</w:t>
            </w:r>
          </w:p>
        </w:tc>
      </w:tr>
      <w:tr w14:paraId="517BA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B5BAC">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497A2528">
            <w:pPr>
              <w:rPr>
                <w:rFonts w:hint="default" w:ascii="宋体" w:hAnsi="宋体" w:eastAsia="宋体" w:cs="宋体"/>
                <w:color w:val="auto"/>
                <w:sz w:val="24"/>
                <w:szCs w:val="24"/>
                <w:highlight w:val="none"/>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D7DEE">
            <w:pPr>
              <w:pStyle w:val="31"/>
              <w:kinsoku w:val="0"/>
              <w:overflowPunct w:val="0"/>
              <w:spacing w:line="384" w:lineRule="auto"/>
              <w:ind w:right="89"/>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04D73">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0D1D42F8">
            <w:pPr>
              <w:rPr>
                <w:rFonts w:hint="default" w:ascii="宋体" w:hAnsi="宋体" w:eastAsia="宋体" w:cs="宋体"/>
                <w:color w:val="auto"/>
                <w:sz w:val="24"/>
                <w:szCs w:val="24"/>
                <w:highlight w:val="none"/>
              </w:rPr>
            </w:pPr>
          </w:p>
        </w:tc>
      </w:tr>
      <w:tr w14:paraId="48952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8F429">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922E58E">
            <w:pPr>
              <w:rPr>
                <w:rFonts w:hint="default" w:ascii="宋体" w:hAnsi="宋体" w:eastAsia="宋体" w:cs="宋体"/>
                <w:color w:val="auto"/>
                <w:sz w:val="24"/>
                <w:szCs w:val="24"/>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0733A486">
            <w:pPr>
              <w:rPr>
                <w:rFonts w:hint="default" w:ascii="宋体" w:hAnsi="宋体" w:eastAsia="宋体" w:cs="宋体"/>
                <w:color w:val="auto"/>
                <w:sz w:val="24"/>
                <w:szCs w:val="24"/>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1D8D6">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2D30CF85">
            <w:pPr>
              <w:rPr>
                <w:rFonts w:hint="default" w:ascii="宋体" w:hAnsi="宋体" w:eastAsia="宋体" w:cs="宋体"/>
                <w:color w:val="auto"/>
                <w:sz w:val="24"/>
                <w:szCs w:val="24"/>
                <w:highlight w:val="none"/>
              </w:rPr>
            </w:pPr>
          </w:p>
        </w:tc>
      </w:tr>
      <w:tr w14:paraId="376F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B5266">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0192820D">
            <w:pPr>
              <w:rPr>
                <w:rFonts w:hint="default" w:ascii="宋体" w:hAnsi="宋体" w:eastAsia="宋体" w:cs="宋体"/>
                <w:color w:val="auto"/>
                <w:sz w:val="24"/>
                <w:szCs w:val="24"/>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2BC6A9C6">
            <w:pPr>
              <w:rPr>
                <w:rFonts w:hint="default" w:ascii="宋体" w:hAnsi="宋体" w:eastAsia="宋体" w:cs="宋体"/>
                <w:color w:val="auto"/>
                <w:sz w:val="24"/>
                <w:szCs w:val="24"/>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93D52">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167E869D">
            <w:pPr>
              <w:rPr>
                <w:rFonts w:hint="default" w:ascii="宋体" w:hAnsi="宋体" w:eastAsia="宋体" w:cs="宋体"/>
                <w:color w:val="auto"/>
                <w:sz w:val="24"/>
                <w:szCs w:val="24"/>
                <w:highlight w:val="none"/>
              </w:rPr>
            </w:pPr>
          </w:p>
        </w:tc>
      </w:tr>
      <w:tr w14:paraId="4FFBF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69993">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top"/>
          </w:tcPr>
          <w:p w14:paraId="3D943A02">
            <w:pPr>
              <w:rPr>
                <w:rFonts w:hint="default" w:ascii="宋体" w:hAnsi="宋体" w:eastAsia="宋体" w:cs="宋体"/>
                <w:color w:val="auto"/>
                <w:sz w:val="24"/>
                <w:szCs w:val="24"/>
                <w:highlight w:val="none"/>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top"/>
          </w:tcPr>
          <w:p w14:paraId="56AC8114">
            <w:pPr>
              <w:rPr>
                <w:rFonts w:hint="default" w:ascii="宋体" w:hAnsi="宋体" w:eastAsia="宋体" w:cs="宋体"/>
                <w:color w:val="auto"/>
                <w:sz w:val="24"/>
                <w:szCs w:val="24"/>
                <w:highlight w:val="none"/>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945B3">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763AD8A7">
            <w:pPr>
              <w:rPr>
                <w:rFonts w:hint="default" w:ascii="宋体" w:hAnsi="宋体" w:eastAsia="宋体" w:cs="宋体"/>
                <w:color w:val="auto"/>
                <w:sz w:val="24"/>
                <w:szCs w:val="24"/>
                <w:highlight w:val="none"/>
              </w:rPr>
            </w:pPr>
          </w:p>
        </w:tc>
      </w:tr>
      <w:tr w14:paraId="2D510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949C10">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70B45C56">
            <w:pPr>
              <w:rPr>
                <w:rFonts w:hint="default" w:ascii="宋体" w:hAnsi="宋体" w:eastAsia="宋体" w:cs="宋体"/>
                <w:color w:val="auto"/>
                <w:sz w:val="24"/>
                <w:szCs w:val="24"/>
                <w:highlight w:val="none"/>
              </w:rPr>
            </w:pPr>
          </w:p>
        </w:tc>
      </w:tr>
      <w:tr w14:paraId="1E7B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48A8B">
            <w:pPr>
              <w:pStyle w:val="31"/>
              <w:kinsoku w:val="0"/>
              <w:overflowPunct w:val="0"/>
              <w:ind w:right="96"/>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投标人关联企业情</w:t>
            </w:r>
            <w:r>
              <w:rPr>
                <w:rFonts w:hint="default" w:ascii="宋体" w:hAnsi="宋体" w:eastAsia="宋体" w:cs="宋体"/>
                <w:color w:val="auto"/>
                <w:spacing w:val="-8"/>
                <w:sz w:val="24"/>
                <w:szCs w:val="24"/>
                <w:highlight w:val="none"/>
              </w:rPr>
              <w:t>况（包括但不限于与</w:t>
            </w:r>
            <w:r>
              <w:rPr>
                <w:rFonts w:hint="default" w:ascii="宋体" w:hAnsi="宋体" w:eastAsia="宋体" w:cs="宋体"/>
                <w:color w:val="auto"/>
                <w:spacing w:val="-102"/>
                <w:sz w:val="24"/>
                <w:szCs w:val="24"/>
                <w:highlight w:val="none"/>
              </w:rPr>
              <w:t xml:space="preserve"> </w:t>
            </w:r>
            <w:r>
              <w:rPr>
                <w:rFonts w:hint="default" w:ascii="宋体" w:hAnsi="宋体" w:eastAsia="宋体" w:cs="宋体"/>
                <w:color w:val="auto"/>
                <w:sz w:val="24"/>
                <w:szCs w:val="24"/>
                <w:highlight w:val="none"/>
              </w:rPr>
              <w:t>投标人法定代表人为同一人或者存在</w:t>
            </w:r>
            <w:r>
              <w:rPr>
                <w:rFonts w:hint="default" w:ascii="宋体" w:hAnsi="宋体" w:eastAsia="宋体" w:cs="宋体"/>
                <w:color w:val="auto"/>
                <w:spacing w:val="-8"/>
                <w:sz w:val="24"/>
                <w:szCs w:val="24"/>
                <w:highlight w:val="none"/>
              </w:rPr>
              <w:t>控股、管理关系的不</w:t>
            </w:r>
            <w:r>
              <w:rPr>
                <w:rFonts w:hint="default" w:ascii="宋体" w:hAnsi="宋体" w:eastAsia="宋体" w:cs="宋体"/>
                <w:color w:val="auto"/>
                <w:sz w:val="24"/>
                <w:szCs w:val="24"/>
                <w:highlight w:val="none"/>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4A92E997">
            <w:pPr>
              <w:rPr>
                <w:rFonts w:hint="default" w:ascii="宋体" w:hAnsi="宋体" w:eastAsia="宋体" w:cs="宋体"/>
                <w:color w:val="auto"/>
                <w:sz w:val="24"/>
                <w:szCs w:val="24"/>
                <w:highlight w:val="none"/>
              </w:rPr>
            </w:pPr>
          </w:p>
        </w:tc>
      </w:tr>
      <w:tr w14:paraId="6F0D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912AB">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top"/>
          </w:tcPr>
          <w:p w14:paraId="011B1078">
            <w:pPr>
              <w:rPr>
                <w:rFonts w:hint="default" w:ascii="宋体" w:hAnsi="宋体" w:eastAsia="宋体" w:cs="宋体"/>
                <w:color w:val="auto"/>
                <w:sz w:val="24"/>
                <w:szCs w:val="24"/>
                <w:highlight w:val="none"/>
              </w:rPr>
            </w:pPr>
          </w:p>
        </w:tc>
      </w:tr>
    </w:tbl>
    <w:p w14:paraId="37A3BA04">
      <w:pPr>
        <w:pStyle w:val="3"/>
        <w:kinsoku w:val="0"/>
        <w:overflowPunct w:val="0"/>
        <w:spacing w:before="74" w:line="331" w:lineRule="auto"/>
        <w:ind w:left="240"/>
        <w:rPr>
          <w:rFonts w:hint="eastAsia" w:ascii="黑体" w:hAnsi="黑体" w:eastAsia="黑体" w:cs="黑体"/>
          <w:b/>
          <w:bCs/>
          <w:color w:val="auto"/>
          <w:sz w:val="21"/>
          <w:szCs w:val="21"/>
          <w:highlight w:val="none"/>
        </w:rPr>
      </w:pPr>
      <w:r>
        <w:rPr>
          <w:rFonts w:hint="eastAsia" w:ascii="黑体" w:hAnsi="黑体" w:eastAsia="黑体" w:cs="黑体"/>
          <w:b/>
          <w:bCs/>
          <w:color w:val="auto"/>
          <w:spacing w:val="-5"/>
          <w:sz w:val="21"/>
          <w:szCs w:val="21"/>
          <w:highlight w:val="none"/>
        </w:rPr>
        <w:t>注：应</w:t>
      </w:r>
      <w:r>
        <w:rPr>
          <w:rFonts w:hint="eastAsia" w:ascii="黑体" w:hAnsi="黑体" w:eastAsia="黑体" w:cs="黑体"/>
          <w:b/>
          <w:bCs/>
          <w:color w:val="auto"/>
          <w:spacing w:val="-5"/>
          <w:sz w:val="21"/>
          <w:szCs w:val="21"/>
          <w:highlight w:val="none"/>
          <w:lang w:val="en-US" w:eastAsia="zh-CN"/>
        </w:rPr>
        <w:t>按招标公告、招标文件要求提供证明材料</w:t>
      </w:r>
      <w:r>
        <w:rPr>
          <w:rFonts w:hint="eastAsia" w:ascii="黑体" w:hAnsi="黑体" w:eastAsia="黑体" w:cs="黑体"/>
          <w:b/>
          <w:bCs/>
          <w:color w:val="auto"/>
          <w:sz w:val="21"/>
          <w:szCs w:val="24"/>
          <w:highlight w:val="none"/>
        </w:rPr>
        <w:t>。</w:t>
      </w:r>
    </w:p>
    <w:p w14:paraId="354B4BAF">
      <w:pPr>
        <w:pStyle w:val="3"/>
        <w:kinsoku w:val="0"/>
        <w:overflowPunct w:val="0"/>
        <w:spacing w:before="74" w:line="331" w:lineRule="auto"/>
        <w:ind w:left="240"/>
        <w:rPr>
          <w:rFonts w:hint="default"/>
          <w:color w:val="auto"/>
          <w:sz w:val="21"/>
          <w:szCs w:val="24"/>
          <w:highlight w:val="none"/>
        </w:rPr>
        <w:sectPr>
          <w:footerReference r:id="rId11" w:type="default"/>
          <w:pgSz w:w="11905" w:h="16838"/>
          <w:pgMar w:top="1417" w:right="1417" w:bottom="1417" w:left="1417" w:header="992" w:footer="992" w:gutter="0"/>
          <w:lnNumType w:countBy="0" w:distance="360"/>
          <w:pgNumType w:fmt="decimal"/>
          <w:cols w:space="720" w:num="1"/>
        </w:sectPr>
      </w:pPr>
    </w:p>
    <w:p w14:paraId="084D55B7">
      <w:pPr>
        <w:pStyle w:val="7"/>
        <w:outlineLvl w:val="2"/>
        <w:rPr>
          <w:rFonts w:hint="default"/>
          <w:b/>
          <w:color w:val="auto"/>
          <w:sz w:val="24"/>
          <w:szCs w:val="24"/>
          <w:highlight w:val="none"/>
        </w:rPr>
      </w:pPr>
      <w:bookmarkStart w:id="180" w:name="bookmark187"/>
      <w:bookmarkEnd w:id="180"/>
      <w:bookmarkStart w:id="181" w:name="bookmark186"/>
      <w:bookmarkEnd w:id="181"/>
      <w:bookmarkStart w:id="182" w:name="_Toc31107"/>
      <w:r>
        <w:rPr>
          <w:rFonts w:hint="default"/>
          <w:b/>
          <w:color w:val="auto"/>
          <w:sz w:val="24"/>
          <w:szCs w:val="24"/>
          <w:highlight w:val="none"/>
        </w:rPr>
        <w:t>（</w:t>
      </w:r>
      <w:r>
        <w:rPr>
          <w:rFonts w:hint="default"/>
          <w:b/>
          <w:color w:val="auto"/>
          <w:sz w:val="24"/>
          <w:szCs w:val="24"/>
          <w:highlight w:val="none"/>
          <w:lang w:eastAsia="zh-CN"/>
        </w:rPr>
        <w:t>二</w:t>
      </w:r>
      <w:r>
        <w:rPr>
          <w:rFonts w:hint="default"/>
          <w:b/>
          <w:color w:val="auto"/>
          <w:sz w:val="24"/>
          <w:szCs w:val="24"/>
          <w:highlight w:val="none"/>
        </w:rPr>
        <w:t>）近年完成的类似项目情况表</w:t>
      </w:r>
      <w:bookmarkEnd w:id="182"/>
    </w:p>
    <w:p w14:paraId="79FCC78B">
      <w:pPr>
        <w:pStyle w:val="3"/>
        <w:kinsoku w:val="0"/>
        <w:overflowPunct w:val="0"/>
        <w:ind w:left="0"/>
        <w:rPr>
          <w:rFonts w:hint="default"/>
          <w:color w:val="auto"/>
          <w:sz w:val="20"/>
          <w:szCs w:val="24"/>
          <w:highlight w:val="none"/>
        </w:rPr>
      </w:pPr>
    </w:p>
    <w:p w14:paraId="1EC2BF99">
      <w:pPr>
        <w:pStyle w:val="3"/>
        <w:kinsoku w:val="0"/>
        <w:overflowPunct w:val="0"/>
        <w:spacing w:before="11"/>
        <w:ind w:left="0"/>
        <w:rPr>
          <w:rFonts w:hint="default"/>
          <w:color w:val="auto"/>
          <w:sz w:val="22"/>
          <w:szCs w:val="24"/>
          <w:highlight w:val="none"/>
        </w:rPr>
      </w:pPr>
    </w:p>
    <w:tbl>
      <w:tblPr>
        <w:tblStyle w:val="22"/>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68"/>
        <w:gridCol w:w="6253"/>
      </w:tblGrid>
      <w:tr w14:paraId="3FED4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A5D30">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75AF4">
            <w:pPr>
              <w:rPr>
                <w:rFonts w:hint="default"/>
                <w:color w:val="auto"/>
                <w:sz w:val="24"/>
                <w:szCs w:val="24"/>
                <w:highlight w:val="none"/>
              </w:rPr>
            </w:pPr>
          </w:p>
        </w:tc>
      </w:tr>
      <w:tr w14:paraId="780A7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C6817">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8F54E78">
            <w:pPr>
              <w:rPr>
                <w:rFonts w:hint="default"/>
                <w:color w:val="auto"/>
                <w:sz w:val="24"/>
                <w:szCs w:val="24"/>
                <w:highlight w:val="none"/>
              </w:rPr>
            </w:pPr>
          </w:p>
        </w:tc>
      </w:tr>
      <w:tr w14:paraId="3F0F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9C4D5">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207D7F">
            <w:pPr>
              <w:rPr>
                <w:rFonts w:hint="default"/>
                <w:color w:val="auto"/>
                <w:sz w:val="24"/>
                <w:szCs w:val="24"/>
                <w:highlight w:val="none"/>
              </w:rPr>
            </w:pPr>
          </w:p>
        </w:tc>
      </w:tr>
      <w:tr w14:paraId="62AA5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A918B">
            <w:pPr>
              <w:pStyle w:val="31"/>
              <w:tabs>
                <w:tab w:val="left" w:pos="668"/>
                <w:tab w:val="center" w:pos="1387"/>
              </w:tabs>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78E4CB">
            <w:pPr>
              <w:rPr>
                <w:rFonts w:hint="default"/>
                <w:color w:val="auto"/>
                <w:sz w:val="24"/>
                <w:szCs w:val="24"/>
                <w:highlight w:val="none"/>
              </w:rPr>
            </w:pPr>
          </w:p>
        </w:tc>
      </w:tr>
      <w:tr w14:paraId="2EBA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EDC7A">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EDEFDD">
            <w:pPr>
              <w:rPr>
                <w:rFonts w:hint="default"/>
                <w:color w:val="auto"/>
                <w:sz w:val="24"/>
                <w:szCs w:val="24"/>
                <w:highlight w:val="none"/>
              </w:rPr>
            </w:pPr>
          </w:p>
        </w:tc>
      </w:tr>
      <w:tr w14:paraId="4564B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9D985">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FE8E28">
            <w:pPr>
              <w:rPr>
                <w:rFonts w:hint="default"/>
                <w:color w:val="auto"/>
                <w:sz w:val="24"/>
                <w:szCs w:val="24"/>
                <w:highlight w:val="none"/>
              </w:rPr>
            </w:pPr>
          </w:p>
        </w:tc>
      </w:tr>
      <w:tr w14:paraId="40362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FA555">
            <w:pPr>
              <w:pStyle w:val="31"/>
              <w:kinsoku w:val="0"/>
              <w:overflowPunct w:val="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D72AF2">
            <w:pPr>
              <w:rPr>
                <w:rFonts w:hint="default"/>
                <w:color w:val="auto"/>
                <w:sz w:val="24"/>
                <w:szCs w:val="24"/>
                <w:highlight w:val="none"/>
              </w:rPr>
            </w:pPr>
          </w:p>
        </w:tc>
      </w:tr>
      <w:tr w14:paraId="063EC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C2BFB">
            <w:pPr>
              <w:pStyle w:val="31"/>
              <w:kinsoku w:val="0"/>
              <w:overflowPunct w:val="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168FA">
            <w:pPr>
              <w:rPr>
                <w:rFonts w:hint="default"/>
                <w:color w:val="auto"/>
                <w:sz w:val="24"/>
                <w:szCs w:val="24"/>
                <w:highlight w:val="none"/>
              </w:rPr>
            </w:pPr>
          </w:p>
        </w:tc>
      </w:tr>
      <w:tr w14:paraId="3AA6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45D32">
            <w:pPr>
              <w:pStyle w:val="31"/>
              <w:kinsoku w:val="0"/>
              <w:overflowPunct w:val="0"/>
              <w:jc w:val="center"/>
              <w:rPr>
                <w:rFonts w:hint="default"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B6F725">
            <w:pPr>
              <w:rPr>
                <w:rFonts w:hint="default"/>
                <w:color w:val="auto"/>
                <w:sz w:val="24"/>
                <w:szCs w:val="24"/>
                <w:highlight w:val="none"/>
              </w:rPr>
            </w:pPr>
          </w:p>
        </w:tc>
      </w:tr>
      <w:tr w14:paraId="6E5F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E4AF8B">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11427D">
            <w:pPr>
              <w:rPr>
                <w:rFonts w:hint="default"/>
                <w:color w:val="auto"/>
                <w:sz w:val="24"/>
                <w:szCs w:val="24"/>
                <w:highlight w:val="none"/>
              </w:rPr>
            </w:pPr>
          </w:p>
        </w:tc>
      </w:tr>
      <w:tr w14:paraId="03841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4E3F6">
            <w:pPr>
              <w:pStyle w:val="31"/>
              <w:kinsoku w:val="0"/>
              <w:overflowPunct w:val="0"/>
              <w:jc w:val="center"/>
              <w:rPr>
                <w:rFonts w:hint="default"/>
                <w:color w:val="auto"/>
                <w:sz w:val="24"/>
                <w:szCs w:val="24"/>
                <w:highlight w:val="none"/>
              </w:rPr>
            </w:pPr>
            <w:r>
              <w:rPr>
                <w:rFonts w:hint="default" w:ascii="宋体" w:hAnsi="宋体" w:eastAsia="宋体"/>
                <w:color w:val="auto"/>
                <w:sz w:val="24"/>
                <w:szCs w:val="24"/>
                <w:highlight w:val="none"/>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57BA8">
            <w:pPr>
              <w:rPr>
                <w:rFonts w:hint="default"/>
                <w:color w:val="auto"/>
                <w:sz w:val="24"/>
                <w:szCs w:val="24"/>
                <w:highlight w:val="none"/>
              </w:rPr>
            </w:pPr>
          </w:p>
        </w:tc>
      </w:tr>
    </w:tbl>
    <w:p w14:paraId="67F49F3B">
      <w:pPr>
        <w:pStyle w:val="3"/>
        <w:kinsoku w:val="0"/>
        <w:overflowPunct w:val="0"/>
        <w:spacing w:before="6"/>
        <w:ind w:left="0"/>
        <w:rPr>
          <w:rFonts w:hint="default"/>
          <w:color w:val="auto"/>
          <w:sz w:val="24"/>
          <w:szCs w:val="24"/>
          <w:highlight w:val="none"/>
        </w:rPr>
      </w:pPr>
    </w:p>
    <w:p w14:paraId="02B4E3DB">
      <w:pPr>
        <w:pStyle w:val="3"/>
        <w:kinsoku w:val="0"/>
        <w:overflowPunct w:val="0"/>
        <w:spacing w:before="36"/>
        <w:ind w:left="100"/>
        <w:rPr>
          <w:rFonts w:hint="default"/>
          <w:color w:val="auto"/>
          <w:sz w:val="24"/>
          <w:szCs w:val="24"/>
          <w:highlight w:val="none"/>
        </w:rPr>
      </w:pPr>
    </w:p>
    <w:p w14:paraId="50FE9197">
      <w:pPr>
        <w:pStyle w:val="3"/>
        <w:kinsoku w:val="0"/>
        <w:overflowPunct w:val="0"/>
        <w:spacing w:before="36"/>
        <w:ind w:left="100"/>
        <w:rPr>
          <w:rFonts w:hint="default"/>
          <w:color w:val="auto"/>
          <w:sz w:val="21"/>
          <w:szCs w:val="24"/>
          <w:highlight w:val="none"/>
        </w:rPr>
        <w:sectPr>
          <w:headerReference r:id="rId12" w:type="default"/>
          <w:footerReference r:id="rId13" w:type="default"/>
          <w:pgSz w:w="11905" w:h="16838"/>
          <w:pgMar w:top="1417" w:right="1417" w:bottom="1417" w:left="1417" w:header="992" w:footer="992" w:gutter="0"/>
          <w:lnNumType w:countBy="0" w:distance="360"/>
          <w:pgNumType w:fmt="decimal"/>
          <w:cols w:space="720" w:num="1"/>
        </w:sectPr>
      </w:pPr>
    </w:p>
    <w:p w14:paraId="561294B5">
      <w:pPr>
        <w:pStyle w:val="7"/>
        <w:outlineLvl w:val="2"/>
        <w:rPr>
          <w:rFonts w:hint="default"/>
          <w:b/>
          <w:color w:val="auto"/>
          <w:sz w:val="24"/>
          <w:szCs w:val="24"/>
          <w:highlight w:val="none"/>
        </w:rPr>
      </w:pPr>
      <w:bookmarkStart w:id="183" w:name="bookmark189"/>
      <w:bookmarkEnd w:id="183"/>
      <w:bookmarkStart w:id="184" w:name="bookmark188"/>
      <w:bookmarkEnd w:id="184"/>
      <w:bookmarkStart w:id="185" w:name="bookmark190"/>
      <w:bookmarkEnd w:id="185"/>
      <w:bookmarkStart w:id="186" w:name="_Toc11195"/>
      <w:r>
        <w:rPr>
          <w:rFonts w:hint="default"/>
          <w:b/>
          <w:color w:val="auto"/>
          <w:sz w:val="24"/>
          <w:szCs w:val="24"/>
          <w:highlight w:val="none"/>
        </w:rPr>
        <w:t>（</w:t>
      </w:r>
      <w:r>
        <w:rPr>
          <w:rFonts w:hint="default"/>
          <w:b/>
          <w:color w:val="auto"/>
          <w:sz w:val="24"/>
          <w:szCs w:val="24"/>
          <w:highlight w:val="none"/>
          <w:lang w:eastAsia="zh-CN"/>
        </w:rPr>
        <w:t>三</w:t>
      </w:r>
      <w:r>
        <w:rPr>
          <w:rFonts w:hint="default"/>
          <w:b/>
          <w:color w:val="auto"/>
          <w:sz w:val="24"/>
          <w:szCs w:val="24"/>
          <w:highlight w:val="none"/>
        </w:rPr>
        <w:t>）拟委任的主要人员汇总表</w:t>
      </w:r>
      <w:bookmarkEnd w:id="186"/>
    </w:p>
    <w:p w14:paraId="3993550A">
      <w:pPr>
        <w:pStyle w:val="3"/>
        <w:kinsoku w:val="0"/>
        <w:overflowPunct w:val="0"/>
        <w:ind w:left="0"/>
        <w:rPr>
          <w:rFonts w:hint="default"/>
          <w:color w:val="auto"/>
          <w:sz w:val="20"/>
          <w:szCs w:val="24"/>
          <w:highlight w:val="none"/>
        </w:rPr>
      </w:pPr>
    </w:p>
    <w:p w14:paraId="4A5460DC">
      <w:pPr>
        <w:pStyle w:val="3"/>
        <w:kinsoku w:val="0"/>
        <w:overflowPunct w:val="0"/>
        <w:spacing w:before="11"/>
        <w:ind w:left="0"/>
        <w:rPr>
          <w:rFonts w:hint="default"/>
          <w:color w:val="auto"/>
          <w:sz w:val="22"/>
          <w:szCs w:val="24"/>
          <w:highlight w:val="none"/>
        </w:rPr>
      </w:pPr>
    </w:p>
    <w:tbl>
      <w:tblPr>
        <w:tblStyle w:val="22"/>
        <w:tblW w:w="877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5094D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DDB79">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EB7EA">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C9760C">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A855F">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CA779">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A4238">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60324C">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备注</w:t>
            </w:r>
          </w:p>
        </w:tc>
      </w:tr>
      <w:tr w14:paraId="7E967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27338">
            <w:pPr>
              <w:pStyle w:val="31"/>
              <w:kinsoku w:val="0"/>
              <w:overflowPunct w:val="0"/>
              <w:spacing w:line="240" w:lineRule="atLeast"/>
              <w:jc w:val="center"/>
              <w:rPr>
                <w:rFonts w:hint="default"/>
                <w:color w:val="auto"/>
                <w:sz w:val="24"/>
                <w:szCs w:val="24"/>
                <w:highlight w:val="none"/>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9C567">
            <w:pPr>
              <w:pStyle w:val="31"/>
              <w:kinsoku w:val="0"/>
              <w:overflowPunct w:val="0"/>
              <w:spacing w:line="240" w:lineRule="atLeast"/>
              <w:jc w:val="center"/>
              <w:rPr>
                <w:rFonts w:hint="default"/>
                <w:color w:val="auto"/>
                <w:sz w:val="24"/>
                <w:szCs w:val="24"/>
                <w:highlight w:val="none"/>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382C0">
            <w:pPr>
              <w:pStyle w:val="31"/>
              <w:kinsoku w:val="0"/>
              <w:overflowPunct w:val="0"/>
              <w:spacing w:line="240" w:lineRule="atLeast"/>
              <w:jc w:val="center"/>
              <w:rPr>
                <w:rFonts w:hint="default"/>
                <w:color w:val="auto"/>
                <w:sz w:val="24"/>
                <w:szCs w:val="24"/>
                <w:highlight w:val="none"/>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0F583">
            <w:pPr>
              <w:pStyle w:val="31"/>
              <w:kinsoku w:val="0"/>
              <w:overflowPunct w:val="0"/>
              <w:spacing w:line="240" w:lineRule="atLeast"/>
              <w:jc w:val="center"/>
              <w:rPr>
                <w:rFonts w:hint="default"/>
                <w:color w:val="auto"/>
                <w:sz w:val="24"/>
                <w:szCs w:val="24"/>
                <w:highlight w:val="none"/>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D68AC">
            <w:pPr>
              <w:pStyle w:val="31"/>
              <w:kinsoku w:val="0"/>
              <w:overflowPunct w:val="0"/>
              <w:spacing w:line="240" w:lineRule="atLeast"/>
              <w:jc w:val="cente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2D97E">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23496">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2CD28">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B65A6">
            <w:pPr>
              <w:spacing w:line="240" w:lineRule="atLeast"/>
              <w:jc w:val="center"/>
              <w:rPr>
                <w:rFonts w:hint="default"/>
                <w:color w:val="auto"/>
                <w:sz w:val="24"/>
                <w:szCs w:val="24"/>
                <w:highlight w:val="none"/>
              </w:rPr>
            </w:pPr>
          </w:p>
        </w:tc>
      </w:tr>
      <w:tr w14:paraId="696C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788B7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2EC1FC">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2706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4F80D2">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D642F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C1B25">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10982">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EEA59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A85B2D">
            <w:pPr>
              <w:rPr>
                <w:rFonts w:hint="default"/>
                <w:color w:val="auto"/>
                <w:sz w:val="24"/>
                <w:szCs w:val="24"/>
                <w:highlight w:val="none"/>
              </w:rPr>
            </w:pPr>
          </w:p>
        </w:tc>
      </w:tr>
      <w:tr w14:paraId="6B30E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168C2E">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D94AC9">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569DAD">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9F770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F84CA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5D228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2AE6B0">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93115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5920E0">
            <w:pPr>
              <w:rPr>
                <w:rFonts w:hint="default"/>
                <w:color w:val="auto"/>
                <w:sz w:val="24"/>
                <w:szCs w:val="24"/>
                <w:highlight w:val="none"/>
              </w:rPr>
            </w:pPr>
          </w:p>
        </w:tc>
      </w:tr>
      <w:tr w14:paraId="53D1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9B9EC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CE358D">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6508C9">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7E305C">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74B226">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EAB42B">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2CF8D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32666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BBF69C">
            <w:pPr>
              <w:rPr>
                <w:rFonts w:hint="default"/>
                <w:color w:val="auto"/>
                <w:sz w:val="24"/>
                <w:szCs w:val="24"/>
                <w:highlight w:val="none"/>
              </w:rPr>
            </w:pPr>
          </w:p>
        </w:tc>
      </w:tr>
      <w:tr w14:paraId="65B6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962E6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A61D0B">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B1DAFE">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264660">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EA19D6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EC7F9E">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B9F3DE8">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A9EE6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149B42">
            <w:pPr>
              <w:rPr>
                <w:rFonts w:hint="default"/>
                <w:color w:val="auto"/>
                <w:sz w:val="24"/>
                <w:szCs w:val="24"/>
                <w:highlight w:val="none"/>
              </w:rPr>
            </w:pPr>
          </w:p>
        </w:tc>
      </w:tr>
      <w:tr w14:paraId="2993D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90BB4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E80736">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B013E">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845923">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5EBD92">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877FD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63B0F3">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62379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6E202E">
            <w:pPr>
              <w:rPr>
                <w:rFonts w:hint="default"/>
                <w:color w:val="auto"/>
                <w:sz w:val="24"/>
                <w:szCs w:val="24"/>
                <w:highlight w:val="none"/>
              </w:rPr>
            </w:pPr>
          </w:p>
        </w:tc>
      </w:tr>
      <w:tr w14:paraId="2244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A12CDA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2F28B3">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E165D3">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55AEAE5">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132DB">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7EE33">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1BE3A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764EC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4BD759">
            <w:pPr>
              <w:rPr>
                <w:rFonts w:hint="default"/>
                <w:color w:val="auto"/>
                <w:sz w:val="24"/>
                <w:szCs w:val="24"/>
                <w:highlight w:val="none"/>
              </w:rPr>
            </w:pPr>
          </w:p>
        </w:tc>
      </w:tr>
      <w:tr w14:paraId="4E529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4F3B1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558C22">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8E0A06">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CE6E43">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F9B57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F9A63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BAE401">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C29B2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FE42BB">
            <w:pPr>
              <w:rPr>
                <w:rFonts w:hint="default"/>
                <w:color w:val="auto"/>
                <w:sz w:val="24"/>
                <w:szCs w:val="24"/>
                <w:highlight w:val="none"/>
              </w:rPr>
            </w:pPr>
          </w:p>
        </w:tc>
      </w:tr>
      <w:tr w14:paraId="1F54D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1F3B1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2F7CEF6">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BA748A">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18D413">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2530BB">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783D2">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7691E2">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D2F82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FC1F2B">
            <w:pPr>
              <w:rPr>
                <w:rFonts w:hint="default"/>
                <w:color w:val="auto"/>
                <w:sz w:val="24"/>
                <w:szCs w:val="24"/>
                <w:highlight w:val="none"/>
              </w:rPr>
            </w:pPr>
          </w:p>
        </w:tc>
      </w:tr>
      <w:tr w14:paraId="059C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733B6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C099F90">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A9DAEF">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CC9AD">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E2076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7695764">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A5E257">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76946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8F08A1">
            <w:pPr>
              <w:rPr>
                <w:rFonts w:hint="default"/>
                <w:color w:val="auto"/>
                <w:sz w:val="24"/>
                <w:szCs w:val="24"/>
                <w:highlight w:val="none"/>
              </w:rPr>
            </w:pPr>
          </w:p>
        </w:tc>
      </w:tr>
      <w:tr w14:paraId="79DE9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806BD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7BF1EB">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3F9311">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C8C7C2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61FEC7">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691F6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A6D9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E090AD">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2F7E184">
            <w:pPr>
              <w:rPr>
                <w:rFonts w:hint="default"/>
                <w:color w:val="auto"/>
                <w:sz w:val="24"/>
                <w:szCs w:val="24"/>
                <w:highlight w:val="none"/>
              </w:rPr>
            </w:pPr>
          </w:p>
        </w:tc>
      </w:tr>
      <w:tr w14:paraId="1691C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F22FD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AE01E1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9EFC45">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C74A80">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EB3DA60">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A3C0B2">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8E3B04">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95E55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1C1C28">
            <w:pPr>
              <w:rPr>
                <w:rFonts w:hint="default"/>
                <w:color w:val="auto"/>
                <w:sz w:val="24"/>
                <w:szCs w:val="24"/>
                <w:highlight w:val="none"/>
              </w:rPr>
            </w:pPr>
          </w:p>
        </w:tc>
      </w:tr>
      <w:tr w14:paraId="24EA5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D0929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1F71FA">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53FFFC">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5B7DC6">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41997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7746AA">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5CB7DA">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536D70">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C84F07">
            <w:pPr>
              <w:rPr>
                <w:rFonts w:hint="default"/>
                <w:color w:val="auto"/>
                <w:sz w:val="24"/>
                <w:szCs w:val="24"/>
                <w:highlight w:val="none"/>
              </w:rPr>
            </w:pPr>
          </w:p>
        </w:tc>
      </w:tr>
      <w:tr w14:paraId="67EE3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6FE66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B8FFBC8">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C9191C">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069E9">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CFB190">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4D8D7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FE469DE">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8BB7C4E">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F5B9129">
            <w:pPr>
              <w:rPr>
                <w:rFonts w:hint="default"/>
                <w:color w:val="auto"/>
                <w:sz w:val="24"/>
                <w:szCs w:val="24"/>
                <w:highlight w:val="none"/>
              </w:rPr>
            </w:pPr>
          </w:p>
        </w:tc>
      </w:tr>
      <w:tr w14:paraId="3A4AA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712E0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ED72C">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0466025">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5B3912">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E80D31">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79F49AE">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586E25">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4D38A2">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C2F809">
            <w:pPr>
              <w:rPr>
                <w:rFonts w:hint="default"/>
                <w:color w:val="auto"/>
                <w:sz w:val="24"/>
                <w:szCs w:val="24"/>
                <w:highlight w:val="none"/>
              </w:rPr>
            </w:pPr>
          </w:p>
        </w:tc>
      </w:tr>
      <w:tr w14:paraId="2A904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767E0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E44EA">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E1E136">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2E4D98">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1C78E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E6A22">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F1AF30">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8CD0EE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3A8F8B">
            <w:pPr>
              <w:rPr>
                <w:rFonts w:hint="default"/>
                <w:color w:val="auto"/>
                <w:sz w:val="24"/>
                <w:szCs w:val="24"/>
                <w:highlight w:val="none"/>
              </w:rPr>
            </w:pPr>
          </w:p>
        </w:tc>
      </w:tr>
      <w:tr w14:paraId="1D6F1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DFCF13">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92C567">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9C98F91">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7D6310">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16C4F9">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4ECF46">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64506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1D926A">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ED57B">
            <w:pPr>
              <w:rPr>
                <w:rFonts w:hint="default"/>
                <w:color w:val="auto"/>
                <w:sz w:val="24"/>
                <w:szCs w:val="24"/>
                <w:highlight w:val="none"/>
              </w:rPr>
            </w:pPr>
          </w:p>
        </w:tc>
      </w:tr>
      <w:tr w14:paraId="180E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CD4B95">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27088F">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ADC750">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BE67440">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39F69E">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9367ECB">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427A8">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D995381">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D1F830">
            <w:pPr>
              <w:rPr>
                <w:rFonts w:hint="default"/>
                <w:color w:val="auto"/>
                <w:sz w:val="24"/>
                <w:szCs w:val="24"/>
                <w:highlight w:val="none"/>
              </w:rPr>
            </w:pPr>
          </w:p>
        </w:tc>
      </w:tr>
      <w:tr w14:paraId="71644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91EB5C">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2E7D0">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1DE2A7">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1E95BA">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577AC5">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0F4799">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AD8679">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F38A0F8">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96A0F5">
            <w:pPr>
              <w:rPr>
                <w:rFonts w:hint="default"/>
                <w:color w:val="auto"/>
                <w:sz w:val="24"/>
                <w:szCs w:val="24"/>
                <w:highlight w:val="none"/>
              </w:rPr>
            </w:pPr>
          </w:p>
        </w:tc>
      </w:tr>
      <w:tr w14:paraId="7CF4A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A0969E6">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C71BEB7">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5C5D63">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79D994">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46940D4">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79E250A">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1BB490B">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15A10DB">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56B058">
            <w:pPr>
              <w:rPr>
                <w:rFonts w:hint="default"/>
                <w:color w:val="auto"/>
                <w:sz w:val="24"/>
                <w:szCs w:val="24"/>
                <w:highlight w:val="none"/>
              </w:rPr>
            </w:pPr>
          </w:p>
        </w:tc>
      </w:tr>
      <w:tr w14:paraId="71C3B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5F254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8B0FE95">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E536E8">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A1A79B">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9CD07A">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83278C">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39309F">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DE81C54">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9A097E">
            <w:pPr>
              <w:rPr>
                <w:rFonts w:hint="default"/>
                <w:color w:val="auto"/>
                <w:sz w:val="24"/>
                <w:szCs w:val="24"/>
                <w:highlight w:val="none"/>
              </w:rPr>
            </w:pPr>
          </w:p>
        </w:tc>
      </w:tr>
      <w:tr w14:paraId="402D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C1F6AF">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8F9D4B">
            <w:pPr>
              <w:rPr>
                <w:rFonts w:hint="default"/>
                <w:color w:val="auto"/>
                <w:sz w:val="24"/>
                <w:szCs w:val="24"/>
                <w:highlight w:val="none"/>
              </w:rPr>
            </w:pPr>
          </w:p>
        </w:tc>
        <w:tc>
          <w:tcPr>
            <w:tcW w:w="99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FCA91E">
            <w:pPr>
              <w:rPr>
                <w:rFonts w:hint="default"/>
                <w:color w:val="auto"/>
                <w:sz w:val="24"/>
                <w:szCs w:val="24"/>
                <w:highlight w:val="none"/>
              </w:rPr>
            </w:pPr>
          </w:p>
        </w:tc>
        <w:tc>
          <w:tcPr>
            <w:tcW w:w="89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32CD6EF">
            <w:pPr>
              <w:rPr>
                <w:rFonts w:hint="default"/>
                <w:color w:val="auto"/>
                <w:sz w:val="24"/>
                <w:szCs w:val="24"/>
                <w:highlight w:val="none"/>
              </w:rPr>
            </w:pPr>
          </w:p>
        </w:tc>
        <w:tc>
          <w:tcPr>
            <w:tcW w:w="9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9B483E2">
            <w:pPr>
              <w:rPr>
                <w:rFonts w:hint="default"/>
                <w:color w:val="auto"/>
                <w:sz w:val="24"/>
                <w:szCs w:val="24"/>
                <w:highlight w:val="none"/>
              </w:rPr>
            </w:pPr>
          </w:p>
        </w:tc>
        <w:tc>
          <w:tcPr>
            <w:tcW w:w="84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CFAF8F8">
            <w:pPr>
              <w:rPr>
                <w:rFonts w:hint="default"/>
                <w:color w:val="auto"/>
                <w:sz w:val="24"/>
                <w:szCs w:val="24"/>
                <w:highlight w:val="none"/>
              </w:rPr>
            </w:pPr>
          </w:p>
        </w:tc>
        <w:tc>
          <w:tcPr>
            <w:tcW w:w="881"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5347AC">
            <w:pPr>
              <w:rPr>
                <w:rFonts w:hint="default"/>
                <w:color w:val="auto"/>
                <w:sz w:val="24"/>
                <w:szCs w:val="24"/>
                <w:highlight w:val="none"/>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89C5C7">
            <w:pPr>
              <w:rPr>
                <w:rFonts w:hint="default"/>
                <w:color w:val="auto"/>
                <w:sz w:val="24"/>
                <w:szCs w:val="24"/>
                <w:highlight w:val="none"/>
              </w:rPr>
            </w:pP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62E60A">
            <w:pPr>
              <w:rPr>
                <w:rFonts w:hint="default"/>
                <w:color w:val="auto"/>
                <w:sz w:val="24"/>
                <w:szCs w:val="24"/>
                <w:highlight w:val="none"/>
              </w:rPr>
            </w:pPr>
          </w:p>
        </w:tc>
      </w:tr>
    </w:tbl>
    <w:p w14:paraId="7A641E88">
      <w:pPr>
        <w:rPr>
          <w:rFonts w:hint="default"/>
          <w:color w:val="auto"/>
          <w:sz w:val="24"/>
          <w:szCs w:val="24"/>
          <w:highlight w:val="none"/>
        </w:rPr>
        <w:sectPr>
          <w:headerReference r:id="rId14" w:type="default"/>
          <w:footerReference r:id="rId15" w:type="default"/>
          <w:pgSz w:w="11905" w:h="16838"/>
          <w:pgMar w:top="1417" w:right="1417" w:bottom="1417" w:left="1417" w:header="992" w:footer="992" w:gutter="0"/>
          <w:lnNumType w:countBy="0" w:distance="360"/>
          <w:pgNumType w:fmt="decimal"/>
          <w:cols w:space="720" w:num="1"/>
        </w:sectPr>
      </w:pPr>
    </w:p>
    <w:p w14:paraId="1978757E">
      <w:pPr>
        <w:pStyle w:val="7"/>
        <w:outlineLvl w:val="2"/>
        <w:rPr>
          <w:rFonts w:hint="default"/>
          <w:b/>
          <w:color w:val="auto"/>
          <w:sz w:val="24"/>
          <w:szCs w:val="24"/>
          <w:highlight w:val="none"/>
        </w:rPr>
      </w:pPr>
      <w:bookmarkStart w:id="187" w:name="bookmark191"/>
      <w:bookmarkEnd w:id="187"/>
      <w:bookmarkStart w:id="188" w:name="_Toc23916"/>
      <w:r>
        <w:rPr>
          <w:rFonts w:hint="default"/>
          <w:b/>
          <w:color w:val="auto"/>
          <w:sz w:val="24"/>
          <w:szCs w:val="24"/>
          <w:highlight w:val="none"/>
        </w:rPr>
        <w:t>（</w:t>
      </w:r>
      <w:r>
        <w:rPr>
          <w:rFonts w:hint="default"/>
          <w:b/>
          <w:color w:val="auto"/>
          <w:sz w:val="24"/>
          <w:szCs w:val="24"/>
          <w:highlight w:val="none"/>
          <w:lang w:eastAsia="zh-CN"/>
        </w:rPr>
        <w:t>四</w:t>
      </w:r>
      <w:r>
        <w:rPr>
          <w:rFonts w:hint="default"/>
          <w:b/>
          <w:color w:val="auto"/>
          <w:sz w:val="24"/>
          <w:szCs w:val="24"/>
          <w:highlight w:val="none"/>
        </w:rPr>
        <w:t>）主要人员简历表</w:t>
      </w:r>
      <w:bookmarkEnd w:id="188"/>
    </w:p>
    <w:p w14:paraId="755715DE">
      <w:pPr>
        <w:pStyle w:val="3"/>
        <w:kinsoku w:val="0"/>
        <w:overflowPunct w:val="0"/>
        <w:ind w:left="0"/>
        <w:rPr>
          <w:rFonts w:hint="default"/>
          <w:b/>
          <w:color w:val="auto"/>
          <w:sz w:val="24"/>
          <w:szCs w:val="24"/>
          <w:highlight w:val="none"/>
        </w:rPr>
      </w:pPr>
    </w:p>
    <w:p w14:paraId="5CD54132">
      <w:pPr>
        <w:pStyle w:val="3"/>
        <w:kinsoku w:val="0"/>
        <w:overflowPunct w:val="0"/>
        <w:spacing w:before="5"/>
        <w:ind w:left="0"/>
        <w:rPr>
          <w:rFonts w:hint="default"/>
          <w:color w:val="auto"/>
          <w:sz w:val="16"/>
          <w:szCs w:val="24"/>
          <w:highlight w:val="none"/>
        </w:rPr>
      </w:pPr>
    </w:p>
    <w:tbl>
      <w:tblPr>
        <w:tblStyle w:val="22"/>
        <w:tblW w:w="8521" w:type="dxa"/>
        <w:tblInd w:w="2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1BF6E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79161">
            <w:pPr>
              <w:pStyle w:val="31"/>
              <w:tabs>
                <w:tab w:val="left" w:pos="695"/>
              </w:tabs>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33DAC1CB">
            <w:pPr>
              <w:rPr>
                <w:rFonts w:hint="default" w:ascii="宋体" w:hAnsi="宋体" w:eastAsia="宋体" w:cs="宋体"/>
                <w:color w:val="auto"/>
                <w:sz w:val="24"/>
                <w:szCs w:val="24"/>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DDE8A">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3FEE54">
            <w:pPr>
              <w:rPr>
                <w:rFonts w:hint="default" w:ascii="宋体" w:hAnsi="宋体" w:eastAsia="宋体" w:cs="宋体"/>
                <w:color w:val="auto"/>
                <w:sz w:val="24"/>
                <w:szCs w:val="24"/>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B8DF3">
            <w:pPr>
              <w:pStyle w:val="31"/>
              <w:kinsoku w:val="0"/>
              <w:overflowPunct w:val="0"/>
              <w:spacing w:before="3" w:line="440" w:lineRule="exact"/>
              <w:ind w:right="122"/>
              <w:jc w:val="center"/>
              <w:rPr>
                <w:rFonts w:hint="default" w:ascii="宋体" w:hAnsi="宋体" w:eastAsia="宋体" w:cs="宋体"/>
                <w:color w:val="auto"/>
                <w:sz w:val="24"/>
                <w:szCs w:val="24"/>
                <w:highlight w:val="none"/>
              </w:rPr>
            </w:pPr>
            <w:r>
              <w:rPr>
                <w:rFonts w:hint="default" w:ascii="宋体" w:hAnsi="宋体" w:eastAsia="宋体" w:cs="宋体"/>
                <w:color w:val="auto"/>
                <w:spacing w:val="-2"/>
                <w:sz w:val="24"/>
                <w:szCs w:val="24"/>
                <w:highlight w:val="none"/>
              </w:rPr>
              <w:t>执业资格证书（或上岗</w:t>
            </w:r>
            <w:r>
              <w:rPr>
                <w:rFonts w:hint="default" w:ascii="宋体" w:hAnsi="宋体" w:eastAsia="宋体" w:cs="宋体"/>
                <w:color w:val="auto"/>
                <w:spacing w:val="-85"/>
                <w:sz w:val="24"/>
                <w:szCs w:val="24"/>
                <w:highlight w:val="none"/>
              </w:rPr>
              <w:t xml:space="preserve"> </w:t>
            </w:r>
            <w:r>
              <w:rPr>
                <w:rFonts w:hint="default" w:ascii="宋体" w:hAnsi="宋体" w:eastAsia="宋体" w:cs="宋体"/>
                <w:color w:val="auto"/>
                <w:sz w:val="24"/>
                <w:szCs w:val="24"/>
                <w:highlight w:val="none"/>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46FDA0">
            <w:pPr>
              <w:rPr>
                <w:rFonts w:hint="default" w:ascii="宋体" w:hAnsi="宋体" w:eastAsia="宋体" w:cs="宋体"/>
                <w:color w:val="auto"/>
                <w:sz w:val="24"/>
                <w:szCs w:val="24"/>
                <w:highlight w:val="none"/>
              </w:rPr>
            </w:pPr>
          </w:p>
        </w:tc>
      </w:tr>
      <w:tr w14:paraId="5094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9D50F">
            <w:pPr>
              <w:pStyle w:val="31"/>
              <w:tabs>
                <w:tab w:val="left" w:pos="695"/>
              </w:tabs>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top"/>
          </w:tcPr>
          <w:p w14:paraId="5366A1AC">
            <w:pPr>
              <w:rPr>
                <w:rFonts w:hint="default" w:ascii="宋体" w:hAnsi="宋体" w:eastAsia="宋体" w:cs="宋体"/>
                <w:color w:val="auto"/>
                <w:sz w:val="24"/>
                <w:szCs w:val="24"/>
                <w:highlight w:val="none"/>
              </w:rPr>
            </w:pPr>
          </w:p>
        </w:tc>
        <w:tc>
          <w:tcPr>
            <w:tcW w:w="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CE509">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7F9E77">
            <w:pPr>
              <w:rPr>
                <w:rFonts w:hint="default" w:ascii="宋体" w:hAnsi="宋体" w:eastAsia="宋体" w:cs="宋体"/>
                <w:color w:val="auto"/>
                <w:sz w:val="24"/>
                <w:szCs w:val="24"/>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2D1EE">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88548CD">
            <w:pPr>
              <w:rPr>
                <w:rFonts w:hint="default" w:ascii="宋体" w:hAnsi="宋体" w:eastAsia="宋体" w:cs="宋体"/>
                <w:color w:val="auto"/>
                <w:sz w:val="24"/>
                <w:szCs w:val="24"/>
                <w:highlight w:val="none"/>
              </w:rPr>
            </w:pPr>
          </w:p>
        </w:tc>
      </w:tr>
      <w:tr w14:paraId="09F8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FF14B">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top"/>
          </w:tcPr>
          <w:p w14:paraId="41B70A89">
            <w:pPr>
              <w:rPr>
                <w:rFonts w:hint="default" w:ascii="宋体" w:hAnsi="宋体" w:eastAsia="宋体" w:cs="宋体"/>
                <w:color w:val="auto"/>
                <w:sz w:val="24"/>
                <w:szCs w:val="24"/>
                <w:highlight w:val="none"/>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29B93">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9F7D4B1">
            <w:pPr>
              <w:rPr>
                <w:rFonts w:hint="default" w:ascii="宋体" w:hAnsi="宋体" w:eastAsia="宋体" w:cs="宋体"/>
                <w:color w:val="auto"/>
                <w:sz w:val="24"/>
                <w:szCs w:val="24"/>
                <w:highlight w:val="none"/>
              </w:rPr>
            </w:pPr>
          </w:p>
        </w:tc>
      </w:tr>
      <w:tr w14:paraId="2FA9C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84715">
            <w:pPr>
              <w:pStyle w:val="31"/>
              <w:kinsoku w:val="0"/>
              <w:overflowPunct w:val="0"/>
              <w:jc w:val="both"/>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主要工作经历</w:t>
            </w:r>
          </w:p>
        </w:tc>
      </w:tr>
      <w:tr w14:paraId="4BD0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7BC2C">
            <w:pPr>
              <w:pStyle w:val="31"/>
              <w:tabs>
                <w:tab w:val="left" w:pos="873"/>
              </w:tabs>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时</w:t>
            </w:r>
            <w:r>
              <w:rPr>
                <w:rFonts w:hint="default" w:ascii="宋体" w:hAnsi="宋体" w:eastAsia="宋体" w:cs="宋体"/>
                <w:color w:val="auto"/>
                <w:sz w:val="24"/>
                <w:szCs w:val="24"/>
                <w:highlight w:val="none"/>
              </w:rPr>
              <w:tab/>
            </w:r>
            <w:r>
              <w:rPr>
                <w:rFonts w:hint="default" w:ascii="宋体" w:hAnsi="宋体" w:eastAsia="宋体" w:cs="宋体"/>
                <w:color w:val="auto"/>
                <w:sz w:val="24"/>
                <w:szCs w:val="24"/>
                <w:highlight w:val="none"/>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94FD6">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C82A8">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4C936">
            <w:pPr>
              <w:pStyle w:val="31"/>
              <w:kinsoku w:val="0"/>
              <w:overflowPunct w:val="0"/>
              <w:jc w:val="center"/>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委托人及联系电话</w:t>
            </w:r>
          </w:p>
        </w:tc>
      </w:tr>
      <w:tr w14:paraId="352E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A5000">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F6570">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FB972">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E8EF5">
            <w:pPr>
              <w:jc w:val="center"/>
              <w:rPr>
                <w:rFonts w:hint="default" w:ascii="宋体" w:hAnsi="宋体" w:eastAsia="宋体" w:cs="宋体"/>
                <w:color w:val="auto"/>
                <w:sz w:val="21"/>
                <w:szCs w:val="21"/>
                <w:highlight w:val="none"/>
              </w:rPr>
            </w:pPr>
          </w:p>
        </w:tc>
      </w:tr>
      <w:tr w14:paraId="46A4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A23A7">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642D4">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A3BBE">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DBDFA">
            <w:pPr>
              <w:jc w:val="center"/>
              <w:rPr>
                <w:rFonts w:hint="default" w:ascii="宋体" w:hAnsi="宋体" w:eastAsia="宋体" w:cs="宋体"/>
                <w:color w:val="auto"/>
                <w:sz w:val="21"/>
                <w:szCs w:val="21"/>
                <w:highlight w:val="none"/>
              </w:rPr>
            </w:pPr>
          </w:p>
        </w:tc>
      </w:tr>
      <w:tr w14:paraId="750E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4A8B7">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BF9C9">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DFBD9">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AD1B4">
            <w:pPr>
              <w:jc w:val="center"/>
              <w:rPr>
                <w:rFonts w:hint="default" w:ascii="宋体" w:hAnsi="宋体" w:eastAsia="宋体" w:cs="宋体"/>
                <w:color w:val="auto"/>
                <w:sz w:val="21"/>
                <w:szCs w:val="21"/>
                <w:highlight w:val="none"/>
              </w:rPr>
            </w:pPr>
          </w:p>
        </w:tc>
      </w:tr>
      <w:tr w14:paraId="6C3B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A0618">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A4B41">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B8623">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766CE">
            <w:pPr>
              <w:jc w:val="center"/>
              <w:rPr>
                <w:rFonts w:hint="default" w:ascii="宋体" w:hAnsi="宋体" w:eastAsia="宋体" w:cs="宋体"/>
                <w:color w:val="auto"/>
                <w:sz w:val="21"/>
                <w:szCs w:val="21"/>
                <w:highlight w:val="none"/>
              </w:rPr>
            </w:pPr>
          </w:p>
        </w:tc>
      </w:tr>
      <w:tr w14:paraId="09017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C3DBF">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C82A6">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5890">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458FD">
            <w:pPr>
              <w:jc w:val="center"/>
              <w:rPr>
                <w:rFonts w:hint="default" w:ascii="宋体" w:hAnsi="宋体" w:eastAsia="宋体" w:cs="宋体"/>
                <w:color w:val="auto"/>
                <w:sz w:val="21"/>
                <w:szCs w:val="21"/>
                <w:highlight w:val="none"/>
              </w:rPr>
            </w:pPr>
          </w:p>
        </w:tc>
      </w:tr>
      <w:tr w14:paraId="1076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4D121">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38017">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7F6E0">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9C40E">
            <w:pPr>
              <w:jc w:val="center"/>
              <w:rPr>
                <w:rFonts w:hint="default" w:ascii="宋体" w:hAnsi="宋体" w:eastAsia="宋体" w:cs="宋体"/>
                <w:color w:val="auto"/>
                <w:sz w:val="21"/>
                <w:szCs w:val="21"/>
                <w:highlight w:val="none"/>
              </w:rPr>
            </w:pPr>
          </w:p>
        </w:tc>
      </w:tr>
      <w:tr w14:paraId="322D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D16BA">
            <w:pPr>
              <w:jc w:val="center"/>
              <w:rPr>
                <w:rFonts w:hint="default" w:ascii="宋体" w:hAnsi="宋体" w:eastAsia="宋体" w:cs="宋体"/>
                <w:color w:val="auto"/>
                <w:sz w:val="21"/>
                <w:szCs w:val="21"/>
                <w:highlight w:val="none"/>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02D13">
            <w:pPr>
              <w:jc w:val="center"/>
              <w:rPr>
                <w:rFonts w:hint="default" w:ascii="宋体" w:hAnsi="宋体" w:eastAsia="宋体" w:cs="宋体"/>
                <w:color w:val="auto"/>
                <w:sz w:val="21"/>
                <w:szCs w:val="21"/>
                <w:highlight w:val="none"/>
              </w:rPr>
            </w:pPr>
          </w:p>
        </w:tc>
        <w:tc>
          <w:tcPr>
            <w:tcW w:w="12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38BF2">
            <w:pPr>
              <w:jc w:val="center"/>
              <w:rPr>
                <w:rFonts w:hint="default" w:ascii="宋体" w:hAnsi="宋体" w:eastAsia="宋体" w:cs="宋体"/>
                <w:color w:val="auto"/>
                <w:sz w:val="21"/>
                <w:szCs w:val="21"/>
                <w:highlight w:val="none"/>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CFF76">
            <w:pPr>
              <w:jc w:val="center"/>
              <w:rPr>
                <w:rFonts w:hint="default" w:ascii="宋体" w:hAnsi="宋体" w:eastAsia="宋体" w:cs="宋体"/>
                <w:color w:val="auto"/>
                <w:sz w:val="21"/>
                <w:szCs w:val="21"/>
                <w:highlight w:val="none"/>
              </w:rPr>
            </w:pPr>
          </w:p>
        </w:tc>
      </w:tr>
    </w:tbl>
    <w:p w14:paraId="1FB626FE">
      <w:pPr>
        <w:pStyle w:val="3"/>
        <w:kinsoku w:val="0"/>
        <w:overflowPunct w:val="0"/>
        <w:spacing w:before="6"/>
        <w:ind w:left="0"/>
        <w:rPr>
          <w:rFonts w:hint="default" w:cs="宋体"/>
          <w:color w:val="auto"/>
          <w:sz w:val="24"/>
          <w:szCs w:val="24"/>
          <w:highlight w:val="none"/>
        </w:rPr>
      </w:pPr>
    </w:p>
    <w:p w14:paraId="2E950C06">
      <w:pPr>
        <w:pStyle w:val="3"/>
        <w:kinsoku w:val="0"/>
        <w:overflowPunct w:val="0"/>
        <w:spacing w:before="36"/>
        <w:ind w:left="100"/>
        <w:rPr>
          <w:rFonts w:hint="default" w:cs="宋体"/>
          <w:color w:val="auto"/>
          <w:sz w:val="24"/>
          <w:szCs w:val="24"/>
          <w:highlight w:val="none"/>
        </w:rPr>
      </w:pPr>
    </w:p>
    <w:p w14:paraId="436D2E76">
      <w:pPr>
        <w:pStyle w:val="3"/>
        <w:kinsoku w:val="0"/>
        <w:overflowPunct w:val="0"/>
        <w:spacing w:before="36"/>
        <w:ind w:left="100"/>
        <w:rPr>
          <w:rFonts w:hint="default"/>
          <w:color w:val="auto"/>
          <w:sz w:val="24"/>
          <w:szCs w:val="24"/>
          <w:highlight w:val="none"/>
        </w:rPr>
        <w:sectPr>
          <w:headerReference r:id="rId16" w:type="default"/>
          <w:footerReference r:id="rId17" w:type="default"/>
          <w:pgSz w:w="11905" w:h="16838"/>
          <w:pgMar w:top="1417" w:right="1417" w:bottom="1417" w:left="1417" w:header="992" w:footer="992" w:gutter="0"/>
          <w:lnNumType w:countBy="0" w:distance="360"/>
          <w:pgNumType w:fmt="decimal"/>
          <w:cols w:space="720" w:num="1"/>
        </w:sectPr>
      </w:pPr>
    </w:p>
    <w:p w14:paraId="63B0CEFB">
      <w:pPr>
        <w:pStyle w:val="7"/>
        <w:outlineLvl w:val="2"/>
        <w:rPr>
          <w:rFonts w:hint="default" w:cs="Times New Roman"/>
          <w:b/>
          <w:color w:val="auto"/>
          <w:sz w:val="24"/>
          <w:szCs w:val="24"/>
          <w:highlight w:val="none"/>
        </w:rPr>
      </w:pPr>
      <w:bookmarkStart w:id="189" w:name="bookmark192"/>
      <w:bookmarkEnd w:id="189"/>
      <w:bookmarkStart w:id="190" w:name="_Toc12286"/>
      <w:r>
        <w:rPr>
          <w:rFonts w:hint="default" w:cs="Times New Roman"/>
          <w:b/>
          <w:color w:val="auto"/>
          <w:sz w:val="24"/>
          <w:szCs w:val="24"/>
          <w:highlight w:val="none"/>
        </w:rPr>
        <w:t>（</w:t>
      </w:r>
      <w:r>
        <w:rPr>
          <w:rFonts w:hint="default" w:cs="Times New Roman"/>
          <w:b/>
          <w:color w:val="auto"/>
          <w:sz w:val="24"/>
          <w:szCs w:val="24"/>
          <w:highlight w:val="none"/>
          <w:lang w:eastAsia="zh-CN"/>
        </w:rPr>
        <w:t>五</w:t>
      </w:r>
      <w:r>
        <w:rPr>
          <w:rFonts w:hint="default" w:cs="Times New Roman"/>
          <w:b/>
          <w:color w:val="auto"/>
          <w:sz w:val="24"/>
          <w:szCs w:val="24"/>
          <w:highlight w:val="none"/>
        </w:rPr>
        <w:t>）拟投入本项目的主要试验检测仪器设备表</w:t>
      </w:r>
      <w:bookmarkEnd w:id="190"/>
    </w:p>
    <w:p w14:paraId="2399B00E">
      <w:pPr>
        <w:pStyle w:val="3"/>
        <w:kinsoku w:val="0"/>
        <w:overflowPunct w:val="0"/>
        <w:ind w:left="0"/>
        <w:rPr>
          <w:rFonts w:hint="default"/>
          <w:color w:val="auto"/>
          <w:sz w:val="20"/>
          <w:szCs w:val="24"/>
          <w:highlight w:val="none"/>
        </w:rPr>
      </w:pPr>
    </w:p>
    <w:p w14:paraId="01A3ACA7">
      <w:pPr>
        <w:pStyle w:val="3"/>
        <w:kinsoku w:val="0"/>
        <w:overflowPunct w:val="0"/>
        <w:spacing w:before="11"/>
        <w:ind w:left="0"/>
        <w:rPr>
          <w:rFonts w:hint="default"/>
          <w:color w:val="auto"/>
          <w:sz w:val="22"/>
          <w:szCs w:val="24"/>
          <w:highlight w:val="none"/>
        </w:rPr>
      </w:pPr>
    </w:p>
    <w:tbl>
      <w:tblPr>
        <w:tblStyle w:val="22"/>
        <w:tblW w:w="8594" w:type="dxa"/>
        <w:tblInd w:w="4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7"/>
        <w:gridCol w:w="1"/>
        <w:gridCol w:w="1483"/>
        <w:gridCol w:w="1170"/>
        <w:gridCol w:w="747"/>
        <w:gridCol w:w="993"/>
        <w:gridCol w:w="994"/>
        <w:gridCol w:w="1529"/>
        <w:gridCol w:w="990"/>
      </w:tblGrid>
      <w:tr w14:paraId="0A72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1" w:hRule="exact"/>
        </w:trPr>
        <w:tc>
          <w:tcPr>
            <w:tcW w:w="6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C96AD7">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序号</w:t>
            </w:r>
          </w:p>
        </w:tc>
        <w:tc>
          <w:tcPr>
            <w:tcW w:w="14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00EA1">
            <w:pPr>
              <w:pStyle w:val="31"/>
              <w:kinsoku w:val="0"/>
              <w:overflowPunct w:val="0"/>
              <w:spacing w:line="240" w:lineRule="atLeast"/>
              <w:jc w:val="center"/>
              <w:rPr>
                <w:rFonts w:hint="default" w:ascii="宋体" w:hAnsi="宋体" w:eastAsia="宋体"/>
                <w:color w:val="auto"/>
                <w:sz w:val="24"/>
                <w:szCs w:val="24"/>
                <w:highlight w:val="none"/>
              </w:rPr>
            </w:pPr>
            <w:r>
              <w:rPr>
                <w:rFonts w:hint="default" w:ascii="宋体" w:hAnsi="宋体" w:eastAsia="宋体"/>
                <w:color w:val="auto"/>
                <w:sz w:val="24"/>
                <w:szCs w:val="24"/>
                <w:highlight w:val="none"/>
              </w:rPr>
              <w:t>仪器</w:t>
            </w:r>
            <w:r>
              <w:rPr>
                <w:rFonts w:hint="default" w:ascii="宋体" w:hAnsi="宋体" w:eastAsia="宋体"/>
                <w:color w:val="auto"/>
                <w:sz w:val="24"/>
                <w:szCs w:val="24"/>
                <w:highlight w:val="none"/>
                <w:lang w:eastAsia="zh-CN"/>
              </w:rPr>
              <w:t>设</w:t>
            </w:r>
            <w:r>
              <w:rPr>
                <w:rFonts w:hint="default" w:ascii="宋体" w:hAnsi="宋体" w:eastAsia="宋体"/>
                <w:color w:val="auto"/>
                <w:sz w:val="24"/>
                <w:szCs w:val="24"/>
                <w:highlight w:val="none"/>
              </w:rPr>
              <w:t>备</w:t>
            </w:r>
          </w:p>
          <w:p w14:paraId="75AE5F85">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名称</w:t>
            </w: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FC65E">
            <w:pPr>
              <w:pStyle w:val="31"/>
              <w:kinsoku w:val="0"/>
              <w:overflowPunct w:val="0"/>
              <w:spacing w:line="240" w:lineRule="atLeast"/>
              <w:jc w:val="center"/>
              <w:rPr>
                <w:rFonts w:hint="default" w:ascii="宋体" w:hAnsi="宋体" w:eastAsia="宋体"/>
                <w:color w:val="auto"/>
                <w:spacing w:val="-103"/>
                <w:sz w:val="24"/>
                <w:szCs w:val="24"/>
                <w:highlight w:val="none"/>
              </w:rPr>
            </w:pPr>
            <w:r>
              <w:rPr>
                <w:rFonts w:hint="default" w:ascii="宋体" w:hAnsi="宋体" w:eastAsia="宋体"/>
                <w:color w:val="auto"/>
                <w:sz w:val="24"/>
                <w:szCs w:val="24"/>
                <w:highlight w:val="none"/>
              </w:rPr>
              <w:t>型号</w:t>
            </w:r>
            <w:r>
              <w:rPr>
                <w:rFonts w:hint="default" w:ascii="宋体" w:hAnsi="宋体" w:eastAsia="宋体"/>
                <w:color w:val="auto"/>
                <w:spacing w:val="-103"/>
                <w:sz w:val="24"/>
                <w:szCs w:val="24"/>
                <w:highlight w:val="none"/>
              </w:rPr>
              <w:t xml:space="preserve"> </w:t>
            </w:r>
          </w:p>
          <w:p w14:paraId="5C1B8592">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4AACF">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A0437">
            <w:pPr>
              <w:pStyle w:val="31"/>
              <w:kinsoku w:val="0"/>
              <w:overflowPunct w:val="0"/>
              <w:spacing w:line="240" w:lineRule="atLeast"/>
              <w:jc w:val="center"/>
              <w:rPr>
                <w:rFonts w:hint="default" w:ascii="宋体" w:hAnsi="宋体" w:eastAsia="宋体"/>
                <w:color w:val="auto"/>
                <w:spacing w:val="-103"/>
                <w:sz w:val="24"/>
                <w:szCs w:val="24"/>
                <w:highlight w:val="none"/>
              </w:rPr>
            </w:pPr>
            <w:r>
              <w:rPr>
                <w:rFonts w:hint="default" w:ascii="宋体" w:hAnsi="宋体" w:eastAsia="宋体"/>
                <w:color w:val="auto"/>
                <w:sz w:val="24"/>
                <w:szCs w:val="24"/>
                <w:highlight w:val="none"/>
              </w:rPr>
              <w:t>国别</w:t>
            </w:r>
            <w:r>
              <w:rPr>
                <w:rFonts w:hint="default" w:ascii="宋体" w:hAnsi="宋体" w:eastAsia="宋体"/>
                <w:color w:val="auto"/>
                <w:spacing w:val="-103"/>
                <w:sz w:val="24"/>
                <w:szCs w:val="24"/>
                <w:highlight w:val="none"/>
              </w:rPr>
              <w:t xml:space="preserve"> </w:t>
            </w:r>
          </w:p>
          <w:p w14:paraId="484E111C">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2117A">
            <w:pPr>
              <w:pStyle w:val="31"/>
              <w:kinsoku w:val="0"/>
              <w:overflowPunct w:val="0"/>
              <w:spacing w:line="240" w:lineRule="atLeast"/>
              <w:jc w:val="center"/>
              <w:rPr>
                <w:rFonts w:hint="default" w:ascii="宋体" w:hAnsi="宋体" w:eastAsia="宋体"/>
                <w:color w:val="auto"/>
                <w:sz w:val="24"/>
                <w:szCs w:val="24"/>
                <w:highlight w:val="none"/>
              </w:rPr>
            </w:pPr>
            <w:r>
              <w:rPr>
                <w:rFonts w:hint="default" w:ascii="宋体" w:hAnsi="宋体" w:eastAsia="宋体"/>
                <w:color w:val="auto"/>
                <w:sz w:val="24"/>
                <w:szCs w:val="24"/>
                <w:highlight w:val="none"/>
              </w:rPr>
              <w:t>制造</w:t>
            </w:r>
          </w:p>
          <w:p w14:paraId="6559EAD9">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pacing w:val="-103"/>
                <w:sz w:val="24"/>
                <w:szCs w:val="24"/>
                <w:highlight w:val="none"/>
              </w:rPr>
              <w:t xml:space="preserve"> </w:t>
            </w:r>
            <w:r>
              <w:rPr>
                <w:rFonts w:hint="default" w:ascii="宋体" w:hAnsi="宋体" w:eastAsia="宋体"/>
                <w:color w:val="auto"/>
                <w:sz w:val="24"/>
                <w:szCs w:val="24"/>
                <w:highlight w:val="none"/>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CDE0E">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5823A">
            <w:pPr>
              <w:pStyle w:val="31"/>
              <w:kinsoku w:val="0"/>
              <w:overflowPunct w:val="0"/>
              <w:spacing w:line="240" w:lineRule="atLeast"/>
              <w:jc w:val="center"/>
              <w:rPr>
                <w:rFonts w:hint="default"/>
                <w:color w:val="auto"/>
                <w:sz w:val="24"/>
                <w:szCs w:val="24"/>
                <w:highlight w:val="none"/>
              </w:rPr>
            </w:pPr>
            <w:r>
              <w:rPr>
                <w:rFonts w:hint="default" w:ascii="宋体" w:hAnsi="宋体" w:eastAsia="宋体"/>
                <w:color w:val="auto"/>
                <w:sz w:val="24"/>
                <w:szCs w:val="24"/>
                <w:highlight w:val="none"/>
              </w:rPr>
              <w:t>备注</w:t>
            </w:r>
          </w:p>
        </w:tc>
      </w:tr>
      <w:tr w14:paraId="65944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34A17EFB">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71AF7513">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880F8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DF064B">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018558E">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EB9BCC">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0275B3">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8283E8B">
            <w:pPr>
              <w:rPr>
                <w:rFonts w:hint="default"/>
                <w:color w:val="auto"/>
                <w:sz w:val="24"/>
                <w:szCs w:val="24"/>
                <w:highlight w:val="none"/>
              </w:rPr>
            </w:pPr>
          </w:p>
        </w:tc>
      </w:tr>
      <w:tr w14:paraId="09A40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73F51C1B">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72265E14">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2A2705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CF6658A">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CAA0D4">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73B4F1">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9BEFEC">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C750CD">
            <w:pPr>
              <w:rPr>
                <w:rFonts w:hint="default"/>
                <w:color w:val="auto"/>
                <w:sz w:val="24"/>
                <w:szCs w:val="24"/>
                <w:highlight w:val="none"/>
              </w:rPr>
            </w:pPr>
          </w:p>
        </w:tc>
      </w:tr>
      <w:tr w14:paraId="5F94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1C88DAD0">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152F7456">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4280CF">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B876400">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A9DEBC">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F3C8FFC">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A64D324">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0C2AB6E">
            <w:pPr>
              <w:rPr>
                <w:rFonts w:hint="default"/>
                <w:color w:val="auto"/>
                <w:sz w:val="24"/>
                <w:szCs w:val="24"/>
                <w:highlight w:val="none"/>
              </w:rPr>
            </w:pPr>
          </w:p>
        </w:tc>
      </w:tr>
      <w:tr w14:paraId="59360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0D393AB6">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12F457E1">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BFD2D9">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F6FE047">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08CA4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CB6827">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2E0AFA">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C50CE09">
            <w:pPr>
              <w:rPr>
                <w:rFonts w:hint="default"/>
                <w:color w:val="auto"/>
                <w:sz w:val="24"/>
                <w:szCs w:val="24"/>
                <w:highlight w:val="none"/>
              </w:rPr>
            </w:pPr>
          </w:p>
        </w:tc>
      </w:tr>
      <w:tr w14:paraId="55EC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5ADFC81A">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3E7B3A9D">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B4CAF7C">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32694">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E690AAA">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65143C">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003F1B">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C0518C">
            <w:pPr>
              <w:rPr>
                <w:rFonts w:hint="default"/>
                <w:color w:val="auto"/>
                <w:sz w:val="24"/>
                <w:szCs w:val="24"/>
                <w:highlight w:val="none"/>
              </w:rPr>
            </w:pPr>
          </w:p>
        </w:tc>
      </w:tr>
      <w:tr w14:paraId="64DE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583DB551">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18DE487B">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EFD000">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63277D1">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1E290DD">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1982BE7">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9595A8">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138640">
            <w:pPr>
              <w:rPr>
                <w:rFonts w:hint="default"/>
                <w:color w:val="auto"/>
                <w:sz w:val="24"/>
                <w:szCs w:val="24"/>
                <w:highlight w:val="none"/>
              </w:rPr>
            </w:pPr>
          </w:p>
        </w:tc>
      </w:tr>
      <w:tr w14:paraId="315C7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77DEB3E0">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6DCDBE0F">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D2F08B3">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983DA3">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90A6C7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43CC3F">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9F29D1D">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D9328D9">
            <w:pPr>
              <w:rPr>
                <w:rFonts w:hint="default"/>
                <w:color w:val="auto"/>
                <w:sz w:val="24"/>
                <w:szCs w:val="24"/>
                <w:highlight w:val="none"/>
              </w:rPr>
            </w:pPr>
          </w:p>
        </w:tc>
      </w:tr>
      <w:tr w14:paraId="4AC1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1875F0B4">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6AE7CC3E">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012E17">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3E095EA">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322077">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67ED27B">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82A0D7B">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B0E927F">
            <w:pPr>
              <w:rPr>
                <w:rFonts w:hint="default"/>
                <w:color w:val="auto"/>
                <w:sz w:val="24"/>
                <w:szCs w:val="24"/>
                <w:highlight w:val="none"/>
              </w:rPr>
            </w:pPr>
          </w:p>
        </w:tc>
      </w:tr>
      <w:tr w14:paraId="08B71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14412FE0">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3EBA19E6">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0521C2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129AB19">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6D463F">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49635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4D6D11C">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C11BD7D">
            <w:pPr>
              <w:rPr>
                <w:rFonts w:hint="default"/>
                <w:color w:val="auto"/>
                <w:sz w:val="24"/>
                <w:szCs w:val="24"/>
                <w:highlight w:val="none"/>
              </w:rPr>
            </w:pPr>
          </w:p>
        </w:tc>
      </w:tr>
      <w:tr w14:paraId="4C6DE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02151105">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04E8E0DC">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30743B0">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0D4380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A661FB4">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DCEC51">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EA7DC4E">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534D433">
            <w:pPr>
              <w:rPr>
                <w:rFonts w:hint="default"/>
                <w:color w:val="auto"/>
                <w:sz w:val="24"/>
                <w:szCs w:val="24"/>
                <w:highlight w:val="none"/>
              </w:rPr>
            </w:pPr>
          </w:p>
        </w:tc>
      </w:tr>
      <w:tr w14:paraId="2C54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313CA60C">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0E6D00C4">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AC0496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3F590F">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8ACF113">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F831BC6">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1F548FD">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7ECF594">
            <w:pPr>
              <w:rPr>
                <w:rFonts w:hint="default"/>
                <w:color w:val="auto"/>
                <w:sz w:val="24"/>
                <w:szCs w:val="24"/>
                <w:highlight w:val="none"/>
              </w:rPr>
            </w:pPr>
          </w:p>
        </w:tc>
      </w:tr>
      <w:tr w14:paraId="5BC73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7636D4BD">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4EFE7334">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776F0F2">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4D06D3A">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2B690A">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2DA794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D92661C">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E5620A8">
            <w:pPr>
              <w:rPr>
                <w:rFonts w:hint="default"/>
                <w:color w:val="auto"/>
                <w:sz w:val="24"/>
                <w:szCs w:val="24"/>
                <w:highlight w:val="none"/>
              </w:rPr>
            </w:pPr>
          </w:p>
        </w:tc>
      </w:tr>
      <w:tr w14:paraId="44E3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314F4B8C">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62FA62B2">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A5C7D5F">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54D6C40">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2E1608">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4D0963E">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265A39">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476A246">
            <w:pPr>
              <w:rPr>
                <w:rFonts w:hint="default"/>
                <w:color w:val="auto"/>
                <w:sz w:val="24"/>
                <w:szCs w:val="24"/>
                <w:highlight w:val="none"/>
              </w:rPr>
            </w:pPr>
          </w:p>
        </w:tc>
      </w:tr>
      <w:tr w14:paraId="6654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22EEC7AF">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0311D563">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2ABC41D">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B126E45">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5869B41">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0742215">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6ABDE3B">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6142B9A">
            <w:pPr>
              <w:rPr>
                <w:rFonts w:hint="default"/>
                <w:color w:val="auto"/>
                <w:sz w:val="24"/>
                <w:szCs w:val="24"/>
                <w:highlight w:val="none"/>
              </w:rPr>
            </w:pPr>
          </w:p>
        </w:tc>
      </w:tr>
      <w:tr w14:paraId="309C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763DC7FB">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4C0D7728">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FB24ACE">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7F3B30E">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54D3152">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868418">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DA87254">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7FB1602">
            <w:pPr>
              <w:rPr>
                <w:rFonts w:hint="default"/>
                <w:color w:val="auto"/>
                <w:sz w:val="24"/>
                <w:szCs w:val="24"/>
                <w:highlight w:val="none"/>
              </w:rPr>
            </w:pPr>
          </w:p>
        </w:tc>
      </w:tr>
      <w:tr w14:paraId="1A7D1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2EAA93D7">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2C427225">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991E791">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3BDC0DF">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76A19CDB">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1A09CD2">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EB7F201">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6F611A4">
            <w:pPr>
              <w:rPr>
                <w:rFonts w:hint="default"/>
                <w:color w:val="auto"/>
                <w:sz w:val="24"/>
                <w:szCs w:val="24"/>
                <w:highlight w:val="none"/>
              </w:rPr>
            </w:pPr>
          </w:p>
        </w:tc>
      </w:tr>
      <w:tr w14:paraId="16368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498CFA9C">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3A49A8ED">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5D3641E2">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B033051">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4339580">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F852007">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37C84870">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6CA5BCA">
            <w:pPr>
              <w:rPr>
                <w:rFonts w:hint="default"/>
                <w:color w:val="auto"/>
                <w:sz w:val="24"/>
                <w:szCs w:val="24"/>
                <w:highlight w:val="none"/>
              </w:rPr>
            </w:pPr>
          </w:p>
        </w:tc>
      </w:tr>
      <w:tr w14:paraId="70A6E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70B0300E">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66DCAECA">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3B3C5CD">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5FA9F48">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E9E135B">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137918F">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EAD6785">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0752211">
            <w:pPr>
              <w:rPr>
                <w:rFonts w:hint="default"/>
                <w:color w:val="auto"/>
                <w:sz w:val="24"/>
                <w:szCs w:val="24"/>
                <w:highlight w:val="none"/>
              </w:rPr>
            </w:pPr>
          </w:p>
        </w:tc>
      </w:tr>
      <w:tr w14:paraId="67FC8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exact"/>
        </w:trPr>
        <w:tc>
          <w:tcPr>
            <w:tcW w:w="688" w:type="dxa"/>
            <w:gridSpan w:val="2"/>
            <w:tcBorders>
              <w:top w:val="single" w:color="000000" w:sz="4" w:space="0"/>
              <w:left w:val="single" w:color="000000" w:sz="4" w:space="0"/>
              <w:bottom w:val="single" w:color="000000" w:sz="4" w:space="0"/>
              <w:right w:val="single" w:color="auto" w:sz="4" w:space="0"/>
              <w:tl2br w:val="nil"/>
              <w:tr2bl w:val="nil"/>
            </w:tcBorders>
            <w:noWrap w:val="0"/>
            <w:vAlign w:val="top"/>
          </w:tcPr>
          <w:p w14:paraId="2649B034">
            <w:pPr>
              <w:rPr>
                <w:rFonts w:hint="default"/>
                <w:color w:val="auto"/>
                <w:sz w:val="24"/>
                <w:szCs w:val="24"/>
                <w:highlight w:val="none"/>
              </w:rPr>
            </w:pPr>
          </w:p>
        </w:tc>
        <w:tc>
          <w:tcPr>
            <w:tcW w:w="1483" w:type="dxa"/>
            <w:tcBorders>
              <w:top w:val="single" w:color="000000" w:sz="4" w:space="0"/>
              <w:left w:val="single" w:color="auto" w:sz="4" w:space="0"/>
              <w:bottom w:val="single" w:color="000000" w:sz="4" w:space="0"/>
              <w:right w:val="single" w:color="000000" w:sz="4" w:space="0"/>
              <w:tl2br w:val="nil"/>
              <w:tr2bl w:val="nil"/>
            </w:tcBorders>
            <w:noWrap w:val="0"/>
            <w:vAlign w:val="top"/>
          </w:tcPr>
          <w:p w14:paraId="02B79F30">
            <w:pPr>
              <w:rPr>
                <w:rFonts w:hint="default"/>
                <w:color w:val="auto"/>
                <w:sz w:val="24"/>
                <w:szCs w:val="24"/>
                <w:highlight w:val="none"/>
              </w:rPr>
            </w:pPr>
          </w:p>
        </w:tc>
        <w:tc>
          <w:tcPr>
            <w:tcW w:w="117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10EBA268">
            <w:pPr>
              <w:rPr>
                <w:rFonts w:hint="default"/>
                <w:color w:val="auto"/>
                <w:sz w:val="24"/>
                <w:szCs w:val="24"/>
                <w:highlight w:val="none"/>
              </w:rPr>
            </w:pPr>
          </w:p>
        </w:tc>
        <w:tc>
          <w:tcPr>
            <w:tcW w:w="747"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8DC572">
            <w:pPr>
              <w:rPr>
                <w:rFonts w:hint="default"/>
                <w:color w:val="auto"/>
                <w:sz w:val="24"/>
                <w:szCs w:val="24"/>
                <w:highlight w:val="none"/>
              </w:rPr>
            </w:pPr>
          </w:p>
        </w:tc>
        <w:tc>
          <w:tcPr>
            <w:tcW w:w="993"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6A08BFFC">
            <w:pPr>
              <w:rPr>
                <w:rFonts w:hint="default"/>
                <w:color w:val="auto"/>
                <w:sz w:val="24"/>
                <w:szCs w:val="24"/>
                <w:highlight w:val="none"/>
              </w:rPr>
            </w:pPr>
          </w:p>
        </w:tc>
        <w:tc>
          <w:tcPr>
            <w:tcW w:w="994"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230BECA9">
            <w:pPr>
              <w:rPr>
                <w:rFonts w:hint="default"/>
                <w:color w:val="auto"/>
                <w:sz w:val="24"/>
                <w:szCs w:val="24"/>
                <w:highlight w:val="none"/>
              </w:rPr>
            </w:pPr>
          </w:p>
        </w:tc>
        <w:tc>
          <w:tcPr>
            <w:tcW w:w="1529"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451DAD1C">
            <w:pPr>
              <w:rPr>
                <w:rFonts w:hint="default"/>
                <w:color w:val="auto"/>
                <w:sz w:val="24"/>
                <w:szCs w:val="24"/>
                <w:highlight w:val="none"/>
              </w:rPr>
            </w:pPr>
          </w:p>
        </w:tc>
        <w:tc>
          <w:tcPr>
            <w:tcW w:w="990" w:type="dxa"/>
            <w:tcBorders>
              <w:top w:val="single" w:color="000000" w:sz="4" w:space="0"/>
              <w:left w:val="single" w:color="000000" w:sz="4" w:space="0"/>
              <w:bottom w:val="single" w:color="000000" w:sz="4" w:space="0"/>
              <w:right w:val="single" w:color="000000" w:sz="4" w:space="0"/>
              <w:tl2br w:val="nil"/>
              <w:tr2bl w:val="nil"/>
            </w:tcBorders>
            <w:noWrap w:val="0"/>
            <w:vAlign w:val="top"/>
          </w:tcPr>
          <w:p w14:paraId="03531B87">
            <w:pPr>
              <w:rPr>
                <w:rFonts w:hint="default"/>
                <w:color w:val="auto"/>
                <w:sz w:val="24"/>
                <w:szCs w:val="24"/>
                <w:highlight w:val="none"/>
              </w:rPr>
            </w:pPr>
          </w:p>
        </w:tc>
      </w:tr>
    </w:tbl>
    <w:p w14:paraId="173E2ADD">
      <w:pPr>
        <w:rPr>
          <w:rFonts w:hint="default"/>
          <w:color w:val="auto"/>
          <w:sz w:val="24"/>
          <w:szCs w:val="24"/>
          <w:highlight w:val="none"/>
        </w:rPr>
        <w:sectPr>
          <w:headerReference r:id="rId18" w:type="default"/>
          <w:footerReference r:id="rId19" w:type="default"/>
          <w:pgSz w:w="11905" w:h="16838"/>
          <w:pgMar w:top="1417" w:right="1417" w:bottom="1417" w:left="1417" w:header="992" w:footer="992" w:gutter="0"/>
          <w:lnNumType w:countBy="0" w:distance="360"/>
          <w:pgNumType w:fmt="decimal"/>
          <w:cols w:space="720" w:num="1"/>
        </w:sectPr>
      </w:pPr>
    </w:p>
    <w:p w14:paraId="783CF1AA">
      <w:pPr>
        <w:pStyle w:val="7"/>
        <w:outlineLvl w:val="2"/>
        <w:rPr>
          <w:rFonts w:hint="default" w:cs="Times New Roman"/>
          <w:b/>
          <w:color w:val="auto"/>
          <w:sz w:val="24"/>
          <w:szCs w:val="24"/>
          <w:highlight w:val="none"/>
        </w:rPr>
      </w:pPr>
      <w:bookmarkStart w:id="191" w:name="_Toc32582"/>
      <w:r>
        <w:rPr>
          <w:rFonts w:hint="default" w:cs="Times New Roman"/>
          <w:b/>
          <w:color w:val="auto"/>
          <w:sz w:val="24"/>
          <w:szCs w:val="24"/>
          <w:highlight w:val="none"/>
          <w:lang w:val="en-US" w:eastAsia="zh-CN"/>
        </w:rPr>
        <w:t>（六）投标人声明</w:t>
      </w:r>
      <w:bookmarkEnd w:id="191"/>
    </w:p>
    <w:p w14:paraId="3F380EC9">
      <w:pPr>
        <w:pStyle w:val="28"/>
        <w:ind w:firstLine="480" w:firstLineChars="200"/>
        <w:jc w:val="center"/>
        <w:rPr>
          <w:rFonts w:hint="eastAsia" w:eastAsia="宋体"/>
          <w:color w:val="auto"/>
          <w:sz w:val="24"/>
          <w:szCs w:val="24"/>
          <w:highlight w:val="none"/>
          <w:lang w:eastAsia="zh-CN"/>
        </w:rPr>
        <w:sectPr>
          <w:pgSz w:w="11905" w:h="16838"/>
          <w:pgMar w:top="1417" w:right="1417" w:bottom="1417" w:left="1417" w:header="992" w:footer="992" w:gutter="0"/>
          <w:lnNumType w:countBy="0" w:distance="360"/>
          <w:pgNumType w:fmt="decimal"/>
          <w:cols w:space="720" w:num="1"/>
        </w:sectPr>
      </w:pPr>
      <w:r>
        <w:rPr>
          <w:rFonts w:hint="eastAsia" w:eastAsia="宋体"/>
          <w:color w:val="auto"/>
          <w:sz w:val="24"/>
          <w:szCs w:val="24"/>
          <w:highlight w:val="none"/>
          <w:lang w:eastAsia="zh-CN"/>
        </w:rPr>
        <w:t>（</w:t>
      </w:r>
      <w:r>
        <w:rPr>
          <w:rFonts w:hint="eastAsia" w:eastAsia="宋体"/>
          <w:color w:val="auto"/>
          <w:sz w:val="24"/>
          <w:szCs w:val="24"/>
          <w:highlight w:val="none"/>
          <w:lang w:val="en-US" w:eastAsia="zh-CN"/>
        </w:rPr>
        <w:t>见招标公告</w:t>
      </w:r>
      <w:r>
        <w:rPr>
          <w:rFonts w:hint="eastAsia" w:eastAsia="宋体"/>
          <w:color w:val="auto"/>
          <w:sz w:val="24"/>
          <w:szCs w:val="24"/>
          <w:highlight w:val="none"/>
          <w:lang w:eastAsia="zh-CN"/>
        </w:rPr>
        <w:t>）</w:t>
      </w:r>
    </w:p>
    <w:p w14:paraId="5BCA078F">
      <w:pPr>
        <w:pStyle w:val="7"/>
        <w:pageBreakBefore/>
        <w:outlineLvl w:val="2"/>
        <w:rPr>
          <w:b/>
          <w:color w:val="auto"/>
          <w:sz w:val="24"/>
          <w:szCs w:val="24"/>
          <w:highlight w:val="none"/>
        </w:rPr>
      </w:pPr>
      <w:r>
        <w:rPr>
          <w:rFonts w:hint="eastAsia" w:eastAsia="宋体"/>
          <w:b/>
          <w:bCs/>
          <w:color w:val="auto"/>
          <w:sz w:val="24"/>
          <w:szCs w:val="24"/>
          <w:highlight w:val="none"/>
          <w:lang w:eastAsia="zh-CN"/>
        </w:rPr>
        <w:t>（</w:t>
      </w:r>
      <w:r>
        <w:rPr>
          <w:rFonts w:hint="eastAsia" w:eastAsia="宋体"/>
          <w:b/>
          <w:bCs/>
          <w:color w:val="auto"/>
          <w:sz w:val="24"/>
          <w:szCs w:val="24"/>
          <w:highlight w:val="none"/>
          <w:lang w:val="en-US" w:eastAsia="zh-CN"/>
        </w:rPr>
        <w:t>七</w:t>
      </w:r>
      <w:r>
        <w:rPr>
          <w:rFonts w:hint="eastAsia" w:eastAsia="宋体"/>
          <w:b/>
          <w:bCs/>
          <w:color w:val="auto"/>
          <w:sz w:val="24"/>
          <w:szCs w:val="24"/>
          <w:highlight w:val="none"/>
          <w:lang w:eastAsia="zh-CN"/>
        </w:rPr>
        <w:t>）</w:t>
      </w:r>
      <w:r>
        <w:rPr>
          <w:rFonts w:hint="eastAsia"/>
          <w:b/>
          <w:color w:val="auto"/>
          <w:sz w:val="24"/>
          <w:szCs w:val="24"/>
          <w:highlight w:val="none"/>
        </w:rPr>
        <w:t>投标人廉洁承诺书</w:t>
      </w:r>
    </w:p>
    <w:p w14:paraId="1EC5AC6B">
      <w:pPr>
        <w:pStyle w:val="19"/>
        <w:spacing w:before="157" w:beforeLines="50" w:beforeAutospacing="0" w:after="157" w:afterLines="50" w:afterAutospacing="0" w:line="360" w:lineRule="auto"/>
        <w:ind w:firstLine="0"/>
        <w:jc w:val="center"/>
        <w:rPr>
          <w:rFonts w:hint="eastAsia" w:ascii="宋体" w:hAnsi="宋体" w:cs="宋体"/>
          <w:b/>
          <w:bCs/>
          <w:color w:val="auto"/>
          <w:sz w:val="32"/>
          <w:szCs w:val="32"/>
          <w:highlight w:val="none"/>
        </w:rPr>
      </w:pPr>
      <w:r>
        <w:rPr>
          <w:rFonts w:hint="eastAsia" w:ascii="宋体" w:hAnsi="宋体" w:eastAsia="宋体" w:cs="宋体"/>
          <w:b/>
          <w:bCs/>
          <w:color w:val="auto"/>
          <w:sz w:val="32"/>
          <w:szCs w:val="32"/>
          <w:highlight w:val="none"/>
        </w:rPr>
        <w:t>投标人廉洁承诺书</w:t>
      </w:r>
    </w:p>
    <w:p w14:paraId="033ECCE7">
      <w:pPr>
        <w:pStyle w:val="19"/>
        <w:shd w:val="clear" w:color="auto" w:fill="FFFFFF"/>
        <w:spacing w:before="0" w:beforeAutospacing="0" w:after="0" w:afterAutospacing="0" w:line="360" w:lineRule="auto"/>
        <w:ind w:firstLine="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本招标项目招标人及招标监管机构：</w:t>
      </w:r>
    </w:p>
    <w:p w14:paraId="337FE216">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本公司参加了</w:t>
      </w:r>
      <w:r>
        <w:rPr>
          <w:rFonts w:hint="eastAsia" w:ascii="宋体" w:hAnsi="宋体" w:eastAsia="宋体" w:cs="宋体"/>
          <w:color w:val="auto"/>
          <w:sz w:val="24"/>
          <w:szCs w:val="24"/>
          <w:highlight w:val="none"/>
          <w:u w:val="single"/>
        </w:rPr>
        <w:t xml:space="preserve">   （项目名称/标段名称）    </w:t>
      </w:r>
      <w:r>
        <w:rPr>
          <w:rFonts w:hint="eastAsia" w:ascii="宋体" w:hAnsi="宋体" w:eastAsia="宋体" w:cs="宋体"/>
          <w:color w:val="auto"/>
          <w:sz w:val="24"/>
          <w:szCs w:val="24"/>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5A6DBE05">
      <w:pPr>
        <w:pStyle w:val="13"/>
        <w:spacing w:line="360" w:lineRule="auto"/>
        <w:ind w:right="420" w:firstLine="480" w:firstLineChars="200"/>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一、自觉遵守国家有关法律法规及廉洁规定。</w:t>
      </w:r>
    </w:p>
    <w:p w14:paraId="49A92410">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二、不与招标单位工作人员串通投标，损害国家利益、企业利益以及他人的合法利益；</w:t>
      </w:r>
    </w:p>
    <w:p w14:paraId="4236350A">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三、不与其他单位围标、串标，不出让投标资格，不向招标人或评标委员会成员行贿。</w:t>
      </w:r>
    </w:p>
    <w:p w14:paraId="4012B3AF">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四、不以任何名义向参与招标、评标工作的有关人员提供高消费宴请及娱乐活动和赠送回扣、红包、礼金、购物卡、有价证券、贵重物品和好处费、感谢费等； </w:t>
      </w:r>
    </w:p>
    <w:p w14:paraId="71C90908">
      <w:pPr>
        <w:pStyle w:val="13"/>
        <w:spacing w:line="360" w:lineRule="auto"/>
        <w:ind w:right="420" w:firstLine="480" w:firstLineChars="200"/>
        <w:jc w:val="both"/>
        <w:rPr>
          <w:rFonts w:hint="eastAsia" w:hAnsi="宋体" w:eastAsia="宋体" w:cs="宋体"/>
          <w:color w:val="auto"/>
          <w:sz w:val="24"/>
          <w:szCs w:val="24"/>
          <w:highlight w:val="none"/>
        </w:rPr>
      </w:pPr>
      <w:r>
        <w:rPr>
          <w:rFonts w:hint="eastAsia" w:ascii="宋体" w:hAnsi="宋体" w:eastAsia="宋体" w:cs="宋体"/>
          <w:color w:val="auto"/>
          <w:sz w:val="24"/>
          <w:szCs w:val="24"/>
          <w:highlight w:val="none"/>
        </w:rPr>
        <w:t>五、不以任何名义为参与招标、评标工作的有关人员装修住房、婚丧嫁取、配偶子女的工作安排以及境内外旅游等提供方便；</w:t>
      </w:r>
    </w:p>
    <w:p w14:paraId="78C254F5">
      <w:pPr>
        <w:pStyle w:val="13"/>
        <w:spacing w:line="360" w:lineRule="auto"/>
        <w:ind w:right="420"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六、不以谋取非正当利益为目的，擅自与参与招标、评标工作的有关人员就业务问题进行私下商谈或者达成利益默契</w:t>
      </w:r>
      <w:r>
        <w:rPr>
          <w:rFonts w:hint="eastAsia" w:hAnsi="宋体" w:cs="宋体"/>
          <w:color w:val="auto"/>
          <w:sz w:val="24"/>
          <w:szCs w:val="24"/>
          <w:highlight w:val="none"/>
          <w:lang w:eastAsia="zh-CN"/>
        </w:rPr>
        <w:t>。</w:t>
      </w:r>
    </w:p>
    <w:p w14:paraId="7F0DD2B9">
      <w:pPr>
        <w:pStyle w:val="19"/>
        <w:shd w:val="clear" w:color="auto" w:fill="FFFFFF"/>
        <w:spacing w:before="0" w:beforeAutospacing="0" w:after="0" w:afterAutospacing="0" w:line="360" w:lineRule="auto"/>
        <w:ind w:firstLine="480" w:firstLineChars="200"/>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本公司违反上述承诺，或本承诺陈述与事实不符，经查实，本公司愿意接受公开通报，承担由此带来的法律后果。</w:t>
      </w:r>
    </w:p>
    <w:p w14:paraId="5C08F3D6">
      <w:pPr>
        <w:pStyle w:val="19"/>
        <w:shd w:val="clear" w:color="auto" w:fill="FFFFFF"/>
        <w:spacing w:before="0" w:beforeAutospacing="0" w:after="0" w:afterAutospacing="0"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特此承诺</w:t>
      </w:r>
      <w:r>
        <w:rPr>
          <w:rFonts w:hint="eastAsia" w:ascii="宋体" w:hAnsi="宋体" w:eastAsia="宋体" w:cs="宋体"/>
          <w:color w:val="auto"/>
          <w:sz w:val="24"/>
          <w:szCs w:val="24"/>
          <w:highlight w:val="none"/>
          <w:lang w:eastAsia="zh-CN"/>
        </w:rPr>
        <w:t>。</w:t>
      </w:r>
    </w:p>
    <w:p w14:paraId="7271501B">
      <w:pPr>
        <w:pStyle w:val="19"/>
        <w:shd w:val="clear" w:color="auto" w:fill="FFFFFF"/>
        <w:spacing w:before="0" w:beforeAutospacing="0" w:after="0" w:afterAutospacing="0" w:line="360" w:lineRule="auto"/>
        <w:ind w:right="1455" w:firstLine="28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承诺企业（</w:t>
      </w:r>
      <w:r>
        <w:rPr>
          <w:rFonts w:hint="eastAsia" w:ascii="宋体" w:hAnsi="宋体" w:cs="宋体"/>
          <w:color w:val="auto"/>
          <w:sz w:val="24"/>
          <w:szCs w:val="24"/>
          <w:highlight w:val="none"/>
          <w:lang w:eastAsia="zh-CN"/>
        </w:rPr>
        <w:t>盖</w:t>
      </w:r>
      <w:r>
        <w:rPr>
          <w:rFonts w:hint="eastAsia" w:ascii="宋体" w:hAnsi="宋体" w:eastAsia="宋体" w:cs="宋体"/>
          <w:color w:val="auto"/>
          <w:sz w:val="24"/>
          <w:szCs w:val="24"/>
          <w:highlight w:val="none"/>
        </w:rPr>
        <w:t>单位章）：      </w:t>
      </w:r>
    </w:p>
    <w:p w14:paraId="1BF0D4AD">
      <w:pPr>
        <w:pStyle w:val="19"/>
        <w:shd w:val="clear" w:color="auto" w:fill="FFFFFF"/>
        <w:spacing w:before="0" w:beforeAutospacing="0" w:after="0" w:afterAutospacing="0" w:line="360" w:lineRule="auto"/>
        <w:ind w:firstLine="480"/>
        <w:jc w:val="right"/>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法定代表人签字或盖章：</w:t>
      </w:r>
      <w:r>
        <w:rPr>
          <w:rFonts w:hint="eastAsia" w:ascii="宋体" w:hAnsi="宋体" w:cs="宋体"/>
          <w:color w:val="auto"/>
          <w:sz w:val="24"/>
          <w:szCs w:val="24"/>
          <w:highlight w:val="none"/>
        </w:rPr>
        <w:t xml:space="preserve">           </w:t>
      </w:r>
    </w:p>
    <w:p w14:paraId="548C6E6F">
      <w:pPr>
        <w:pStyle w:val="28"/>
        <w:ind w:firstLine="0"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0B18EFF7">
      <w:pPr>
        <w:rPr>
          <w:rFonts w:hint="eastAsia"/>
          <w:color w:val="auto"/>
          <w:sz w:val="28"/>
          <w:szCs w:val="24"/>
          <w:highlight w:val="none"/>
          <w:lang w:val="en-US" w:eastAsia="zh-CN"/>
        </w:rPr>
      </w:pPr>
      <w:bookmarkStart w:id="192" w:name="bookmark193"/>
      <w:bookmarkEnd w:id="192"/>
      <w:bookmarkStart w:id="193" w:name="_Toc3592"/>
      <w:r>
        <w:rPr>
          <w:rFonts w:hint="eastAsia"/>
          <w:color w:val="auto"/>
          <w:sz w:val="28"/>
          <w:szCs w:val="24"/>
          <w:highlight w:val="none"/>
          <w:lang w:val="en-US" w:eastAsia="zh-CN"/>
        </w:rPr>
        <w:br w:type="page"/>
      </w:r>
    </w:p>
    <w:p w14:paraId="3E00FBB3">
      <w:pPr>
        <w:pStyle w:val="6"/>
        <w:jc w:val="center"/>
        <w:outlineLvl w:val="1"/>
        <w:rPr>
          <w:rFonts w:hint="default"/>
          <w:color w:val="auto"/>
          <w:sz w:val="28"/>
          <w:szCs w:val="24"/>
          <w:highlight w:val="none"/>
        </w:rPr>
      </w:pPr>
      <w:r>
        <w:rPr>
          <w:rFonts w:hint="eastAsia"/>
          <w:color w:val="auto"/>
          <w:sz w:val="28"/>
          <w:szCs w:val="24"/>
          <w:highlight w:val="none"/>
          <w:lang w:val="en-US" w:eastAsia="zh-CN"/>
        </w:rPr>
        <w:t>六</w:t>
      </w:r>
      <w:r>
        <w:rPr>
          <w:rFonts w:hint="default"/>
          <w:color w:val="auto"/>
          <w:sz w:val="28"/>
          <w:szCs w:val="24"/>
          <w:highlight w:val="none"/>
        </w:rPr>
        <w:t>、</w:t>
      </w:r>
      <w:bookmarkEnd w:id="193"/>
      <w:r>
        <w:rPr>
          <w:rFonts w:hint="default"/>
          <w:color w:val="auto"/>
          <w:sz w:val="28"/>
          <w:szCs w:val="24"/>
          <w:highlight w:val="none"/>
          <w:lang w:val="en-US" w:eastAsia="zh-CN"/>
        </w:rPr>
        <w:t>监理大纲部分</w:t>
      </w:r>
    </w:p>
    <w:p w14:paraId="77D12B30">
      <w:pPr>
        <w:pStyle w:val="3"/>
        <w:kinsoku w:val="0"/>
        <w:overflowPunct w:val="0"/>
        <w:spacing w:beforeLines="100" w:line="360" w:lineRule="auto"/>
        <w:ind w:left="0" w:firstLine="480" w:firstLineChars="200"/>
        <w:rPr>
          <w:rFonts w:hint="default"/>
          <w:color w:val="auto"/>
          <w:sz w:val="24"/>
          <w:szCs w:val="24"/>
          <w:highlight w:val="none"/>
        </w:rPr>
      </w:pPr>
      <w:r>
        <w:rPr>
          <w:rFonts w:hint="default"/>
          <w:color w:val="auto"/>
          <w:sz w:val="24"/>
          <w:szCs w:val="24"/>
          <w:highlight w:val="none"/>
          <w:lang w:val="en-US" w:eastAsia="zh-CN"/>
        </w:rPr>
        <w:t>监理大纲部分</w:t>
      </w:r>
      <w:r>
        <w:rPr>
          <w:rFonts w:hint="default"/>
          <w:color w:val="auto"/>
          <w:sz w:val="24"/>
          <w:szCs w:val="24"/>
          <w:highlight w:val="none"/>
        </w:rPr>
        <w:t>应包括（但不限于）下列内容：</w:t>
      </w:r>
    </w:p>
    <w:p w14:paraId="39AE0392">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一、监理工程概况；</w:t>
      </w:r>
    </w:p>
    <w:p w14:paraId="33A2C40D">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 xml:space="preserve">二、监理范围、监理内容； </w:t>
      </w:r>
    </w:p>
    <w:p w14:paraId="7E0B8607">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三、监理依据、监理工作目标；</w:t>
      </w:r>
    </w:p>
    <w:p w14:paraId="073A962C">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 xml:space="preserve">四、监理机构设置（框图）、岗位职责； </w:t>
      </w:r>
    </w:p>
    <w:p w14:paraId="0B548B1A">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 xml:space="preserve">五、监理工作程序、方法和制度； </w:t>
      </w:r>
    </w:p>
    <w:p w14:paraId="14174FA8">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 xml:space="preserve">六、拟投入的监理人员、试验检测仪器设备； </w:t>
      </w:r>
    </w:p>
    <w:p w14:paraId="3782117D">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七、质量、进度、</w:t>
      </w:r>
      <w:r>
        <w:rPr>
          <w:rFonts w:hint="eastAsia"/>
          <w:color w:val="auto"/>
          <w:sz w:val="24"/>
          <w:szCs w:val="24"/>
          <w:highlight w:val="none"/>
          <w:lang w:val="en-US" w:eastAsia="zh-CN"/>
        </w:rPr>
        <w:t>投资</w:t>
      </w:r>
      <w:r>
        <w:rPr>
          <w:rFonts w:hint="default"/>
          <w:color w:val="auto"/>
          <w:sz w:val="24"/>
          <w:szCs w:val="24"/>
          <w:highlight w:val="none"/>
          <w:lang w:val="en-US" w:eastAsia="zh-CN"/>
        </w:rPr>
        <w:t xml:space="preserve">、安全、环保监理措施； </w:t>
      </w:r>
    </w:p>
    <w:p w14:paraId="4BD73C7C">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八、合同、信息管理方案；</w:t>
      </w:r>
    </w:p>
    <w:p w14:paraId="6BEF4623">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九、</w:t>
      </w:r>
      <w:r>
        <w:rPr>
          <w:rFonts w:hint="eastAsia"/>
          <w:color w:val="auto"/>
          <w:sz w:val="24"/>
          <w:szCs w:val="24"/>
          <w:highlight w:val="none"/>
          <w:lang w:val="en-US" w:eastAsia="zh-CN"/>
        </w:rPr>
        <w:t>监理</w:t>
      </w:r>
      <w:r>
        <w:rPr>
          <w:rFonts w:hint="default"/>
          <w:color w:val="auto"/>
          <w:sz w:val="24"/>
          <w:szCs w:val="24"/>
          <w:highlight w:val="none"/>
          <w:lang w:val="en-US" w:eastAsia="zh-CN"/>
        </w:rPr>
        <w:t xml:space="preserve">组织协调内容及措施； </w:t>
      </w:r>
    </w:p>
    <w:p w14:paraId="2A928458">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 xml:space="preserve">十、监理工作重点、难点分析； </w:t>
      </w:r>
    </w:p>
    <w:p w14:paraId="168855C7">
      <w:pPr>
        <w:pStyle w:val="3"/>
        <w:numPr>
          <w:ilvl w:val="0"/>
          <w:numId w:val="0"/>
        </w:numPr>
        <w:kinsoku w:val="0"/>
        <w:overflowPunct w:val="0"/>
        <w:spacing w:line="360" w:lineRule="auto"/>
        <w:ind w:left="480"/>
        <w:rPr>
          <w:rFonts w:hint="default"/>
          <w:color w:val="auto"/>
          <w:sz w:val="24"/>
          <w:szCs w:val="24"/>
          <w:highlight w:val="none"/>
          <w:lang w:val="en-US" w:eastAsia="zh-CN"/>
        </w:rPr>
      </w:pPr>
      <w:r>
        <w:rPr>
          <w:rFonts w:hint="default"/>
          <w:color w:val="auto"/>
          <w:sz w:val="24"/>
          <w:szCs w:val="24"/>
          <w:highlight w:val="none"/>
          <w:lang w:val="en-US" w:eastAsia="zh-CN"/>
        </w:rPr>
        <w:t>十一、</w:t>
      </w:r>
      <w:r>
        <w:rPr>
          <w:rFonts w:hint="eastAsia"/>
          <w:color w:val="auto"/>
          <w:sz w:val="24"/>
          <w:szCs w:val="24"/>
          <w:highlight w:val="none"/>
          <w:lang w:val="en-US" w:eastAsia="zh-CN"/>
        </w:rPr>
        <w:t>会议制度</w:t>
      </w:r>
    </w:p>
    <w:p w14:paraId="3C06EE09">
      <w:pPr>
        <w:pStyle w:val="3"/>
        <w:numPr>
          <w:ilvl w:val="0"/>
          <w:numId w:val="0"/>
        </w:numPr>
        <w:kinsoku w:val="0"/>
        <w:overflowPunct w:val="0"/>
        <w:spacing w:line="360" w:lineRule="auto"/>
        <w:ind w:left="480"/>
        <w:rPr>
          <w:rFonts w:hint="default"/>
          <w:color w:val="auto"/>
          <w:sz w:val="24"/>
          <w:szCs w:val="24"/>
          <w:highlight w:val="none"/>
        </w:rPr>
      </w:pPr>
      <w:r>
        <w:rPr>
          <w:rFonts w:hint="eastAsia"/>
          <w:color w:val="auto"/>
          <w:sz w:val="24"/>
          <w:szCs w:val="24"/>
          <w:highlight w:val="none"/>
          <w:lang w:val="en-US" w:eastAsia="zh-CN"/>
        </w:rPr>
        <w:t>十二、</w:t>
      </w:r>
      <w:r>
        <w:rPr>
          <w:rFonts w:hint="default"/>
          <w:color w:val="auto"/>
          <w:sz w:val="24"/>
          <w:szCs w:val="24"/>
          <w:highlight w:val="none"/>
          <w:lang w:val="en-US" w:eastAsia="zh-CN"/>
        </w:rPr>
        <w:t>合理化建议</w:t>
      </w:r>
      <w:r>
        <w:rPr>
          <w:rFonts w:hint="default"/>
          <w:color w:val="auto"/>
          <w:sz w:val="24"/>
          <w:szCs w:val="24"/>
          <w:highlight w:val="none"/>
        </w:rPr>
        <w:t xml:space="preserve">； </w:t>
      </w:r>
    </w:p>
    <w:p w14:paraId="434773C5">
      <w:pPr>
        <w:pStyle w:val="3"/>
        <w:numPr>
          <w:ilvl w:val="0"/>
          <w:numId w:val="0"/>
        </w:numPr>
        <w:kinsoku w:val="0"/>
        <w:overflowPunct w:val="0"/>
        <w:spacing w:line="360" w:lineRule="auto"/>
        <w:ind w:left="480"/>
        <w:rPr>
          <w:rFonts w:hint="default"/>
          <w:color w:val="auto"/>
          <w:sz w:val="24"/>
          <w:szCs w:val="24"/>
          <w:highlight w:val="none"/>
        </w:rPr>
      </w:pPr>
      <w:r>
        <w:rPr>
          <w:rFonts w:hint="eastAsia"/>
          <w:color w:val="auto"/>
          <w:sz w:val="24"/>
          <w:szCs w:val="24"/>
          <w:highlight w:val="none"/>
          <w:lang w:val="en-US" w:eastAsia="zh-CN"/>
        </w:rPr>
        <w:t>十三</w:t>
      </w:r>
      <w:r>
        <w:rPr>
          <w:rFonts w:hint="default"/>
          <w:color w:val="auto"/>
          <w:sz w:val="24"/>
          <w:szCs w:val="24"/>
          <w:highlight w:val="none"/>
        </w:rPr>
        <w:t>、</w:t>
      </w:r>
      <w:r>
        <w:rPr>
          <w:rFonts w:hint="eastAsia"/>
          <w:color w:val="auto"/>
          <w:sz w:val="24"/>
          <w:szCs w:val="24"/>
          <w:highlight w:val="none"/>
          <w:lang w:val="en-US" w:eastAsia="zh-CN"/>
        </w:rPr>
        <w:t>其他（如有）</w:t>
      </w:r>
      <w:r>
        <w:rPr>
          <w:rFonts w:hint="default"/>
          <w:color w:val="auto"/>
          <w:sz w:val="24"/>
          <w:szCs w:val="24"/>
          <w:highlight w:val="none"/>
        </w:rPr>
        <w:t>。</w:t>
      </w:r>
    </w:p>
    <w:p w14:paraId="58230B66">
      <w:pPr>
        <w:pStyle w:val="3"/>
        <w:kinsoku w:val="0"/>
        <w:overflowPunct w:val="0"/>
        <w:spacing w:before="275" w:line="357" w:lineRule="auto"/>
        <w:ind w:left="555" w:right="3835"/>
        <w:rPr>
          <w:rFonts w:hint="default"/>
          <w:color w:val="auto"/>
          <w:sz w:val="24"/>
          <w:szCs w:val="24"/>
          <w:highlight w:val="none"/>
        </w:rPr>
        <w:sectPr>
          <w:pgSz w:w="11905" w:h="16838"/>
          <w:pgMar w:top="1417" w:right="1417" w:bottom="1417" w:left="1417" w:header="992" w:footer="992" w:gutter="0"/>
          <w:lnNumType w:countBy="0" w:distance="360"/>
          <w:pgNumType w:fmt="decimal"/>
          <w:cols w:space="720" w:num="1"/>
        </w:sectPr>
      </w:pPr>
    </w:p>
    <w:p w14:paraId="668D3CAC">
      <w:pPr>
        <w:pStyle w:val="6"/>
        <w:jc w:val="center"/>
        <w:outlineLvl w:val="1"/>
        <w:rPr>
          <w:rFonts w:hint="eastAsia" w:ascii="宋体" w:hAnsi="宋体" w:eastAsia="宋体"/>
          <w:color w:val="auto"/>
          <w:sz w:val="28"/>
          <w:szCs w:val="24"/>
          <w:highlight w:val="none"/>
          <w:lang w:val="en-US" w:eastAsia="zh-CN"/>
        </w:rPr>
      </w:pPr>
      <w:bookmarkStart w:id="194" w:name="bookmark194"/>
      <w:bookmarkEnd w:id="194"/>
      <w:bookmarkStart w:id="195" w:name="_Toc29707"/>
      <w:r>
        <w:rPr>
          <w:rFonts w:hint="eastAsia"/>
          <w:color w:val="auto"/>
          <w:sz w:val="28"/>
          <w:szCs w:val="24"/>
          <w:highlight w:val="none"/>
          <w:lang w:val="en-US" w:eastAsia="zh-CN"/>
        </w:rPr>
        <w:t>七</w:t>
      </w:r>
      <w:r>
        <w:rPr>
          <w:rFonts w:hint="eastAsia" w:ascii="宋体" w:hAnsi="宋体" w:eastAsia="宋体"/>
          <w:color w:val="auto"/>
          <w:sz w:val="28"/>
          <w:szCs w:val="24"/>
          <w:highlight w:val="none"/>
          <w:lang w:val="en-US" w:eastAsia="zh-CN"/>
        </w:rPr>
        <w:t>、其他资料</w:t>
      </w:r>
      <w:bookmarkEnd w:id="195"/>
    </w:p>
    <w:p w14:paraId="553F61D0">
      <w:pPr>
        <w:numPr>
          <w:ilvl w:val="0"/>
          <w:numId w:val="0"/>
        </w:numPr>
        <w:rPr>
          <w:rFonts w:hint="default"/>
          <w:color w:val="auto"/>
          <w:sz w:val="28"/>
          <w:szCs w:val="24"/>
          <w:highlight w:val="none"/>
        </w:rPr>
      </w:pPr>
    </w:p>
    <w:p w14:paraId="17827B42">
      <w:pPr>
        <w:numPr>
          <w:ilvl w:val="0"/>
          <w:numId w:val="0"/>
        </w:numPr>
        <w:jc w:val="left"/>
        <w:rPr>
          <w:rFonts w:hint="eastAsia" w:ascii="宋体" w:hAnsi="宋体"/>
          <w:b/>
          <w:color w:val="000000"/>
          <w:sz w:val="24"/>
          <w:highlight w:val="none"/>
          <w:lang w:eastAsia="zh-CN"/>
        </w:rPr>
      </w:pPr>
      <w:r>
        <w:rPr>
          <w:rFonts w:hint="eastAsia" w:ascii="宋体" w:hAnsi="宋体"/>
          <w:b/>
          <w:color w:val="000000"/>
          <w:sz w:val="24"/>
          <w:highlight w:val="none"/>
        </w:rPr>
        <w:t>其它投标人认为需递交的资料（</w:t>
      </w:r>
      <w:r>
        <w:rPr>
          <w:rFonts w:hint="eastAsia" w:ascii="宋体" w:hAnsi="宋体"/>
          <w:b/>
          <w:color w:val="000000"/>
          <w:sz w:val="24"/>
          <w:highlight w:val="none"/>
          <w:lang w:eastAsia="zh-CN"/>
        </w:rPr>
        <w:t>包括但不限于：</w:t>
      </w:r>
      <w:r>
        <w:rPr>
          <w:rFonts w:hint="eastAsia" w:ascii="宋体" w:hAnsi="宋体"/>
          <w:b/>
          <w:color w:val="000000"/>
          <w:sz w:val="24"/>
          <w:highlight w:val="none"/>
          <w:lang w:val="en-US" w:eastAsia="zh-CN"/>
        </w:rPr>
        <w:t>第三方评价</w:t>
      </w:r>
      <w:r>
        <w:rPr>
          <w:rFonts w:hint="eastAsia" w:ascii="宋体" w:hAnsi="宋体"/>
          <w:b/>
          <w:color w:val="000000"/>
          <w:sz w:val="24"/>
          <w:highlight w:val="none"/>
        </w:rPr>
        <w:t>等</w:t>
      </w:r>
      <w:r>
        <w:rPr>
          <w:rFonts w:hint="eastAsia" w:ascii="宋体" w:hAnsi="宋体"/>
          <w:b/>
          <w:color w:val="000000"/>
          <w:sz w:val="24"/>
          <w:highlight w:val="none"/>
          <w:lang w:eastAsia="zh-CN"/>
        </w:rPr>
        <w:t>（</w:t>
      </w:r>
      <w:r>
        <w:rPr>
          <w:rFonts w:hint="eastAsia" w:ascii="宋体" w:hAnsi="宋体"/>
          <w:b/>
          <w:color w:val="000000"/>
          <w:sz w:val="24"/>
          <w:highlight w:val="none"/>
          <w:lang w:val="en-US" w:eastAsia="zh-CN"/>
        </w:rPr>
        <w:t>如有</w:t>
      </w:r>
      <w:r>
        <w:rPr>
          <w:rFonts w:hint="eastAsia" w:ascii="宋体" w:hAnsi="宋体"/>
          <w:b/>
          <w:color w:val="000000"/>
          <w:sz w:val="24"/>
          <w:highlight w:val="none"/>
          <w:lang w:eastAsia="zh-CN"/>
        </w:rPr>
        <w:t>））。（按招标文件第六章所附格式要求填写并提交）</w:t>
      </w:r>
      <w:r>
        <w:rPr>
          <w:rFonts w:hint="eastAsia" w:ascii="宋体" w:hAnsi="宋体"/>
          <w:b/>
          <w:color w:val="000000"/>
          <w:sz w:val="24"/>
          <w:highlight w:val="none"/>
        </w:rPr>
        <w:t>）</w:t>
      </w:r>
      <w:r>
        <w:rPr>
          <w:rFonts w:hint="eastAsia" w:ascii="宋体" w:hAnsi="宋体"/>
          <w:b/>
          <w:color w:val="000000"/>
          <w:sz w:val="24"/>
          <w:highlight w:val="none"/>
          <w:lang w:eastAsia="zh-CN"/>
        </w:rPr>
        <w:t>。</w:t>
      </w:r>
    </w:p>
    <w:p w14:paraId="52FA57EF">
      <w:pPr>
        <w:numPr>
          <w:ilvl w:val="0"/>
          <w:numId w:val="0"/>
        </w:numPr>
        <w:jc w:val="center"/>
        <w:rPr>
          <w:rFonts w:hint="eastAsia" w:ascii="宋体" w:hAnsi="宋体"/>
          <w:b/>
          <w:color w:val="000000"/>
          <w:sz w:val="24"/>
          <w:highlight w:val="none"/>
          <w:lang w:eastAsia="zh-CN"/>
        </w:rPr>
      </w:pPr>
    </w:p>
    <w:p w14:paraId="16DBD2B8">
      <w:pPr>
        <w:numPr>
          <w:ilvl w:val="0"/>
          <w:numId w:val="0"/>
        </w:numPr>
        <w:jc w:val="center"/>
        <w:rPr>
          <w:rFonts w:hint="eastAsia" w:ascii="宋体" w:hAnsi="宋体"/>
          <w:b/>
          <w:color w:val="000000"/>
          <w:sz w:val="24"/>
          <w:highlight w:val="none"/>
          <w:lang w:eastAsia="zh-CN"/>
        </w:rPr>
      </w:pPr>
    </w:p>
    <w:p w14:paraId="1263A907">
      <w:pPr>
        <w:numPr>
          <w:ilvl w:val="0"/>
          <w:numId w:val="0"/>
        </w:numPr>
        <w:jc w:val="center"/>
        <w:rPr>
          <w:rFonts w:hint="eastAsia" w:ascii="宋体" w:hAnsi="宋体"/>
          <w:b/>
          <w:color w:val="000000"/>
          <w:sz w:val="24"/>
          <w:highlight w:val="none"/>
          <w:lang w:eastAsia="zh-CN"/>
        </w:rPr>
      </w:pPr>
    </w:p>
    <w:p w14:paraId="65131348">
      <w:pPr>
        <w:numPr>
          <w:ilvl w:val="0"/>
          <w:numId w:val="0"/>
        </w:numPr>
        <w:jc w:val="center"/>
        <w:rPr>
          <w:rFonts w:hint="eastAsia" w:ascii="宋体" w:hAnsi="宋体"/>
          <w:b/>
          <w:color w:val="000000"/>
          <w:sz w:val="24"/>
          <w:highlight w:val="none"/>
          <w:lang w:eastAsia="zh-CN"/>
        </w:rPr>
      </w:pPr>
    </w:p>
    <w:p w14:paraId="3D788BB3">
      <w:pPr>
        <w:autoSpaceDE/>
        <w:autoSpaceDN/>
        <w:adjustRightInd/>
        <w:spacing w:line="240" w:lineRule="auto"/>
        <w:jc w:val="left"/>
        <w:rPr>
          <w:rFonts w:hint="eastAsia" w:ascii="宋体" w:hAnsi="宋体" w:eastAsia="宋体" w:cs="宋体"/>
          <w:b/>
          <w:color w:val="auto"/>
          <w:kern w:val="2"/>
          <w:sz w:val="28"/>
          <w:szCs w:val="28"/>
          <w:highlight w:val="none"/>
          <w:u w:val="single"/>
          <w:lang w:val="en-US" w:eastAsia="zh-CN" w:bidi="ar-SA"/>
        </w:rPr>
      </w:pPr>
      <w:r>
        <w:rPr>
          <w:rFonts w:hint="eastAsia" w:ascii="宋体" w:hAnsi="宋体" w:eastAsia="宋体" w:cs="宋体"/>
          <w:b/>
          <w:color w:val="auto"/>
          <w:kern w:val="2"/>
          <w:sz w:val="28"/>
          <w:szCs w:val="28"/>
          <w:highlight w:val="none"/>
          <w:u w:val="single"/>
          <w:lang w:val="en-US" w:eastAsia="zh-CN" w:bidi="ar-SA"/>
        </w:rPr>
        <w:br w:type="page"/>
      </w:r>
    </w:p>
    <w:p w14:paraId="4E474DA8">
      <w:pPr>
        <w:pStyle w:val="5"/>
        <w:outlineLvl w:val="0"/>
        <w:rPr>
          <w:rFonts w:hint="default" w:cs="Times New Roman"/>
          <w:color w:val="auto"/>
          <w:sz w:val="44"/>
          <w:szCs w:val="44"/>
          <w:highlight w:val="none"/>
        </w:rPr>
      </w:pPr>
      <w:bookmarkStart w:id="196" w:name="_Toc27375"/>
      <w:r>
        <w:rPr>
          <w:rFonts w:hint="default" w:cs="Times New Roman"/>
          <w:color w:val="auto"/>
          <w:sz w:val="44"/>
          <w:szCs w:val="44"/>
          <w:highlight w:val="none"/>
          <w:lang w:val="en-US" w:eastAsia="zh-CN"/>
        </w:rPr>
        <w:t xml:space="preserve">第七章 </w:t>
      </w:r>
      <w:r>
        <w:rPr>
          <w:rFonts w:hint="default" w:cs="Times New Roman"/>
          <w:color w:val="auto"/>
          <w:sz w:val="44"/>
          <w:szCs w:val="44"/>
          <w:highlight w:val="none"/>
        </w:rPr>
        <w:t>投标人须知前附表规定的其他资料。</w:t>
      </w:r>
      <w:bookmarkEnd w:id="196"/>
    </w:p>
    <w:p w14:paraId="4D7C6675">
      <w:pPr>
        <w:rPr>
          <w:rFonts w:hint="default"/>
          <w:color w:val="auto"/>
          <w:sz w:val="24"/>
          <w:szCs w:val="24"/>
          <w:highlight w:val="none"/>
        </w:rPr>
      </w:pPr>
    </w:p>
    <w:p w14:paraId="188C464F">
      <w:pPr>
        <w:pStyle w:val="6"/>
        <w:jc w:val="center"/>
        <w:outlineLvl w:val="0"/>
        <w:rPr>
          <w:rFonts w:hint="default"/>
          <w:color w:val="auto"/>
          <w:sz w:val="30"/>
          <w:szCs w:val="24"/>
          <w:highlight w:val="none"/>
          <w:lang w:val="en-US" w:eastAsia="zh-CN"/>
        </w:rPr>
      </w:pPr>
      <w:bookmarkStart w:id="197" w:name="_Toc11244"/>
      <w:r>
        <w:rPr>
          <w:rFonts w:hint="default"/>
          <w:color w:val="auto"/>
          <w:sz w:val="30"/>
          <w:szCs w:val="24"/>
          <w:highlight w:val="none"/>
          <w:lang w:val="en-US" w:eastAsia="zh-CN"/>
        </w:rPr>
        <w:t>否决性条款汇总</w:t>
      </w:r>
      <w:bookmarkEnd w:id="197"/>
    </w:p>
    <w:p w14:paraId="08C03BD5">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人应当在招标文件中将否决性条款集中载明，未集中载明的否决性投标条款，评标时不予认可。如招标文件澄清或修改的内容中增加、删除、修改否决性条款的，招标人应当集中载明调整后完整的否决性条款，并依法发给潜在投标人或投标人。</w:t>
      </w:r>
    </w:p>
    <w:p w14:paraId="711FB62D">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0E6C84F0">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5916EE6C">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一、开标时，出现下列情形之一的，不参与资格审查和评标</w:t>
      </w:r>
    </w:p>
    <w:p w14:paraId="411F8FB0">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1.未成功递交投标文件的；</w:t>
      </w:r>
    </w:p>
    <w:p w14:paraId="138CF67E">
      <w:pPr>
        <w:widowControl/>
        <w:autoSpaceDE/>
        <w:autoSpaceDN/>
        <w:adjustRightInd/>
        <w:spacing w:after="135" w:line="360" w:lineRule="auto"/>
        <w:ind w:firstLine="480" w:firstLineChars="200"/>
        <w:jc w:val="left"/>
        <w:rPr>
          <w:rFonts w:hint="default" w:ascii="宋体" w:hAnsi="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.未按要求加密的投标文件；</w:t>
      </w:r>
    </w:p>
    <w:p w14:paraId="5220B1B2">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因投标人原因造成投标文件未解密的</w:t>
      </w:r>
      <w:r>
        <w:rPr>
          <w:rFonts w:hint="eastAsia" w:ascii="宋体" w:hAnsi="宋体" w:cs="宋体"/>
          <w:color w:val="auto"/>
          <w:kern w:val="0"/>
          <w:sz w:val="24"/>
          <w:szCs w:val="24"/>
          <w:highlight w:val="none"/>
          <w:lang w:eastAsia="zh-CN"/>
        </w:rPr>
        <w:t>；</w:t>
      </w:r>
    </w:p>
    <w:p w14:paraId="1C3DC825">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4.两个（含两个）以上的投标人加密打包投标文件电脑机器特征码一致的。</w:t>
      </w:r>
    </w:p>
    <w:p w14:paraId="3A3DD80D">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二、作无效投标的情形</w:t>
      </w:r>
    </w:p>
    <w:p w14:paraId="01804958">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1.投标文件不符合招标文件评标办法中形式评审标准、资格评审标准、响应性评审标准的要求。</w:t>
      </w:r>
    </w:p>
    <w:p w14:paraId="15FE44C1">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三、作不合格标处理的情形</w:t>
      </w:r>
    </w:p>
    <w:p w14:paraId="58256ED4">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default"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一</w:t>
      </w:r>
      <w:r>
        <w:rPr>
          <w:rFonts w:hint="eastAsia" w:cs="Times New Roman"/>
          <w:color w:val="auto"/>
          <w:sz w:val="24"/>
          <w:szCs w:val="24"/>
          <w:highlight w:val="none"/>
          <w:lang w:eastAsia="zh-CN"/>
        </w:rPr>
        <w:t>）</w:t>
      </w:r>
      <w:r>
        <w:rPr>
          <w:rFonts w:hint="default" w:cs="Times New Roman"/>
          <w:color w:val="auto"/>
          <w:sz w:val="24"/>
          <w:szCs w:val="24"/>
          <w:highlight w:val="none"/>
        </w:rPr>
        <w:t>投标人有以下情形之一的，评标委员会应当否决其投标：</w:t>
      </w:r>
    </w:p>
    <w:p w14:paraId="449562F0">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default" w:cs="Times New Roman"/>
          <w:color w:val="auto"/>
          <w:sz w:val="24"/>
          <w:szCs w:val="24"/>
          <w:highlight w:val="none"/>
        </w:rPr>
      </w:pPr>
      <w:r>
        <w:rPr>
          <w:rFonts w:hint="eastAsia" w:cs="Times New Roman"/>
          <w:color w:val="auto"/>
          <w:sz w:val="24"/>
          <w:szCs w:val="24"/>
          <w:highlight w:val="none"/>
          <w:lang w:val="en-US" w:eastAsia="zh-CN"/>
        </w:rPr>
        <w:t>1.</w:t>
      </w:r>
      <w:r>
        <w:rPr>
          <w:rFonts w:hint="default" w:cs="Times New Roman"/>
          <w:color w:val="auto"/>
          <w:sz w:val="24"/>
          <w:szCs w:val="24"/>
          <w:highlight w:val="none"/>
        </w:rPr>
        <w:t>投标文件没有对招标文件的实质性要求和条件作出响应，或者对招标文件的偏差超出招标文件规定的偏差范围或最高项数；</w:t>
      </w:r>
    </w:p>
    <w:p w14:paraId="3D5AC3E0">
      <w:pPr>
        <w:pStyle w:val="3"/>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rPr>
          <w:rFonts w:hint="default" w:cs="Times New Roman"/>
          <w:color w:val="auto"/>
          <w:sz w:val="24"/>
          <w:szCs w:val="24"/>
          <w:highlight w:val="none"/>
        </w:rPr>
      </w:pPr>
      <w:r>
        <w:rPr>
          <w:rFonts w:hint="eastAsia" w:cs="Times New Roman"/>
          <w:color w:val="auto"/>
          <w:sz w:val="24"/>
          <w:szCs w:val="24"/>
          <w:highlight w:val="none"/>
          <w:lang w:val="en-US" w:eastAsia="zh-CN"/>
        </w:rPr>
        <w:t>2.</w:t>
      </w:r>
      <w:r>
        <w:rPr>
          <w:rFonts w:hint="default" w:cs="Times New Roman"/>
          <w:color w:val="auto"/>
          <w:sz w:val="24"/>
          <w:szCs w:val="24"/>
          <w:highlight w:val="none"/>
        </w:rPr>
        <w:t>有串通投标、弄虚作假、行贿等违法行为</w:t>
      </w:r>
      <w:r>
        <w:rPr>
          <w:rFonts w:hint="eastAsia" w:cs="Times New Roman"/>
          <w:color w:val="auto"/>
          <w:sz w:val="24"/>
          <w:szCs w:val="24"/>
          <w:highlight w:val="none"/>
          <w:lang w:eastAsia="zh-CN"/>
        </w:rPr>
        <w:t>；</w:t>
      </w:r>
    </w:p>
    <w:p w14:paraId="6A7B857D">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cs="Times New Roman"/>
          <w:color w:val="auto"/>
          <w:sz w:val="24"/>
          <w:szCs w:val="24"/>
          <w:highlight w:val="none"/>
          <w:lang w:val="en-US" w:eastAsia="zh-CN"/>
        </w:rPr>
        <w:t>3.</w:t>
      </w:r>
      <w:r>
        <w:rPr>
          <w:rFonts w:hint="default" w:cs="Times New Roman"/>
          <w:color w:val="auto"/>
          <w:sz w:val="24"/>
          <w:szCs w:val="24"/>
          <w:highlight w:val="none"/>
          <w:lang w:eastAsia="zh-CN"/>
        </w:rPr>
        <w:t>两个（含两个）以上</w:t>
      </w:r>
      <w:r>
        <w:rPr>
          <w:rFonts w:hint="eastAsia" w:eastAsia="Times New Roman" w:cs="Times New Roman"/>
          <w:color w:val="auto"/>
          <w:sz w:val="24"/>
          <w:szCs w:val="24"/>
          <w:highlight w:val="none"/>
        </w:rPr>
        <w:t>投标人加密打包投标文件</w:t>
      </w:r>
      <w:r>
        <w:rPr>
          <w:rFonts w:hint="default" w:cs="Times New Roman"/>
          <w:color w:val="auto"/>
          <w:sz w:val="24"/>
          <w:szCs w:val="24"/>
          <w:highlight w:val="none"/>
          <w:lang w:eastAsia="zh-CN"/>
        </w:rPr>
        <w:t>工程量清单编制</w:t>
      </w:r>
      <w:r>
        <w:rPr>
          <w:rFonts w:hint="eastAsia" w:eastAsia="Times New Roman" w:cs="Times New Roman"/>
          <w:color w:val="auto"/>
          <w:sz w:val="24"/>
          <w:szCs w:val="24"/>
          <w:highlight w:val="none"/>
        </w:rPr>
        <w:t>机器</w:t>
      </w:r>
      <w:r>
        <w:rPr>
          <w:rFonts w:hint="default" w:cs="Times New Roman"/>
          <w:color w:val="auto"/>
          <w:sz w:val="24"/>
          <w:szCs w:val="24"/>
          <w:highlight w:val="none"/>
          <w:lang w:eastAsia="zh-CN"/>
        </w:rPr>
        <w:t>硬件信息</w:t>
      </w:r>
      <w:r>
        <w:rPr>
          <w:rFonts w:hint="eastAsia" w:eastAsia="Times New Roman" w:cs="Times New Roman"/>
          <w:color w:val="auto"/>
          <w:sz w:val="24"/>
          <w:szCs w:val="24"/>
          <w:highlight w:val="none"/>
        </w:rPr>
        <w:t>一致的</w:t>
      </w:r>
      <w:r>
        <w:rPr>
          <w:rFonts w:hint="default" w:cs="Times New Roman"/>
          <w:color w:val="auto"/>
          <w:sz w:val="24"/>
          <w:szCs w:val="24"/>
          <w:highlight w:val="none"/>
          <w:lang w:eastAsia="zh-CN"/>
        </w:rPr>
        <w:t>。</w:t>
      </w:r>
    </w:p>
    <w:p w14:paraId="4734AFFE">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四、其他否定投标文件效力情形</w:t>
      </w:r>
    </w:p>
    <w:p w14:paraId="3D6AB7AF">
      <w:pPr>
        <w:widowControl/>
        <w:autoSpaceDE/>
        <w:autoSpaceDN/>
        <w:adjustRightInd/>
        <w:spacing w:after="135" w:line="360" w:lineRule="auto"/>
        <w:ind w:firstLine="480" w:firstLineChars="200"/>
        <w:jc w:val="left"/>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1.投标人拒不澄清确认修正投标报价。</w:t>
      </w:r>
    </w:p>
    <w:p w14:paraId="187EB1D9">
      <w:pPr>
        <w:widowControl/>
        <w:autoSpaceDE/>
        <w:autoSpaceDN/>
        <w:adjustRightInd/>
        <w:spacing w:after="135" w:line="360" w:lineRule="auto"/>
        <w:ind w:firstLine="480" w:firstLineChars="200"/>
        <w:jc w:val="left"/>
        <w:rPr>
          <w:rFonts w:hint="eastAsia" w:ascii="宋体" w:hAnsi="宋体" w:eastAsia="宋体" w:cs="宋体"/>
          <w:color w:val="auto"/>
          <w:kern w:val="0"/>
          <w:sz w:val="24"/>
          <w:szCs w:val="24"/>
          <w:highlight w:val="none"/>
          <w:lang w:val="en-US" w:eastAsia="zh-CN"/>
        </w:rPr>
      </w:pPr>
    </w:p>
    <w:p w14:paraId="4CF93421">
      <w:pPr>
        <w:spacing w:line="360" w:lineRule="auto"/>
        <w:ind w:firstLine="484" w:firstLineChars="202"/>
        <w:rPr>
          <w:rFonts w:hint="default" w:ascii="宋体" w:hAnsi="宋体" w:cs="宋体"/>
          <w:color w:val="auto"/>
          <w:kern w:val="21"/>
          <w:highlight w:val="none"/>
        </w:rPr>
      </w:pPr>
    </w:p>
    <w:sectPr>
      <w:headerReference r:id="rId20" w:type="default"/>
      <w:footerReference r:id="rId21" w:type="default"/>
      <w:pgSz w:w="11905" w:h="16838"/>
      <w:pgMar w:top="1417" w:right="1417" w:bottom="1417" w:left="1417" w:header="992" w:footer="992" w:gutter="0"/>
      <w:lnNumType w:countBy="0" w:distance="36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77B19">
    <w:pPr>
      <w:pStyle w:val="15"/>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EBA04">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AEBA04">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BB422">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5DED0D0C">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5DED0D0C">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172A8">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FC56B45">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540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FC56B45">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58079">
    <w:pPr>
      <w:pStyle w:val="3"/>
      <w:kinsoku w:val="0"/>
      <w:overflowPunct w:val="0"/>
      <w:spacing w:line="14" w:lineRule="auto"/>
      <w:ind w:left="0"/>
      <w:rPr>
        <w:rFonts w:hint="default"/>
        <w:sz w:val="18"/>
        <w:szCs w:val="24"/>
      </w:rPr>
    </w:pPr>
    <w:r>
      <w:rPr>
        <w:rFonts w:hint="default" w:ascii="Calibri" w:hAnsi="Calibri" w:eastAsia="Calibri"/>
        <w:sz w:val="21"/>
        <w:szCs w:val="24"/>
      </w:rPr>
      <mc:AlternateContent>
        <mc:Choice Requires="wps">
          <w:drawing>
            <wp:anchor distT="0" distB="0" distL="114300" distR="114300" simplePos="0" relativeHeight="251659264" behindDoc="0" locked="0" layoutInCell="1" allowOverlap="1">
              <wp:simplePos x="0" y="0"/>
              <wp:positionH relativeFrom="margin">
                <wp:posOffset>2825115</wp:posOffset>
              </wp:positionH>
              <wp:positionV relativeFrom="paragraph">
                <wp:posOffset>-172720</wp:posOffset>
              </wp:positionV>
              <wp:extent cx="16256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62560" cy="139700"/>
                      </a:xfrm>
                      <a:prstGeom prst="rect">
                        <a:avLst/>
                      </a:prstGeom>
                      <a:noFill/>
                      <a:ln>
                        <a:noFill/>
                      </a:ln>
                    </wps:spPr>
                    <wps:txbx>
                      <w:txbxContent>
                        <w:p w14:paraId="2DC15A0A">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left:222.45pt;margin-top:-13.6pt;height:11pt;width:12.8pt;mso-position-horizontal-relative:margin;z-index:251659264;mso-width-relative:page;mso-height-relative:page;" filled="f" stroked="f" coordsize="21600,21600" o:gfxdata="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hMo4n2gAAAAoBAAAPAAAAAAAA&#10;AAEAIAAAACIAAABkcnMvZG93bnJldi54bWxQSwECFAAUAAAACACHTuJABdMPKNcBAACkAwAADgAA&#10;AAAAAAABACAAAAApAQAAZHJzL2Uyb0RvYy54bWxQSwUGAAAAAAYABgBZAQAAcgUAAAAA&#10;">
              <v:fill on="f" focussize="0,0"/>
              <v:stroke on="f"/>
              <v:imagedata o:title=""/>
              <o:lock v:ext="edit" aspectratio="f"/>
              <v:textbox inset="0mm,0mm,0mm,0mm">
                <w:txbxContent>
                  <w:p w14:paraId="2DC15A0A">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33FD">
    <w:pPr>
      <w:pStyle w:val="3"/>
      <w:kinsoku w:val="0"/>
      <w:overflowPunct w:val="0"/>
      <w:spacing w:line="14" w:lineRule="auto"/>
      <w:ind w:left="0"/>
      <w:rPr>
        <w:rFonts w:hint="default"/>
        <w:sz w:val="18"/>
        <w:szCs w:val="24"/>
      </w:rPr>
    </w:pPr>
    <w:r>
      <w:rPr>
        <w:rFonts w:hint="default"/>
        <w:sz w:val="21"/>
        <w:szCs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9D3CC6E">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438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39D3CC6E">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5C22E">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5D9F74C">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6A9Ch9gBAAClAwAADgAAAAAAAAAB&#10;ACAAAAAiAQAAZHJzL2Uyb0RvYy54bWxQSwUGAAAAAAYABgBZAQAAbAUAAAAA&#10;">
              <v:fill on="f" focussize="0,0"/>
              <v:stroke on="f"/>
              <v:imagedata o:title=""/>
              <o:lock v:ext="edit" aspectratio="f"/>
              <v:textbox inset="0mm,0mm,0mm,0mm">
                <w:txbxContent>
                  <w:p w14:paraId="35D9F74C">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58F4C">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5"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20F950F">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RhogmtgBAAClAwAADgAAAAAAAAAB&#10;ACAAAAAiAQAAZHJzL2Uyb0RvYy54bWxQSwUGAAAAAAYABgBZAQAAbAUAAAAA&#10;">
              <v:fill on="f" focussize="0,0"/>
              <v:stroke on="f"/>
              <v:imagedata o:title=""/>
              <o:lock v:ext="edit" aspectratio="f"/>
              <v:textbox inset="0mm,0mm,0mm,0mm">
                <w:txbxContent>
                  <w:p w14:paraId="420F950F">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E5C3">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C495632">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0C495632">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DCCA">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4F0877">
                          <w:pPr>
                            <w:pStyle w:val="15"/>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624F0877">
                    <w:pPr>
                      <w:pStyle w:val="15"/>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81</w:t>
                    </w:r>
                    <w:r>
                      <w:rPr>
                        <w:rFonts w:hint="default"/>
                        <w:sz w:val="18"/>
                        <w:szCs w:val="24"/>
                      </w:rPr>
                      <w:fldChar w:fldCharType="end"/>
                    </w:r>
                  </w:p>
                </w:txbxContent>
              </v:textbox>
            </v:shape>
          </w:pict>
        </mc:Fallback>
      </mc:AlternateContent>
    </w:r>
    <w:r>
      <w:rPr>
        <w:rFonts w:hint="default"/>
        <w:sz w:val="21"/>
        <w:szCs w:val="24"/>
      </w:rPr>
      <mc:AlternateContent>
        <mc:Choice Requires="wps">
          <w:drawing>
            <wp:anchor distT="0" distB="0" distL="114300" distR="114300" simplePos="0" relativeHeight="251662336"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6"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5F0E67B7">
                          <w:pPr>
                            <w:pStyle w:val="3"/>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wps:txbx>
                    <wps:bodyPr vert="horz" wrap="square" lIns="0" tIns="0" rIns="0" bIns="0" upright="1"/>
                  </wps:wsp>
                </a:graphicData>
              </a:graphic>
            </wp:anchor>
          </w:drawing>
        </mc:Choice>
        <mc:Fallback>
          <w:pict>
            <v:shape id="文本框 16" o:spid="_x0000_s1026" o:spt="202" type="#_x0000_t202" style="position:absolute;left:0pt;margin-left:300.5pt;margin-top:734.95pt;height:11pt;width:11.15pt;mso-position-horizontal-relative:page;mso-position-vertical-relative:page;z-index:-251654144;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Ab302pzg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XPOnLA0&#10;8MPPH4dft4ff31k1T/oMPtSUduMpMY5vYKStmfyBnIn22KFNXyLEKE7q7s/qqjEymR69qOblS84k&#10;harnl6/KrH5x99hjiG8VWJaMhiMNL2sqdu9DpEYodUpJtRxca2PyAI37y0GJyVOkzo8dJiuO6/FE&#10;Zw3tntjQX0B1esBvnA20Aw0PX7cCFWfmnSOR08JMBk7GejK2HvWmJ4CsRi5GQ8ptnhYqbcH9e27p&#10;7ida/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9skKH2gAAAA0BAAAPAAAAAAAAAAEAIAAAACIA&#10;AABkcnMvZG93bnJldi54bWxQSwECFAAUAAAACACHTuJAG99Nqc4BAACMAwAADgAAAAAAAAABACAA&#10;AAApAQAAZHJzL2Uyb0RvYy54bWxQSwUGAAAAAAYABgBZAQAAaQUAAAAA&#10;">
              <v:fill on="f" focussize="0,0"/>
              <v:stroke on="f"/>
              <v:imagedata o:title=""/>
              <o:lock v:ext="edit" aspectratio="f"/>
              <v:textbox inset="0mm,0mm,0mm,0mm">
                <w:txbxContent>
                  <w:p w14:paraId="5F0E67B7">
                    <w:pPr>
                      <w:pStyle w:val="3"/>
                      <w:kinsoku w:val="0"/>
                      <w:overflowPunct w:val="0"/>
                      <w:spacing w:line="203" w:lineRule="exact"/>
                      <w:ind w:left="20"/>
                      <w:rPr>
                        <w:rFonts w:hint="default" w:ascii="Calibri" w:hAnsi="Calibri" w:eastAsia="Calibri"/>
                        <w:sz w:val="18"/>
                        <w:szCs w:val="24"/>
                      </w:rPr>
                    </w:pPr>
                    <w:r>
                      <w:rPr>
                        <w:rFonts w:hint="default" w:ascii="Calibri" w:hAnsi="Calibri" w:eastAsia="Calibri"/>
                        <w:spacing w:val="-1"/>
                        <w:w w:val="99"/>
                        <w:sz w:val="18"/>
                        <w:szCs w:val="24"/>
                      </w:rPr>
                      <w:t>80</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D0D11">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33132BB">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333132BB">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0F7B">
    <w:pPr>
      <w:pStyle w:val="3"/>
      <w:kinsoku w:val="0"/>
      <w:overflowPunct w:val="0"/>
      <w:spacing w:line="14" w:lineRule="auto"/>
      <w:ind w:left="0"/>
      <w:rPr>
        <w:rFonts w:hint="default"/>
        <w:sz w:val="20"/>
        <w:szCs w:val="24"/>
      </w:rPr>
    </w:pPr>
    <w:r>
      <w:rPr>
        <w:rFonts w:hint="default"/>
        <w:sz w:val="21"/>
        <w:szCs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3EE4F54">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43EE4F54">
                    <w:pPr>
                      <w:pStyle w:val="3"/>
                      <w:kinsoku w:val="0"/>
                      <w:overflowPunct w:val="0"/>
                      <w:spacing w:line="203" w:lineRule="exact"/>
                      <w:ind w:left="40"/>
                      <w:rPr>
                        <w:rFonts w:hint="default" w:ascii="Calibri" w:hAnsi="Calibri" w:eastAsia="Calibri"/>
                        <w:sz w:val="18"/>
                        <w:szCs w:val="24"/>
                      </w:rPr>
                    </w:pPr>
                    <w:r>
                      <w:rPr>
                        <w:rFonts w:hint="default" w:ascii="Calibri" w:hAnsi="Calibri" w:eastAsia="Calibri"/>
                        <w:w w:val="99"/>
                        <w:sz w:val="18"/>
                        <w:szCs w:val="24"/>
                      </w:rPr>
                      <w:fldChar w:fldCharType="begin"/>
                    </w:r>
                    <w:r>
                      <w:rPr>
                        <w:rFonts w:hint="default" w:ascii="Calibri" w:hAnsi="Calibri" w:eastAsia="Calibri"/>
                        <w:w w:val="99"/>
                        <w:sz w:val="18"/>
                        <w:szCs w:val="24"/>
                      </w:rPr>
                      <w:instrText xml:space="preserve"> PAGE </w:instrText>
                    </w:r>
                    <w:r>
                      <w:rPr>
                        <w:rFonts w:hint="default" w:ascii="Calibri" w:hAnsi="Calibri" w:eastAsia="Calibri"/>
                        <w:w w:val="99"/>
                        <w:sz w:val="18"/>
                        <w:szCs w:val="24"/>
                      </w:rPr>
                      <w:fldChar w:fldCharType="separate"/>
                    </w:r>
                    <w:r>
                      <w:rPr>
                        <w:rFonts w:hint="default" w:ascii="Calibri" w:hAnsi="Calibri" w:eastAsia="Calibri"/>
                        <w:w w:val="99"/>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5DDC4">
    <w:pPr>
      <w:pStyle w:val="16"/>
      <w:rPr>
        <w:rFonts w:hint="default"/>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66ADE">
    <w:pPr>
      <w:pStyle w:val="16"/>
      <w:rPr>
        <w:rFonts w:hint="default"/>
        <w:sz w:val="18"/>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A1F3E">
    <w:pPr>
      <w:pStyle w:val="16"/>
      <w:rPr>
        <w:rFonts w:hint="default"/>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411E9">
    <w:pPr>
      <w:pStyle w:val="16"/>
      <w:rPr>
        <w:rFonts w:hint="default"/>
        <w:sz w:val="18"/>
        <w:szCs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8D14">
    <w:pPr>
      <w:pStyle w:val="16"/>
      <w:rPr>
        <w:rFonts w:hint="default"/>
        <w:sz w:val="18"/>
        <w:szCs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13A0A">
    <w:pPr>
      <w:pStyle w:val="16"/>
      <w:rPr>
        <w:rFonts w:hint="default"/>
        <w:sz w:val="18"/>
        <w:szCs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B148A">
    <w:pPr>
      <w:pStyle w:val="16"/>
      <w:rPr>
        <w:rFonts w:hint="default"/>
        <w:sz w:val="18"/>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CED67">
    <w:pPr>
      <w:pStyle w:val="16"/>
      <w:rPr>
        <w:rFonts w:hint="default"/>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B572FB"/>
    <w:multiLevelType w:val="singleLevel"/>
    <w:tmpl w:val="10B572F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701"/>
  <w:drawingGridVerticalOrigin w:val="1984"/>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YzEzM2QxN2JhMGQ5ZGJmY2NlODJlZDVlNTFmYzgifQ=="/>
  </w:docVars>
  <w:rsids>
    <w:rsidRoot w:val="00172A27"/>
    <w:rsid w:val="000D0874"/>
    <w:rsid w:val="000F5645"/>
    <w:rsid w:val="001725C6"/>
    <w:rsid w:val="00386300"/>
    <w:rsid w:val="00417EF4"/>
    <w:rsid w:val="00425A1B"/>
    <w:rsid w:val="00515C5E"/>
    <w:rsid w:val="00522327"/>
    <w:rsid w:val="005F481F"/>
    <w:rsid w:val="005F65CD"/>
    <w:rsid w:val="00704336"/>
    <w:rsid w:val="007958E0"/>
    <w:rsid w:val="007F6C6F"/>
    <w:rsid w:val="008451F2"/>
    <w:rsid w:val="00902C2A"/>
    <w:rsid w:val="00C603FA"/>
    <w:rsid w:val="00CB1EB4"/>
    <w:rsid w:val="00D15F7D"/>
    <w:rsid w:val="00DC2D5A"/>
    <w:rsid w:val="00DF3269"/>
    <w:rsid w:val="00E10673"/>
    <w:rsid w:val="00FE7B94"/>
    <w:rsid w:val="0102542E"/>
    <w:rsid w:val="0104080D"/>
    <w:rsid w:val="010667DD"/>
    <w:rsid w:val="010D427B"/>
    <w:rsid w:val="010F4938"/>
    <w:rsid w:val="012670EA"/>
    <w:rsid w:val="01390BCC"/>
    <w:rsid w:val="01437C9C"/>
    <w:rsid w:val="015656AA"/>
    <w:rsid w:val="016D1799"/>
    <w:rsid w:val="017F6F86"/>
    <w:rsid w:val="018207C5"/>
    <w:rsid w:val="01956AAB"/>
    <w:rsid w:val="019978BC"/>
    <w:rsid w:val="01A4698D"/>
    <w:rsid w:val="01A544B3"/>
    <w:rsid w:val="01AE15BA"/>
    <w:rsid w:val="01C40DDD"/>
    <w:rsid w:val="01D152A8"/>
    <w:rsid w:val="01D717C3"/>
    <w:rsid w:val="01E0373D"/>
    <w:rsid w:val="01E46D89"/>
    <w:rsid w:val="01E66FA5"/>
    <w:rsid w:val="01E74ACC"/>
    <w:rsid w:val="02027E76"/>
    <w:rsid w:val="0213141D"/>
    <w:rsid w:val="02163CDD"/>
    <w:rsid w:val="02184C85"/>
    <w:rsid w:val="021B74DF"/>
    <w:rsid w:val="022E6257"/>
    <w:rsid w:val="02421D02"/>
    <w:rsid w:val="02427F54"/>
    <w:rsid w:val="024C0DD3"/>
    <w:rsid w:val="02510197"/>
    <w:rsid w:val="02832036"/>
    <w:rsid w:val="029C3B08"/>
    <w:rsid w:val="02A209F3"/>
    <w:rsid w:val="02AD71B0"/>
    <w:rsid w:val="02BE7F15"/>
    <w:rsid w:val="02CA2696"/>
    <w:rsid w:val="02D2752A"/>
    <w:rsid w:val="02D51A04"/>
    <w:rsid w:val="02D84C0B"/>
    <w:rsid w:val="02DE609E"/>
    <w:rsid w:val="031D6EFB"/>
    <w:rsid w:val="03237D85"/>
    <w:rsid w:val="03331AAC"/>
    <w:rsid w:val="03394EB3"/>
    <w:rsid w:val="03435D32"/>
    <w:rsid w:val="035A307B"/>
    <w:rsid w:val="038827BB"/>
    <w:rsid w:val="03885E3A"/>
    <w:rsid w:val="038C37A2"/>
    <w:rsid w:val="039667A9"/>
    <w:rsid w:val="03A52548"/>
    <w:rsid w:val="04043713"/>
    <w:rsid w:val="04162113"/>
    <w:rsid w:val="04177A5A"/>
    <w:rsid w:val="041A7606"/>
    <w:rsid w:val="042548E4"/>
    <w:rsid w:val="0433224A"/>
    <w:rsid w:val="043774CE"/>
    <w:rsid w:val="043A35D9"/>
    <w:rsid w:val="043A7135"/>
    <w:rsid w:val="04553F6E"/>
    <w:rsid w:val="04583A5F"/>
    <w:rsid w:val="04620439"/>
    <w:rsid w:val="04697A1A"/>
    <w:rsid w:val="046A3DFA"/>
    <w:rsid w:val="047D1139"/>
    <w:rsid w:val="04874344"/>
    <w:rsid w:val="049F0399"/>
    <w:rsid w:val="04A15406"/>
    <w:rsid w:val="04B073F7"/>
    <w:rsid w:val="04BA64C7"/>
    <w:rsid w:val="04C222CC"/>
    <w:rsid w:val="04C81250"/>
    <w:rsid w:val="04C904B8"/>
    <w:rsid w:val="04CC1D57"/>
    <w:rsid w:val="04F217BD"/>
    <w:rsid w:val="04F73278"/>
    <w:rsid w:val="04FD0162"/>
    <w:rsid w:val="050D65F7"/>
    <w:rsid w:val="05166AA5"/>
    <w:rsid w:val="051F632A"/>
    <w:rsid w:val="05235E1B"/>
    <w:rsid w:val="05283431"/>
    <w:rsid w:val="053022E6"/>
    <w:rsid w:val="053E2C54"/>
    <w:rsid w:val="05486CD8"/>
    <w:rsid w:val="05671D31"/>
    <w:rsid w:val="056F72B2"/>
    <w:rsid w:val="05791EDF"/>
    <w:rsid w:val="058368B9"/>
    <w:rsid w:val="058F34B0"/>
    <w:rsid w:val="05B57699"/>
    <w:rsid w:val="05BB5302"/>
    <w:rsid w:val="05CC64B2"/>
    <w:rsid w:val="05D62E8D"/>
    <w:rsid w:val="05D9775C"/>
    <w:rsid w:val="05E360D9"/>
    <w:rsid w:val="05E866DC"/>
    <w:rsid w:val="05EA6938"/>
    <w:rsid w:val="05EF091B"/>
    <w:rsid w:val="0609094D"/>
    <w:rsid w:val="061F1414"/>
    <w:rsid w:val="06432036"/>
    <w:rsid w:val="065554E0"/>
    <w:rsid w:val="06744454"/>
    <w:rsid w:val="06756FC4"/>
    <w:rsid w:val="06840B3B"/>
    <w:rsid w:val="068648B3"/>
    <w:rsid w:val="06976AC0"/>
    <w:rsid w:val="069F3BC7"/>
    <w:rsid w:val="06A01BDE"/>
    <w:rsid w:val="06C278B5"/>
    <w:rsid w:val="06D05B2E"/>
    <w:rsid w:val="06D25D4A"/>
    <w:rsid w:val="06D82C35"/>
    <w:rsid w:val="06F35CC1"/>
    <w:rsid w:val="070D0B30"/>
    <w:rsid w:val="072E57F1"/>
    <w:rsid w:val="073D09B5"/>
    <w:rsid w:val="073D7FBE"/>
    <w:rsid w:val="073E518E"/>
    <w:rsid w:val="07593D76"/>
    <w:rsid w:val="076266CA"/>
    <w:rsid w:val="07634BF4"/>
    <w:rsid w:val="07830DF3"/>
    <w:rsid w:val="07832BA1"/>
    <w:rsid w:val="078A1C00"/>
    <w:rsid w:val="07917AF4"/>
    <w:rsid w:val="07A334CE"/>
    <w:rsid w:val="07D419CB"/>
    <w:rsid w:val="07DB29DD"/>
    <w:rsid w:val="07F9596E"/>
    <w:rsid w:val="07FB6BDB"/>
    <w:rsid w:val="08071A24"/>
    <w:rsid w:val="081952B3"/>
    <w:rsid w:val="08480FD7"/>
    <w:rsid w:val="08493DEA"/>
    <w:rsid w:val="08513CCE"/>
    <w:rsid w:val="086A3D60"/>
    <w:rsid w:val="086B3A6C"/>
    <w:rsid w:val="08752E31"/>
    <w:rsid w:val="087B28E6"/>
    <w:rsid w:val="0891753F"/>
    <w:rsid w:val="089D5EE4"/>
    <w:rsid w:val="08B5322E"/>
    <w:rsid w:val="08B82D1E"/>
    <w:rsid w:val="08BA4CE8"/>
    <w:rsid w:val="08D13DE0"/>
    <w:rsid w:val="08D22AA2"/>
    <w:rsid w:val="08E104C7"/>
    <w:rsid w:val="08EB7480"/>
    <w:rsid w:val="08F71A98"/>
    <w:rsid w:val="09067F2D"/>
    <w:rsid w:val="092E5E27"/>
    <w:rsid w:val="09320109"/>
    <w:rsid w:val="09394241"/>
    <w:rsid w:val="09652EA6"/>
    <w:rsid w:val="09695DE1"/>
    <w:rsid w:val="09842C00"/>
    <w:rsid w:val="09970B85"/>
    <w:rsid w:val="09A339CE"/>
    <w:rsid w:val="09B10E1C"/>
    <w:rsid w:val="09C27272"/>
    <w:rsid w:val="09C5130A"/>
    <w:rsid w:val="09DD22C9"/>
    <w:rsid w:val="09E65B45"/>
    <w:rsid w:val="09E80BD6"/>
    <w:rsid w:val="09F2222F"/>
    <w:rsid w:val="0A0228C1"/>
    <w:rsid w:val="0A067AB9"/>
    <w:rsid w:val="0A0F696E"/>
    <w:rsid w:val="0A187F18"/>
    <w:rsid w:val="0A1E3055"/>
    <w:rsid w:val="0A2D5046"/>
    <w:rsid w:val="0A2F75BB"/>
    <w:rsid w:val="0A3A2AAF"/>
    <w:rsid w:val="0A6A0048"/>
    <w:rsid w:val="0A6B1FEC"/>
    <w:rsid w:val="0A726EFC"/>
    <w:rsid w:val="0A797821"/>
    <w:rsid w:val="0AAB0C0F"/>
    <w:rsid w:val="0AAF0151"/>
    <w:rsid w:val="0AB37C41"/>
    <w:rsid w:val="0AC534D0"/>
    <w:rsid w:val="0AEA1189"/>
    <w:rsid w:val="0AF3003D"/>
    <w:rsid w:val="0AF618DB"/>
    <w:rsid w:val="0B057D70"/>
    <w:rsid w:val="0B073AE9"/>
    <w:rsid w:val="0B09585A"/>
    <w:rsid w:val="0B2428ED"/>
    <w:rsid w:val="0B35386F"/>
    <w:rsid w:val="0B372620"/>
    <w:rsid w:val="0B405ADB"/>
    <w:rsid w:val="0B416FFB"/>
    <w:rsid w:val="0B52745A"/>
    <w:rsid w:val="0B550CF8"/>
    <w:rsid w:val="0B6B1D48"/>
    <w:rsid w:val="0B8213C1"/>
    <w:rsid w:val="0B8E5FB8"/>
    <w:rsid w:val="0BA031E7"/>
    <w:rsid w:val="0BB93035"/>
    <w:rsid w:val="0BBC2E35"/>
    <w:rsid w:val="0BC96FF0"/>
    <w:rsid w:val="0BCE4DAB"/>
    <w:rsid w:val="0BEB2979"/>
    <w:rsid w:val="0BF16C73"/>
    <w:rsid w:val="0C05627A"/>
    <w:rsid w:val="0C061FF2"/>
    <w:rsid w:val="0C0A7D34"/>
    <w:rsid w:val="0C163E1D"/>
    <w:rsid w:val="0C6531BD"/>
    <w:rsid w:val="0C656D19"/>
    <w:rsid w:val="0C807FF6"/>
    <w:rsid w:val="0CA5180B"/>
    <w:rsid w:val="0CCB1AEB"/>
    <w:rsid w:val="0CD345CA"/>
    <w:rsid w:val="0CDB000C"/>
    <w:rsid w:val="0CF602B9"/>
    <w:rsid w:val="0D020A0B"/>
    <w:rsid w:val="0D054058"/>
    <w:rsid w:val="0D0C3638"/>
    <w:rsid w:val="0D156F7E"/>
    <w:rsid w:val="0D197B03"/>
    <w:rsid w:val="0D29243C"/>
    <w:rsid w:val="0D2E1801"/>
    <w:rsid w:val="0D45315D"/>
    <w:rsid w:val="0D461326"/>
    <w:rsid w:val="0D4728C2"/>
    <w:rsid w:val="0D545E1F"/>
    <w:rsid w:val="0D58687D"/>
    <w:rsid w:val="0D5A0848"/>
    <w:rsid w:val="0D85591A"/>
    <w:rsid w:val="0D8D4779"/>
    <w:rsid w:val="0D921D8F"/>
    <w:rsid w:val="0D9D0734"/>
    <w:rsid w:val="0DBE1C14"/>
    <w:rsid w:val="0DC803A9"/>
    <w:rsid w:val="0DDD602E"/>
    <w:rsid w:val="0DDF1BCC"/>
    <w:rsid w:val="0DE34B98"/>
    <w:rsid w:val="0DF93BBD"/>
    <w:rsid w:val="0DFA67E4"/>
    <w:rsid w:val="0DFE11D3"/>
    <w:rsid w:val="0E0241F6"/>
    <w:rsid w:val="0E0C5C0C"/>
    <w:rsid w:val="0E272942"/>
    <w:rsid w:val="0E3015A8"/>
    <w:rsid w:val="0E342E47"/>
    <w:rsid w:val="0E4806A0"/>
    <w:rsid w:val="0E4C2F91"/>
    <w:rsid w:val="0E4E0C50"/>
    <w:rsid w:val="0E4F2D85"/>
    <w:rsid w:val="0E6D0107"/>
    <w:rsid w:val="0EA0672E"/>
    <w:rsid w:val="0EA33B28"/>
    <w:rsid w:val="0EB43F87"/>
    <w:rsid w:val="0EC212C8"/>
    <w:rsid w:val="0ED85EC8"/>
    <w:rsid w:val="0EE7435D"/>
    <w:rsid w:val="0EF34AE5"/>
    <w:rsid w:val="0F3330FE"/>
    <w:rsid w:val="0F4A0448"/>
    <w:rsid w:val="0FB51D65"/>
    <w:rsid w:val="0FBC7598"/>
    <w:rsid w:val="0FBF0E36"/>
    <w:rsid w:val="0FC621C4"/>
    <w:rsid w:val="0FC85F3C"/>
    <w:rsid w:val="0FDD12BC"/>
    <w:rsid w:val="0FE34B24"/>
    <w:rsid w:val="0FF245EB"/>
    <w:rsid w:val="1010343F"/>
    <w:rsid w:val="101A42BE"/>
    <w:rsid w:val="101B496C"/>
    <w:rsid w:val="102553EA"/>
    <w:rsid w:val="10526D3D"/>
    <w:rsid w:val="10596B94"/>
    <w:rsid w:val="105A290D"/>
    <w:rsid w:val="105F10EA"/>
    <w:rsid w:val="10725EA8"/>
    <w:rsid w:val="1074577C"/>
    <w:rsid w:val="10804703"/>
    <w:rsid w:val="10806817"/>
    <w:rsid w:val="10881228"/>
    <w:rsid w:val="108D2CE2"/>
    <w:rsid w:val="1090632E"/>
    <w:rsid w:val="10913B38"/>
    <w:rsid w:val="10C20BDE"/>
    <w:rsid w:val="10D64689"/>
    <w:rsid w:val="10E2302E"/>
    <w:rsid w:val="10FF6CE8"/>
    <w:rsid w:val="110E3E23"/>
    <w:rsid w:val="112A0531"/>
    <w:rsid w:val="113A4C18"/>
    <w:rsid w:val="113D6C89"/>
    <w:rsid w:val="11405FA6"/>
    <w:rsid w:val="114A0833"/>
    <w:rsid w:val="114C494B"/>
    <w:rsid w:val="11567578"/>
    <w:rsid w:val="115B28C5"/>
    <w:rsid w:val="11603F53"/>
    <w:rsid w:val="11731ED8"/>
    <w:rsid w:val="117B2B3A"/>
    <w:rsid w:val="118A0FD0"/>
    <w:rsid w:val="11951E4E"/>
    <w:rsid w:val="119836EC"/>
    <w:rsid w:val="11A71B81"/>
    <w:rsid w:val="11A94D78"/>
    <w:rsid w:val="11F706DC"/>
    <w:rsid w:val="12107727"/>
    <w:rsid w:val="121F3E0E"/>
    <w:rsid w:val="12367339"/>
    <w:rsid w:val="12486EC1"/>
    <w:rsid w:val="1255782F"/>
    <w:rsid w:val="125661BD"/>
    <w:rsid w:val="12635AA8"/>
    <w:rsid w:val="128819B3"/>
    <w:rsid w:val="128B14A3"/>
    <w:rsid w:val="128B4FFF"/>
    <w:rsid w:val="128D5C59"/>
    <w:rsid w:val="12B353E2"/>
    <w:rsid w:val="12BC78AF"/>
    <w:rsid w:val="12CC183F"/>
    <w:rsid w:val="12CD29A5"/>
    <w:rsid w:val="12D1335A"/>
    <w:rsid w:val="12D22C2E"/>
    <w:rsid w:val="12D544CC"/>
    <w:rsid w:val="12D76496"/>
    <w:rsid w:val="12D8404A"/>
    <w:rsid w:val="12E06464"/>
    <w:rsid w:val="12FE0DB1"/>
    <w:rsid w:val="13023513"/>
    <w:rsid w:val="130D1A6F"/>
    <w:rsid w:val="13274D28"/>
    <w:rsid w:val="132E7181"/>
    <w:rsid w:val="132F7EFF"/>
    <w:rsid w:val="133B6A25"/>
    <w:rsid w:val="13441D7E"/>
    <w:rsid w:val="13451652"/>
    <w:rsid w:val="13710699"/>
    <w:rsid w:val="138228A6"/>
    <w:rsid w:val="139A7BF0"/>
    <w:rsid w:val="13A740BB"/>
    <w:rsid w:val="13B860EB"/>
    <w:rsid w:val="13BD743A"/>
    <w:rsid w:val="13D71AEE"/>
    <w:rsid w:val="13D824C6"/>
    <w:rsid w:val="13F76DF0"/>
    <w:rsid w:val="141954AB"/>
    <w:rsid w:val="141F2029"/>
    <w:rsid w:val="143F2545"/>
    <w:rsid w:val="145271E3"/>
    <w:rsid w:val="146124BC"/>
    <w:rsid w:val="14785D3D"/>
    <w:rsid w:val="147C5547"/>
    <w:rsid w:val="14942891"/>
    <w:rsid w:val="14A5684C"/>
    <w:rsid w:val="14BC6B21"/>
    <w:rsid w:val="14C53455"/>
    <w:rsid w:val="14DC5FE6"/>
    <w:rsid w:val="14E530ED"/>
    <w:rsid w:val="14EB1A29"/>
    <w:rsid w:val="15015A4D"/>
    <w:rsid w:val="1525173B"/>
    <w:rsid w:val="1546345F"/>
    <w:rsid w:val="155838BF"/>
    <w:rsid w:val="156009C5"/>
    <w:rsid w:val="15791A87"/>
    <w:rsid w:val="15853F88"/>
    <w:rsid w:val="15A308B2"/>
    <w:rsid w:val="15B34F99"/>
    <w:rsid w:val="15B96F95"/>
    <w:rsid w:val="15BC575E"/>
    <w:rsid w:val="15D40117"/>
    <w:rsid w:val="15D66ED9"/>
    <w:rsid w:val="15DF5D8E"/>
    <w:rsid w:val="15E672A1"/>
    <w:rsid w:val="15E92769"/>
    <w:rsid w:val="15EC60D8"/>
    <w:rsid w:val="15F315EF"/>
    <w:rsid w:val="15FC33F3"/>
    <w:rsid w:val="15FF3D3A"/>
    <w:rsid w:val="160475A2"/>
    <w:rsid w:val="160746F3"/>
    <w:rsid w:val="160B6B83"/>
    <w:rsid w:val="16105F47"/>
    <w:rsid w:val="161D68B6"/>
    <w:rsid w:val="162419F3"/>
    <w:rsid w:val="16461969"/>
    <w:rsid w:val="16472A5F"/>
    <w:rsid w:val="16491459"/>
    <w:rsid w:val="16636A3A"/>
    <w:rsid w:val="16781D3E"/>
    <w:rsid w:val="167E4FE4"/>
    <w:rsid w:val="168B7CC4"/>
    <w:rsid w:val="16A36DBB"/>
    <w:rsid w:val="16AC30DF"/>
    <w:rsid w:val="16AD79D2"/>
    <w:rsid w:val="16C44F84"/>
    <w:rsid w:val="16E01DBD"/>
    <w:rsid w:val="16E42F30"/>
    <w:rsid w:val="16F92E7F"/>
    <w:rsid w:val="16FC6FF3"/>
    <w:rsid w:val="17011D34"/>
    <w:rsid w:val="170B4961"/>
    <w:rsid w:val="17173170"/>
    <w:rsid w:val="171B1048"/>
    <w:rsid w:val="17363BC9"/>
    <w:rsid w:val="174A5723"/>
    <w:rsid w:val="17555BDC"/>
    <w:rsid w:val="175C51BC"/>
    <w:rsid w:val="175F30F2"/>
    <w:rsid w:val="176D5A98"/>
    <w:rsid w:val="177B3894"/>
    <w:rsid w:val="17A24609"/>
    <w:rsid w:val="17A47818"/>
    <w:rsid w:val="17AF1790"/>
    <w:rsid w:val="17C074F9"/>
    <w:rsid w:val="17C70888"/>
    <w:rsid w:val="17C74D2B"/>
    <w:rsid w:val="17CE7E68"/>
    <w:rsid w:val="17EA27C8"/>
    <w:rsid w:val="17FA3BE0"/>
    <w:rsid w:val="17FB6783"/>
    <w:rsid w:val="180E5D05"/>
    <w:rsid w:val="18111EB0"/>
    <w:rsid w:val="18137F71"/>
    <w:rsid w:val="182757CA"/>
    <w:rsid w:val="18370DFD"/>
    <w:rsid w:val="18524A9D"/>
    <w:rsid w:val="186049D2"/>
    <w:rsid w:val="187327BD"/>
    <w:rsid w:val="18846779"/>
    <w:rsid w:val="18876269"/>
    <w:rsid w:val="188E75F7"/>
    <w:rsid w:val="18B52DD6"/>
    <w:rsid w:val="18BC23B6"/>
    <w:rsid w:val="18CD45C3"/>
    <w:rsid w:val="18E436BB"/>
    <w:rsid w:val="190653E0"/>
    <w:rsid w:val="190F758B"/>
    <w:rsid w:val="19186FAC"/>
    <w:rsid w:val="19193365"/>
    <w:rsid w:val="193B5472"/>
    <w:rsid w:val="19805192"/>
    <w:rsid w:val="1980577E"/>
    <w:rsid w:val="198253AE"/>
    <w:rsid w:val="19856C4C"/>
    <w:rsid w:val="19874772"/>
    <w:rsid w:val="199155F1"/>
    <w:rsid w:val="199C1DF1"/>
    <w:rsid w:val="199D21E8"/>
    <w:rsid w:val="19A52E4A"/>
    <w:rsid w:val="19A60514"/>
    <w:rsid w:val="19AF3CC9"/>
    <w:rsid w:val="19B117EF"/>
    <w:rsid w:val="19C10B67"/>
    <w:rsid w:val="19C72DC1"/>
    <w:rsid w:val="19DD0836"/>
    <w:rsid w:val="19E33790"/>
    <w:rsid w:val="19F44BD3"/>
    <w:rsid w:val="19F93196"/>
    <w:rsid w:val="1A0505BD"/>
    <w:rsid w:val="1A186D43"/>
    <w:rsid w:val="1A1F5858"/>
    <w:rsid w:val="1A2226ED"/>
    <w:rsid w:val="1A271AB1"/>
    <w:rsid w:val="1A2A3350"/>
    <w:rsid w:val="1A2F0966"/>
    <w:rsid w:val="1A3500D6"/>
    <w:rsid w:val="1A3D12D5"/>
    <w:rsid w:val="1A642D06"/>
    <w:rsid w:val="1A6B1019"/>
    <w:rsid w:val="1A6C1BBA"/>
    <w:rsid w:val="1A6E76E0"/>
    <w:rsid w:val="1A91517D"/>
    <w:rsid w:val="1A930EF5"/>
    <w:rsid w:val="1A9F5AEC"/>
    <w:rsid w:val="1ABD41C4"/>
    <w:rsid w:val="1AD80FFE"/>
    <w:rsid w:val="1AF55DE7"/>
    <w:rsid w:val="1AFC18EA"/>
    <w:rsid w:val="1B155DAE"/>
    <w:rsid w:val="1B285AE1"/>
    <w:rsid w:val="1B334486"/>
    <w:rsid w:val="1B3847A4"/>
    <w:rsid w:val="1B3A2F9D"/>
    <w:rsid w:val="1B636B19"/>
    <w:rsid w:val="1B770817"/>
    <w:rsid w:val="1B8527B2"/>
    <w:rsid w:val="1B9E69DB"/>
    <w:rsid w:val="1BAF6202"/>
    <w:rsid w:val="1BB2184F"/>
    <w:rsid w:val="1BC872C4"/>
    <w:rsid w:val="1BCD0437"/>
    <w:rsid w:val="1BCE7523"/>
    <w:rsid w:val="1BE40561"/>
    <w:rsid w:val="1C055E22"/>
    <w:rsid w:val="1C057BD0"/>
    <w:rsid w:val="1C0A2194"/>
    <w:rsid w:val="1C0C5403"/>
    <w:rsid w:val="1C0C71B1"/>
    <w:rsid w:val="1C22105F"/>
    <w:rsid w:val="1C4701E9"/>
    <w:rsid w:val="1C542906"/>
    <w:rsid w:val="1C551655"/>
    <w:rsid w:val="1C5B5A42"/>
    <w:rsid w:val="1C5F5A05"/>
    <w:rsid w:val="1C6568C1"/>
    <w:rsid w:val="1C6B5DBF"/>
    <w:rsid w:val="1C760ACE"/>
    <w:rsid w:val="1C7B60E4"/>
    <w:rsid w:val="1C827473"/>
    <w:rsid w:val="1C8A44B9"/>
    <w:rsid w:val="1CA078F9"/>
    <w:rsid w:val="1CA473E9"/>
    <w:rsid w:val="1CA83390"/>
    <w:rsid w:val="1CB1289E"/>
    <w:rsid w:val="1CC32CE3"/>
    <w:rsid w:val="1CC932F4"/>
    <w:rsid w:val="1CD81789"/>
    <w:rsid w:val="1CF30371"/>
    <w:rsid w:val="1D137258"/>
    <w:rsid w:val="1D214EDE"/>
    <w:rsid w:val="1D3E4824"/>
    <w:rsid w:val="1D4B5AB7"/>
    <w:rsid w:val="1D5726AE"/>
    <w:rsid w:val="1D57445C"/>
    <w:rsid w:val="1D5E1C8E"/>
    <w:rsid w:val="1D682B0D"/>
    <w:rsid w:val="1D69418F"/>
    <w:rsid w:val="1D8D4321"/>
    <w:rsid w:val="1D8E3BF5"/>
    <w:rsid w:val="1D976F4E"/>
    <w:rsid w:val="1DB356EE"/>
    <w:rsid w:val="1DBF3704"/>
    <w:rsid w:val="1DC745C9"/>
    <w:rsid w:val="1DF11517"/>
    <w:rsid w:val="1E0345E3"/>
    <w:rsid w:val="1E043C37"/>
    <w:rsid w:val="1E1D56A5"/>
    <w:rsid w:val="1E2C2B54"/>
    <w:rsid w:val="1E4E1D03"/>
    <w:rsid w:val="1E650DFA"/>
    <w:rsid w:val="1E967206"/>
    <w:rsid w:val="1EAA7ACD"/>
    <w:rsid w:val="1EAC07D7"/>
    <w:rsid w:val="1EB3600A"/>
    <w:rsid w:val="1EC119EC"/>
    <w:rsid w:val="1EC724E9"/>
    <w:rsid w:val="1EEA12FF"/>
    <w:rsid w:val="1EEC32CA"/>
    <w:rsid w:val="1EEE68AB"/>
    <w:rsid w:val="1EF34658"/>
    <w:rsid w:val="1EFA64DD"/>
    <w:rsid w:val="1F0D3B02"/>
    <w:rsid w:val="1F340F2B"/>
    <w:rsid w:val="1F354C71"/>
    <w:rsid w:val="1F3709E9"/>
    <w:rsid w:val="1F396E36"/>
    <w:rsid w:val="1F3D58D3"/>
    <w:rsid w:val="1F43184B"/>
    <w:rsid w:val="1F480D66"/>
    <w:rsid w:val="1F5A19D7"/>
    <w:rsid w:val="1F5A35D2"/>
    <w:rsid w:val="1F75506D"/>
    <w:rsid w:val="1F777037"/>
    <w:rsid w:val="1F777A50"/>
    <w:rsid w:val="1F7D20AF"/>
    <w:rsid w:val="1F8D0609"/>
    <w:rsid w:val="1F8E612F"/>
    <w:rsid w:val="1F953961"/>
    <w:rsid w:val="1F9F033C"/>
    <w:rsid w:val="1FA20BD2"/>
    <w:rsid w:val="1FAC1BD6"/>
    <w:rsid w:val="1FB55782"/>
    <w:rsid w:val="1FC63B1B"/>
    <w:rsid w:val="1FC970B0"/>
    <w:rsid w:val="1FDB75C6"/>
    <w:rsid w:val="1FF95C9E"/>
    <w:rsid w:val="200A09E3"/>
    <w:rsid w:val="200C3C23"/>
    <w:rsid w:val="2011123A"/>
    <w:rsid w:val="201B5C14"/>
    <w:rsid w:val="20234AC9"/>
    <w:rsid w:val="20384A18"/>
    <w:rsid w:val="20457135"/>
    <w:rsid w:val="204A64FA"/>
    <w:rsid w:val="205E01F7"/>
    <w:rsid w:val="20765541"/>
    <w:rsid w:val="20825B9D"/>
    <w:rsid w:val="20825C93"/>
    <w:rsid w:val="20831A0C"/>
    <w:rsid w:val="20857532"/>
    <w:rsid w:val="20883E94"/>
    <w:rsid w:val="208A0FEC"/>
    <w:rsid w:val="208C266E"/>
    <w:rsid w:val="209534C5"/>
    <w:rsid w:val="20AC4ABE"/>
    <w:rsid w:val="20C22534"/>
    <w:rsid w:val="20E2293A"/>
    <w:rsid w:val="20EE2FE0"/>
    <w:rsid w:val="21026DD4"/>
    <w:rsid w:val="21134B3E"/>
    <w:rsid w:val="211C60E8"/>
    <w:rsid w:val="211F7986"/>
    <w:rsid w:val="21221225"/>
    <w:rsid w:val="213845A4"/>
    <w:rsid w:val="214E5B76"/>
    <w:rsid w:val="215D400B"/>
    <w:rsid w:val="216454A4"/>
    <w:rsid w:val="21843C8D"/>
    <w:rsid w:val="21983295"/>
    <w:rsid w:val="219E6AFD"/>
    <w:rsid w:val="21A83097"/>
    <w:rsid w:val="21A8647B"/>
    <w:rsid w:val="21C13AD1"/>
    <w:rsid w:val="21DC13D3"/>
    <w:rsid w:val="21DD6EFA"/>
    <w:rsid w:val="21E87C36"/>
    <w:rsid w:val="21FB4A1B"/>
    <w:rsid w:val="2210107D"/>
    <w:rsid w:val="22345E5B"/>
    <w:rsid w:val="223E3E3C"/>
    <w:rsid w:val="224D0523"/>
    <w:rsid w:val="225B2C40"/>
    <w:rsid w:val="226B2757"/>
    <w:rsid w:val="227710FC"/>
    <w:rsid w:val="22916662"/>
    <w:rsid w:val="22963C78"/>
    <w:rsid w:val="22B83BEE"/>
    <w:rsid w:val="22BD7457"/>
    <w:rsid w:val="22DB168B"/>
    <w:rsid w:val="22DE6BBD"/>
    <w:rsid w:val="2322375E"/>
    <w:rsid w:val="235002CB"/>
    <w:rsid w:val="23571659"/>
    <w:rsid w:val="23580F2E"/>
    <w:rsid w:val="235D6544"/>
    <w:rsid w:val="2369138D"/>
    <w:rsid w:val="236E69A3"/>
    <w:rsid w:val="23711FEF"/>
    <w:rsid w:val="237D0994"/>
    <w:rsid w:val="237D6BE6"/>
    <w:rsid w:val="23810484"/>
    <w:rsid w:val="23871813"/>
    <w:rsid w:val="239F6B5C"/>
    <w:rsid w:val="23AB3753"/>
    <w:rsid w:val="23C14D25"/>
    <w:rsid w:val="23C87E61"/>
    <w:rsid w:val="23D21DA7"/>
    <w:rsid w:val="23DF164F"/>
    <w:rsid w:val="23E7074D"/>
    <w:rsid w:val="23FA02B0"/>
    <w:rsid w:val="23FD3B14"/>
    <w:rsid w:val="24003A9F"/>
    <w:rsid w:val="2423778D"/>
    <w:rsid w:val="242552B4"/>
    <w:rsid w:val="24286B52"/>
    <w:rsid w:val="243E45C7"/>
    <w:rsid w:val="24475584"/>
    <w:rsid w:val="244B2840"/>
    <w:rsid w:val="247B3126"/>
    <w:rsid w:val="24841FFA"/>
    <w:rsid w:val="248D10AB"/>
    <w:rsid w:val="24945F95"/>
    <w:rsid w:val="24A73F1B"/>
    <w:rsid w:val="24B57D8C"/>
    <w:rsid w:val="24B623B0"/>
    <w:rsid w:val="24B673BC"/>
    <w:rsid w:val="24BD78A4"/>
    <w:rsid w:val="24C9636D"/>
    <w:rsid w:val="24D31BA1"/>
    <w:rsid w:val="24D61CD0"/>
    <w:rsid w:val="24DB1E16"/>
    <w:rsid w:val="24FB35A7"/>
    <w:rsid w:val="24FE1DF1"/>
    <w:rsid w:val="25021151"/>
    <w:rsid w:val="251E1D03"/>
    <w:rsid w:val="252437BD"/>
    <w:rsid w:val="25387269"/>
    <w:rsid w:val="2539083F"/>
    <w:rsid w:val="253B28B5"/>
    <w:rsid w:val="2540611D"/>
    <w:rsid w:val="25407ECB"/>
    <w:rsid w:val="25493224"/>
    <w:rsid w:val="255D6CCF"/>
    <w:rsid w:val="2564005E"/>
    <w:rsid w:val="25687394"/>
    <w:rsid w:val="256F255E"/>
    <w:rsid w:val="25861D82"/>
    <w:rsid w:val="259D0E7A"/>
    <w:rsid w:val="25A44C59"/>
    <w:rsid w:val="25B34B41"/>
    <w:rsid w:val="25BA5ED0"/>
    <w:rsid w:val="25C03C91"/>
    <w:rsid w:val="25C32FD6"/>
    <w:rsid w:val="25D71727"/>
    <w:rsid w:val="25D845A8"/>
    <w:rsid w:val="25ED3EFB"/>
    <w:rsid w:val="25FF38E2"/>
    <w:rsid w:val="25FF7D86"/>
    <w:rsid w:val="261C4DF6"/>
    <w:rsid w:val="2628108B"/>
    <w:rsid w:val="264834DB"/>
    <w:rsid w:val="26592706"/>
    <w:rsid w:val="2661459D"/>
    <w:rsid w:val="26661BB3"/>
    <w:rsid w:val="26663961"/>
    <w:rsid w:val="26726B17"/>
    <w:rsid w:val="267A11BB"/>
    <w:rsid w:val="268C7BF4"/>
    <w:rsid w:val="269033E6"/>
    <w:rsid w:val="26E50D2A"/>
    <w:rsid w:val="26EF7DFB"/>
    <w:rsid w:val="26F408E7"/>
    <w:rsid w:val="26F82CB3"/>
    <w:rsid w:val="271D04C4"/>
    <w:rsid w:val="272F777B"/>
    <w:rsid w:val="273B6B9C"/>
    <w:rsid w:val="273E043A"/>
    <w:rsid w:val="27403F77"/>
    <w:rsid w:val="27710810"/>
    <w:rsid w:val="277327DA"/>
    <w:rsid w:val="277E4948"/>
    <w:rsid w:val="27895B59"/>
    <w:rsid w:val="278C564A"/>
    <w:rsid w:val="27925FAC"/>
    <w:rsid w:val="279A1B15"/>
    <w:rsid w:val="279A7D67"/>
    <w:rsid w:val="27B54BA0"/>
    <w:rsid w:val="27BC7CAE"/>
    <w:rsid w:val="27D46215"/>
    <w:rsid w:val="27FA6A57"/>
    <w:rsid w:val="2807781E"/>
    <w:rsid w:val="280A644D"/>
    <w:rsid w:val="28267DAC"/>
    <w:rsid w:val="28285372"/>
    <w:rsid w:val="282C44FA"/>
    <w:rsid w:val="283755B5"/>
    <w:rsid w:val="286F2FA1"/>
    <w:rsid w:val="287E67A4"/>
    <w:rsid w:val="28920A3E"/>
    <w:rsid w:val="28A80261"/>
    <w:rsid w:val="28A8200F"/>
    <w:rsid w:val="28CA642A"/>
    <w:rsid w:val="28CF0A11"/>
    <w:rsid w:val="28D56B7C"/>
    <w:rsid w:val="28D9041B"/>
    <w:rsid w:val="28E3573D"/>
    <w:rsid w:val="28E374EB"/>
    <w:rsid w:val="28E75A13"/>
    <w:rsid w:val="28EF1334"/>
    <w:rsid w:val="290556B4"/>
    <w:rsid w:val="290C4C94"/>
    <w:rsid w:val="290D4568"/>
    <w:rsid w:val="290F6532"/>
    <w:rsid w:val="291853E7"/>
    <w:rsid w:val="29257B04"/>
    <w:rsid w:val="292B19BA"/>
    <w:rsid w:val="296D418C"/>
    <w:rsid w:val="296F5223"/>
    <w:rsid w:val="29707226"/>
    <w:rsid w:val="297445E7"/>
    <w:rsid w:val="29753E5B"/>
    <w:rsid w:val="297B3BC8"/>
    <w:rsid w:val="297C3DE6"/>
    <w:rsid w:val="29804D3A"/>
    <w:rsid w:val="298A3E0B"/>
    <w:rsid w:val="299B381B"/>
    <w:rsid w:val="299F79D4"/>
    <w:rsid w:val="29A259BF"/>
    <w:rsid w:val="29A547A1"/>
    <w:rsid w:val="29A749BD"/>
    <w:rsid w:val="29A87123"/>
    <w:rsid w:val="29BA55DA"/>
    <w:rsid w:val="29CF4AF6"/>
    <w:rsid w:val="2A133E00"/>
    <w:rsid w:val="2A1536D4"/>
    <w:rsid w:val="2A224043"/>
    <w:rsid w:val="2A2474D0"/>
    <w:rsid w:val="2A351FC9"/>
    <w:rsid w:val="2A37177D"/>
    <w:rsid w:val="2A3A75DF"/>
    <w:rsid w:val="2A495A74"/>
    <w:rsid w:val="2A7F1496"/>
    <w:rsid w:val="2A8059E3"/>
    <w:rsid w:val="2A866380"/>
    <w:rsid w:val="2A922F77"/>
    <w:rsid w:val="2A9767DF"/>
    <w:rsid w:val="2A9C5B57"/>
    <w:rsid w:val="2A9C5F13"/>
    <w:rsid w:val="2AA5068E"/>
    <w:rsid w:val="2AE17A5A"/>
    <w:rsid w:val="2AE9690F"/>
    <w:rsid w:val="2B0379D1"/>
    <w:rsid w:val="2B1440A6"/>
    <w:rsid w:val="2B1716CE"/>
    <w:rsid w:val="2B28284E"/>
    <w:rsid w:val="2B4104F9"/>
    <w:rsid w:val="2B4361DF"/>
    <w:rsid w:val="2B5C5333"/>
    <w:rsid w:val="2B6C3C42"/>
    <w:rsid w:val="2B6D12EE"/>
    <w:rsid w:val="2B7D59D5"/>
    <w:rsid w:val="2B7E174D"/>
    <w:rsid w:val="2B8325F8"/>
    <w:rsid w:val="2B9B40AD"/>
    <w:rsid w:val="2B9F143B"/>
    <w:rsid w:val="2BB305CA"/>
    <w:rsid w:val="2BB4677D"/>
    <w:rsid w:val="2BB92785"/>
    <w:rsid w:val="2BC01D66"/>
    <w:rsid w:val="2BE47802"/>
    <w:rsid w:val="2BFC0FF0"/>
    <w:rsid w:val="2BFD2672"/>
    <w:rsid w:val="2C1018B8"/>
    <w:rsid w:val="2C11611D"/>
    <w:rsid w:val="2C136339"/>
    <w:rsid w:val="2C29790B"/>
    <w:rsid w:val="2C3116AB"/>
    <w:rsid w:val="2C5C383D"/>
    <w:rsid w:val="2C7E76E2"/>
    <w:rsid w:val="2C7F577D"/>
    <w:rsid w:val="2C861A39"/>
    <w:rsid w:val="2C8763E0"/>
    <w:rsid w:val="2CA451E4"/>
    <w:rsid w:val="2CAD22EA"/>
    <w:rsid w:val="2CCB6C14"/>
    <w:rsid w:val="2CEB4BC0"/>
    <w:rsid w:val="2D053ED4"/>
    <w:rsid w:val="2D265BF9"/>
    <w:rsid w:val="2D300825"/>
    <w:rsid w:val="2D31002F"/>
    <w:rsid w:val="2D360531"/>
    <w:rsid w:val="2D3C71CA"/>
    <w:rsid w:val="2D410C84"/>
    <w:rsid w:val="2D4744ED"/>
    <w:rsid w:val="2D482013"/>
    <w:rsid w:val="2D4A5D8B"/>
    <w:rsid w:val="2D4A7B39"/>
    <w:rsid w:val="2D5E1836"/>
    <w:rsid w:val="2D744BB6"/>
    <w:rsid w:val="2D7D16EA"/>
    <w:rsid w:val="2D7E77E3"/>
    <w:rsid w:val="2D9E60D7"/>
    <w:rsid w:val="2DA27975"/>
    <w:rsid w:val="2DAD7088"/>
    <w:rsid w:val="2DB72CF5"/>
    <w:rsid w:val="2DB767DB"/>
    <w:rsid w:val="2DC55411"/>
    <w:rsid w:val="2DCB1BE5"/>
    <w:rsid w:val="2DE26FB5"/>
    <w:rsid w:val="2DEB69F1"/>
    <w:rsid w:val="2DEC0850"/>
    <w:rsid w:val="2DF857E7"/>
    <w:rsid w:val="2DFB7085"/>
    <w:rsid w:val="2E1D5FB2"/>
    <w:rsid w:val="2E344345"/>
    <w:rsid w:val="2E382087"/>
    <w:rsid w:val="2E3D144C"/>
    <w:rsid w:val="2E3D769E"/>
    <w:rsid w:val="2E4427DA"/>
    <w:rsid w:val="2E443652"/>
    <w:rsid w:val="2E4A5917"/>
    <w:rsid w:val="2E731F27"/>
    <w:rsid w:val="2EBC05C2"/>
    <w:rsid w:val="2EBC3B1F"/>
    <w:rsid w:val="2EBD7AB6"/>
    <w:rsid w:val="2EC668CC"/>
    <w:rsid w:val="2ED55B28"/>
    <w:rsid w:val="2EEF36F2"/>
    <w:rsid w:val="2F034443"/>
    <w:rsid w:val="2F097580"/>
    <w:rsid w:val="2F0B4C2F"/>
    <w:rsid w:val="2F0D60FE"/>
    <w:rsid w:val="2F1877C3"/>
    <w:rsid w:val="2F1C72B3"/>
    <w:rsid w:val="2F3D3B52"/>
    <w:rsid w:val="2F5133E4"/>
    <w:rsid w:val="2F5922B5"/>
    <w:rsid w:val="2F634EE2"/>
    <w:rsid w:val="2F643FA7"/>
    <w:rsid w:val="2F807842"/>
    <w:rsid w:val="2F8F5CD7"/>
    <w:rsid w:val="2F967065"/>
    <w:rsid w:val="2F9B208F"/>
    <w:rsid w:val="2F9E1669"/>
    <w:rsid w:val="2FAB0637"/>
    <w:rsid w:val="2FB614B6"/>
    <w:rsid w:val="2FCF4325"/>
    <w:rsid w:val="2FD951A4"/>
    <w:rsid w:val="2FE25E97"/>
    <w:rsid w:val="2FFE1F39"/>
    <w:rsid w:val="2FFE7AEF"/>
    <w:rsid w:val="30161B80"/>
    <w:rsid w:val="303548B7"/>
    <w:rsid w:val="305E48FC"/>
    <w:rsid w:val="306C6018"/>
    <w:rsid w:val="306F1026"/>
    <w:rsid w:val="30731B82"/>
    <w:rsid w:val="307F7AFA"/>
    <w:rsid w:val="30C20DC1"/>
    <w:rsid w:val="30C67022"/>
    <w:rsid w:val="30D84FD5"/>
    <w:rsid w:val="30E3277E"/>
    <w:rsid w:val="30E87D95"/>
    <w:rsid w:val="30E97669"/>
    <w:rsid w:val="30F009F7"/>
    <w:rsid w:val="30F06C49"/>
    <w:rsid w:val="30F878AC"/>
    <w:rsid w:val="30FC51C2"/>
    <w:rsid w:val="310821E5"/>
    <w:rsid w:val="311566B0"/>
    <w:rsid w:val="3119625B"/>
    <w:rsid w:val="311C7A3E"/>
    <w:rsid w:val="314A45AB"/>
    <w:rsid w:val="31692DAA"/>
    <w:rsid w:val="316A07AA"/>
    <w:rsid w:val="3186135C"/>
    <w:rsid w:val="318C4BC4"/>
    <w:rsid w:val="31A348F2"/>
    <w:rsid w:val="31A55C86"/>
    <w:rsid w:val="31A6555A"/>
    <w:rsid w:val="31B47C77"/>
    <w:rsid w:val="31E24A80"/>
    <w:rsid w:val="31F77B64"/>
    <w:rsid w:val="320F44E6"/>
    <w:rsid w:val="32292413"/>
    <w:rsid w:val="32317519"/>
    <w:rsid w:val="323326D0"/>
    <w:rsid w:val="32333292"/>
    <w:rsid w:val="324B4E77"/>
    <w:rsid w:val="325154C6"/>
    <w:rsid w:val="326571C3"/>
    <w:rsid w:val="32674CE9"/>
    <w:rsid w:val="326A2A2B"/>
    <w:rsid w:val="326E1E38"/>
    <w:rsid w:val="327B2543"/>
    <w:rsid w:val="32925222"/>
    <w:rsid w:val="329B2BE5"/>
    <w:rsid w:val="32B15F51"/>
    <w:rsid w:val="32C57C62"/>
    <w:rsid w:val="32DD4FAB"/>
    <w:rsid w:val="32DF0D23"/>
    <w:rsid w:val="32E93950"/>
    <w:rsid w:val="32F21E9F"/>
    <w:rsid w:val="32FD20AF"/>
    <w:rsid w:val="33033B61"/>
    <w:rsid w:val="331210F9"/>
    <w:rsid w:val="33122EA7"/>
    <w:rsid w:val="33370B5F"/>
    <w:rsid w:val="33462B51"/>
    <w:rsid w:val="33536D69"/>
    <w:rsid w:val="33590AD6"/>
    <w:rsid w:val="335F2579"/>
    <w:rsid w:val="33792F26"/>
    <w:rsid w:val="338E075A"/>
    <w:rsid w:val="339A4C4A"/>
    <w:rsid w:val="339C6C14"/>
    <w:rsid w:val="33B026C0"/>
    <w:rsid w:val="33B85381"/>
    <w:rsid w:val="33CA5530"/>
    <w:rsid w:val="33D22636"/>
    <w:rsid w:val="33D47C3E"/>
    <w:rsid w:val="33D95773"/>
    <w:rsid w:val="33DB598F"/>
    <w:rsid w:val="33E02FA5"/>
    <w:rsid w:val="34120C85"/>
    <w:rsid w:val="343432F1"/>
    <w:rsid w:val="343A0F25"/>
    <w:rsid w:val="34452E08"/>
    <w:rsid w:val="346239BA"/>
    <w:rsid w:val="346516FC"/>
    <w:rsid w:val="346F60D7"/>
    <w:rsid w:val="348E2A01"/>
    <w:rsid w:val="34940CBC"/>
    <w:rsid w:val="34AC5709"/>
    <w:rsid w:val="34B85CD0"/>
    <w:rsid w:val="34C77CC1"/>
    <w:rsid w:val="34D0301A"/>
    <w:rsid w:val="34D128EE"/>
    <w:rsid w:val="34D50630"/>
    <w:rsid w:val="34EB4D84"/>
    <w:rsid w:val="34F34F5A"/>
    <w:rsid w:val="34FA21B3"/>
    <w:rsid w:val="3510264B"/>
    <w:rsid w:val="35223149"/>
    <w:rsid w:val="35246EC1"/>
    <w:rsid w:val="353916AE"/>
    <w:rsid w:val="3543203E"/>
    <w:rsid w:val="354F5E13"/>
    <w:rsid w:val="3550415A"/>
    <w:rsid w:val="35584DBD"/>
    <w:rsid w:val="355E2940"/>
    <w:rsid w:val="35656C57"/>
    <w:rsid w:val="3566572C"/>
    <w:rsid w:val="356E2833"/>
    <w:rsid w:val="35845BB2"/>
    <w:rsid w:val="35935DF5"/>
    <w:rsid w:val="35AB313F"/>
    <w:rsid w:val="35AD48A8"/>
    <w:rsid w:val="35C0308E"/>
    <w:rsid w:val="35C10BB4"/>
    <w:rsid w:val="35CC18DF"/>
    <w:rsid w:val="35E87EEF"/>
    <w:rsid w:val="35F1149A"/>
    <w:rsid w:val="35F5260C"/>
    <w:rsid w:val="3602513B"/>
    <w:rsid w:val="36032F7B"/>
    <w:rsid w:val="360A255B"/>
    <w:rsid w:val="360F7B72"/>
    <w:rsid w:val="362A675A"/>
    <w:rsid w:val="363C023B"/>
    <w:rsid w:val="364661FD"/>
    <w:rsid w:val="3647730B"/>
    <w:rsid w:val="365D08DD"/>
    <w:rsid w:val="36673390"/>
    <w:rsid w:val="3679148F"/>
    <w:rsid w:val="367B3797"/>
    <w:rsid w:val="3693592E"/>
    <w:rsid w:val="36956799"/>
    <w:rsid w:val="36A75FFC"/>
    <w:rsid w:val="36EC3A0F"/>
    <w:rsid w:val="36F5024F"/>
    <w:rsid w:val="36F90814"/>
    <w:rsid w:val="37105348"/>
    <w:rsid w:val="37152F66"/>
    <w:rsid w:val="373B1052"/>
    <w:rsid w:val="373B789A"/>
    <w:rsid w:val="374101FF"/>
    <w:rsid w:val="37421881"/>
    <w:rsid w:val="375717D0"/>
    <w:rsid w:val="3760060C"/>
    <w:rsid w:val="37621F23"/>
    <w:rsid w:val="37843D7C"/>
    <w:rsid w:val="37863E63"/>
    <w:rsid w:val="37865C12"/>
    <w:rsid w:val="378A0F75"/>
    <w:rsid w:val="379F6CD3"/>
    <w:rsid w:val="37EB016A"/>
    <w:rsid w:val="38081233"/>
    <w:rsid w:val="382F44FB"/>
    <w:rsid w:val="38492237"/>
    <w:rsid w:val="384A3F6D"/>
    <w:rsid w:val="38747E82"/>
    <w:rsid w:val="38992830"/>
    <w:rsid w:val="38A8605B"/>
    <w:rsid w:val="38B62526"/>
    <w:rsid w:val="38C74734"/>
    <w:rsid w:val="38C8225A"/>
    <w:rsid w:val="38CA7D80"/>
    <w:rsid w:val="38CD161E"/>
    <w:rsid w:val="38E057F5"/>
    <w:rsid w:val="38FE45EC"/>
    <w:rsid w:val="39113C01"/>
    <w:rsid w:val="391902DE"/>
    <w:rsid w:val="39205D9E"/>
    <w:rsid w:val="392C6BC0"/>
    <w:rsid w:val="39381013"/>
    <w:rsid w:val="39763A64"/>
    <w:rsid w:val="397C551E"/>
    <w:rsid w:val="3986014B"/>
    <w:rsid w:val="39875C71"/>
    <w:rsid w:val="3995038E"/>
    <w:rsid w:val="39B822CE"/>
    <w:rsid w:val="39D87F17"/>
    <w:rsid w:val="39FC21BB"/>
    <w:rsid w:val="3A086DB2"/>
    <w:rsid w:val="3A287454"/>
    <w:rsid w:val="3A2B6F44"/>
    <w:rsid w:val="3A2E430D"/>
    <w:rsid w:val="3A3F66D9"/>
    <w:rsid w:val="3A40479E"/>
    <w:rsid w:val="3A410516"/>
    <w:rsid w:val="3A4A7D8D"/>
    <w:rsid w:val="3A6A7A6C"/>
    <w:rsid w:val="3A6E527F"/>
    <w:rsid w:val="3A7E52C6"/>
    <w:rsid w:val="3A886145"/>
    <w:rsid w:val="3A8D72B7"/>
    <w:rsid w:val="3A941E4A"/>
    <w:rsid w:val="3AA34099"/>
    <w:rsid w:val="3ABC7B9C"/>
    <w:rsid w:val="3AC5199C"/>
    <w:rsid w:val="3AD06DCC"/>
    <w:rsid w:val="3AD13648"/>
    <w:rsid w:val="3AD41596"/>
    <w:rsid w:val="3AE570F3"/>
    <w:rsid w:val="3AE7583C"/>
    <w:rsid w:val="3AEE41FA"/>
    <w:rsid w:val="3B0F23C2"/>
    <w:rsid w:val="3B1904F7"/>
    <w:rsid w:val="3B196D9D"/>
    <w:rsid w:val="3B1B01D6"/>
    <w:rsid w:val="3B1E4990"/>
    <w:rsid w:val="3B201ED9"/>
    <w:rsid w:val="3B4C2CCE"/>
    <w:rsid w:val="3B4E4C98"/>
    <w:rsid w:val="3B53405D"/>
    <w:rsid w:val="3B5753FC"/>
    <w:rsid w:val="3B5D788A"/>
    <w:rsid w:val="3B6067CF"/>
    <w:rsid w:val="3B620744"/>
    <w:rsid w:val="3B702E61"/>
    <w:rsid w:val="3B7C7A57"/>
    <w:rsid w:val="3B8334A3"/>
    <w:rsid w:val="3BB32D4D"/>
    <w:rsid w:val="3BDB7734"/>
    <w:rsid w:val="3BDF7FE6"/>
    <w:rsid w:val="3BEB24E7"/>
    <w:rsid w:val="3BFD68F1"/>
    <w:rsid w:val="3BFE66BE"/>
    <w:rsid w:val="3C025A83"/>
    <w:rsid w:val="3C072EF0"/>
    <w:rsid w:val="3C215279"/>
    <w:rsid w:val="3C217AB5"/>
    <w:rsid w:val="3C37572C"/>
    <w:rsid w:val="3C5A58BF"/>
    <w:rsid w:val="3C5C5193"/>
    <w:rsid w:val="3C6504EB"/>
    <w:rsid w:val="3C8F5E3B"/>
    <w:rsid w:val="3C940DD1"/>
    <w:rsid w:val="3CB60EEE"/>
    <w:rsid w:val="3CBE7BFC"/>
    <w:rsid w:val="3CC2593E"/>
    <w:rsid w:val="3CC35212"/>
    <w:rsid w:val="3CC82828"/>
    <w:rsid w:val="3CCD7D4C"/>
    <w:rsid w:val="3CD72A6B"/>
    <w:rsid w:val="3D1B32A0"/>
    <w:rsid w:val="3D1C4922"/>
    <w:rsid w:val="3D1C7AEF"/>
    <w:rsid w:val="3D2A34E3"/>
    <w:rsid w:val="3D346110"/>
    <w:rsid w:val="3D361E88"/>
    <w:rsid w:val="3D37507E"/>
    <w:rsid w:val="3D436353"/>
    <w:rsid w:val="3D516CC2"/>
    <w:rsid w:val="3D736C38"/>
    <w:rsid w:val="3D7D43D8"/>
    <w:rsid w:val="3D8F3346"/>
    <w:rsid w:val="3D9A2417"/>
    <w:rsid w:val="3D9A6C3F"/>
    <w:rsid w:val="3DA03D5F"/>
    <w:rsid w:val="3DA64985"/>
    <w:rsid w:val="3DAF5796"/>
    <w:rsid w:val="3DD60F75"/>
    <w:rsid w:val="3DEE5862"/>
    <w:rsid w:val="3DF91771"/>
    <w:rsid w:val="3E015FF2"/>
    <w:rsid w:val="3E0930F8"/>
    <w:rsid w:val="3E137FF5"/>
    <w:rsid w:val="3E2919ED"/>
    <w:rsid w:val="3E2A7656"/>
    <w:rsid w:val="3E380708"/>
    <w:rsid w:val="3E66054B"/>
    <w:rsid w:val="3E6E11AD"/>
    <w:rsid w:val="3E731CA5"/>
    <w:rsid w:val="3E7A3FF6"/>
    <w:rsid w:val="3E8A248B"/>
    <w:rsid w:val="3E9A1FA2"/>
    <w:rsid w:val="3EA177D5"/>
    <w:rsid w:val="3EC55271"/>
    <w:rsid w:val="3EC62D97"/>
    <w:rsid w:val="3EE6168C"/>
    <w:rsid w:val="3EED6576"/>
    <w:rsid w:val="3EEE7A11"/>
    <w:rsid w:val="3F033FEC"/>
    <w:rsid w:val="3F0F473E"/>
    <w:rsid w:val="3F192DC7"/>
    <w:rsid w:val="3F2969DF"/>
    <w:rsid w:val="3F32042D"/>
    <w:rsid w:val="3F336634"/>
    <w:rsid w:val="3F47212A"/>
    <w:rsid w:val="3F516B05"/>
    <w:rsid w:val="3F566811"/>
    <w:rsid w:val="3F593C0C"/>
    <w:rsid w:val="3F67457A"/>
    <w:rsid w:val="3F7D5B4C"/>
    <w:rsid w:val="3F890995"/>
    <w:rsid w:val="3FB12286"/>
    <w:rsid w:val="3FBD23EC"/>
    <w:rsid w:val="3FD61700"/>
    <w:rsid w:val="3FD80FD4"/>
    <w:rsid w:val="3FE23C01"/>
    <w:rsid w:val="40002E86"/>
    <w:rsid w:val="400E0E9A"/>
    <w:rsid w:val="400E7381"/>
    <w:rsid w:val="40161AFD"/>
    <w:rsid w:val="402661E4"/>
    <w:rsid w:val="402C30CE"/>
    <w:rsid w:val="40420B44"/>
    <w:rsid w:val="40586DFE"/>
    <w:rsid w:val="40632CF4"/>
    <w:rsid w:val="406B1E48"/>
    <w:rsid w:val="40786313"/>
    <w:rsid w:val="408353E4"/>
    <w:rsid w:val="408847A8"/>
    <w:rsid w:val="40B05941"/>
    <w:rsid w:val="40B557B9"/>
    <w:rsid w:val="40BE1700"/>
    <w:rsid w:val="40D84959"/>
    <w:rsid w:val="40DE261A"/>
    <w:rsid w:val="40E57E4D"/>
    <w:rsid w:val="40F10EA7"/>
    <w:rsid w:val="40F57964"/>
    <w:rsid w:val="412B15D8"/>
    <w:rsid w:val="412D6AAE"/>
    <w:rsid w:val="414032D5"/>
    <w:rsid w:val="4142704D"/>
    <w:rsid w:val="414803DC"/>
    <w:rsid w:val="41534C17"/>
    <w:rsid w:val="416B7C26"/>
    <w:rsid w:val="41717932"/>
    <w:rsid w:val="41906EED"/>
    <w:rsid w:val="419453CF"/>
    <w:rsid w:val="41986C6D"/>
    <w:rsid w:val="41BD2B78"/>
    <w:rsid w:val="41C247B5"/>
    <w:rsid w:val="41CE1354"/>
    <w:rsid w:val="41D57EC1"/>
    <w:rsid w:val="41D72A00"/>
    <w:rsid w:val="41DA54D8"/>
    <w:rsid w:val="41E974C9"/>
    <w:rsid w:val="42010CB6"/>
    <w:rsid w:val="42044303"/>
    <w:rsid w:val="420865E7"/>
    <w:rsid w:val="42134546"/>
    <w:rsid w:val="422F6EA6"/>
    <w:rsid w:val="42310E70"/>
    <w:rsid w:val="424B3CDF"/>
    <w:rsid w:val="425A2175"/>
    <w:rsid w:val="428E0070"/>
    <w:rsid w:val="429644B3"/>
    <w:rsid w:val="42AC04F6"/>
    <w:rsid w:val="42B71375"/>
    <w:rsid w:val="42CF6863"/>
    <w:rsid w:val="42E303BC"/>
    <w:rsid w:val="42E87780"/>
    <w:rsid w:val="42EB54C2"/>
    <w:rsid w:val="42F425C9"/>
    <w:rsid w:val="432033BE"/>
    <w:rsid w:val="434A3F97"/>
    <w:rsid w:val="434B12A1"/>
    <w:rsid w:val="435E3EE6"/>
    <w:rsid w:val="436808C1"/>
    <w:rsid w:val="43762FDE"/>
    <w:rsid w:val="437E1E93"/>
    <w:rsid w:val="43917E18"/>
    <w:rsid w:val="439D67BD"/>
    <w:rsid w:val="43B705F8"/>
    <w:rsid w:val="43DA3072"/>
    <w:rsid w:val="43DE6DD5"/>
    <w:rsid w:val="44006D4C"/>
    <w:rsid w:val="440305EA"/>
    <w:rsid w:val="44103433"/>
    <w:rsid w:val="4427077C"/>
    <w:rsid w:val="44293F63"/>
    <w:rsid w:val="44333970"/>
    <w:rsid w:val="44366F3F"/>
    <w:rsid w:val="443F7874"/>
    <w:rsid w:val="445175A7"/>
    <w:rsid w:val="445552E9"/>
    <w:rsid w:val="446A007A"/>
    <w:rsid w:val="446E1F07"/>
    <w:rsid w:val="44896D41"/>
    <w:rsid w:val="448C05DF"/>
    <w:rsid w:val="44915BF6"/>
    <w:rsid w:val="44926DC8"/>
    <w:rsid w:val="44A43B7B"/>
    <w:rsid w:val="44B5412C"/>
    <w:rsid w:val="44BB02A4"/>
    <w:rsid w:val="44C2005E"/>
    <w:rsid w:val="44CB735A"/>
    <w:rsid w:val="44E65F41"/>
    <w:rsid w:val="44EE129A"/>
    <w:rsid w:val="44FC7513"/>
    <w:rsid w:val="45014B29"/>
    <w:rsid w:val="451231DA"/>
    <w:rsid w:val="45154A79"/>
    <w:rsid w:val="4530540F"/>
    <w:rsid w:val="453273D9"/>
    <w:rsid w:val="453A003B"/>
    <w:rsid w:val="4541761C"/>
    <w:rsid w:val="454D7D6F"/>
    <w:rsid w:val="45561319"/>
    <w:rsid w:val="45633A36"/>
    <w:rsid w:val="4564187A"/>
    <w:rsid w:val="456475AA"/>
    <w:rsid w:val="456F4189"/>
    <w:rsid w:val="457277D5"/>
    <w:rsid w:val="4577128F"/>
    <w:rsid w:val="45894C40"/>
    <w:rsid w:val="458E3CF0"/>
    <w:rsid w:val="45C76627"/>
    <w:rsid w:val="45CF69D6"/>
    <w:rsid w:val="45CF709C"/>
    <w:rsid w:val="45D1274E"/>
    <w:rsid w:val="45D96470"/>
    <w:rsid w:val="45F031A9"/>
    <w:rsid w:val="460356F3"/>
    <w:rsid w:val="460A2104"/>
    <w:rsid w:val="460A5C60"/>
    <w:rsid w:val="46396545"/>
    <w:rsid w:val="464473C4"/>
    <w:rsid w:val="464E5B37"/>
    <w:rsid w:val="4655739E"/>
    <w:rsid w:val="466C691A"/>
    <w:rsid w:val="467B6B5D"/>
    <w:rsid w:val="468679DC"/>
    <w:rsid w:val="46875755"/>
    <w:rsid w:val="4689127A"/>
    <w:rsid w:val="46976F6B"/>
    <w:rsid w:val="46982E2A"/>
    <w:rsid w:val="469F45FA"/>
    <w:rsid w:val="46A00372"/>
    <w:rsid w:val="46A77952"/>
    <w:rsid w:val="46B81B60"/>
    <w:rsid w:val="46BD7176"/>
    <w:rsid w:val="46CE4EDF"/>
    <w:rsid w:val="46E85DA9"/>
    <w:rsid w:val="46F30DEA"/>
    <w:rsid w:val="47017063"/>
    <w:rsid w:val="47024B89"/>
    <w:rsid w:val="47073AE7"/>
    <w:rsid w:val="4708107D"/>
    <w:rsid w:val="47144DDA"/>
    <w:rsid w:val="471A45C8"/>
    <w:rsid w:val="471C7F53"/>
    <w:rsid w:val="47243973"/>
    <w:rsid w:val="47342EED"/>
    <w:rsid w:val="47571378"/>
    <w:rsid w:val="475C0A15"/>
    <w:rsid w:val="47680E90"/>
    <w:rsid w:val="477E6905"/>
    <w:rsid w:val="477F442B"/>
    <w:rsid w:val="47845287"/>
    <w:rsid w:val="47905C32"/>
    <w:rsid w:val="47C1045D"/>
    <w:rsid w:val="47C63E08"/>
    <w:rsid w:val="47CA6E5A"/>
    <w:rsid w:val="47D46525"/>
    <w:rsid w:val="47E32C0C"/>
    <w:rsid w:val="47E37174"/>
    <w:rsid w:val="47F24BFD"/>
    <w:rsid w:val="48013092"/>
    <w:rsid w:val="480C3F11"/>
    <w:rsid w:val="480C6C1B"/>
    <w:rsid w:val="481225DE"/>
    <w:rsid w:val="48221986"/>
    <w:rsid w:val="48230E62"/>
    <w:rsid w:val="48376AB4"/>
    <w:rsid w:val="483B3E7E"/>
    <w:rsid w:val="48474F49"/>
    <w:rsid w:val="484D2B53"/>
    <w:rsid w:val="48597611"/>
    <w:rsid w:val="4860425D"/>
    <w:rsid w:val="487D4E0F"/>
    <w:rsid w:val="488817BF"/>
    <w:rsid w:val="488A12DA"/>
    <w:rsid w:val="48A27881"/>
    <w:rsid w:val="48A91760"/>
    <w:rsid w:val="48B620CF"/>
    <w:rsid w:val="48BC5937"/>
    <w:rsid w:val="48D456C6"/>
    <w:rsid w:val="48EC3D42"/>
    <w:rsid w:val="490E5A67"/>
    <w:rsid w:val="491A08B0"/>
    <w:rsid w:val="494F6304"/>
    <w:rsid w:val="49520049"/>
    <w:rsid w:val="49575660"/>
    <w:rsid w:val="495D254A"/>
    <w:rsid w:val="495F4514"/>
    <w:rsid w:val="49757894"/>
    <w:rsid w:val="497D07B1"/>
    <w:rsid w:val="4981448B"/>
    <w:rsid w:val="49831FB1"/>
    <w:rsid w:val="49AC125D"/>
    <w:rsid w:val="49D4280C"/>
    <w:rsid w:val="4A0F1A96"/>
    <w:rsid w:val="4A280DAA"/>
    <w:rsid w:val="4A2D19BE"/>
    <w:rsid w:val="4A301A0D"/>
    <w:rsid w:val="4A331020"/>
    <w:rsid w:val="4A370FED"/>
    <w:rsid w:val="4A3E237C"/>
    <w:rsid w:val="4A5971B6"/>
    <w:rsid w:val="4A653DAC"/>
    <w:rsid w:val="4A9401EE"/>
    <w:rsid w:val="4A977AF4"/>
    <w:rsid w:val="4AB12B4E"/>
    <w:rsid w:val="4AB54A6B"/>
    <w:rsid w:val="4AB663B6"/>
    <w:rsid w:val="4AB85478"/>
    <w:rsid w:val="4AD625B4"/>
    <w:rsid w:val="4ADA02F6"/>
    <w:rsid w:val="4AE90539"/>
    <w:rsid w:val="4AF15640"/>
    <w:rsid w:val="4B005883"/>
    <w:rsid w:val="4B09298A"/>
    <w:rsid w:val="4B38501D"/>
    <w:rsid w:val="4B427C4A"/>
    <w:rsid w:val="4B5E0F27"/>
    <w:rsid w:val="4B6C5707"/>
    <w:rsid w:val="4B83098E"/>
    <w:rsid w:val="4B865D88"/>
    <w:rsid w:val="4B895879"/>
    <w:rsid w:val="4B9C1A50"/>
    <w:rsid w:val="4BB328F5"/>
    <w:rsid w:val="4BB52B12"/>
    <w:rsid w:val="4BB87F0C"/>
    <w:rsid w:val="4BBC7E1A"/>
    <w:rsid w:val="4BCE376E"/>
    <w:rsid w:val="4BD016F9"/>
    <w:rsid w:val="4BD9235C"/>
    <w:rsid w:val="4BEF7DD1"/>
    <w:rsid w:val="4BFB49C8"/>
    <w:rsid w:val="4C043151"/>
    <w:rsid w:val="4C1B4ECE"/>
    <w:rsid w:val="4C243D45"/>
    <w:rsid w:val="4C2537F3"/>
    <w:rsid w:val="4C2F6590"/>
    <w:rsid w:val="4C361BCD"/>
    <w:rsid w:val="4C363892"/>
    <w:rsid w:val="4C3C0B3D"/>
    <w:rsid w:val="4C5440D8"/>
    <w:rsid w:val="4C580C3F"/>
    <w:rsid w:val="4C6205A3"/>
    <w:rsid w:val="4C637EAB"/>
    <w:rsid w:val="4C653BF0"/>
    <w:rsid w:val="4C72455F"/>
    <w:rsid w:val="4CA0731E"/>
    <w:rsid w:val="4CA30BBC"/>
    <w:rsid w:val="4CC052CA"/>
    <w:rsid w:val="4CDF7E46"/>
    <w:rsid w:val="4CE30FB8"/>
    <w:rsid w:val="4CEA7653"/>
    <w:rsid w:val="4CF136D5"/>
    <w:rsid w:val="4D0447B1"/>
    <w:rsid w:val="4D185106"/>
    <w:rsid w:val="4D466E92"/>
    <w:rsid w:val="4D634039"/>
    <w:rsid w:val="4D6E6AAF"/>
    <w:rsid w:val="4D761E2D"/>
    <w:rsid w:val="4D7D140D"/>
    <w:rsid w:val="4D7F5185"/>
    <w:rsid w:val="4D9A712E"/>
    <w:rsid w:val="4D9D2733"/>
    <w:rsid w:val="4D9F75D5"/>
    <w:rsid w:val="4DA42E3E"/>
    <w:rsid w:val="4DA62712"/>
    <w:rsid w:val="4DAD3AA0"/>
    <w:rsid w:val="4DB73A11"/>
    <w:rsid w:val="4DF229C2"/>
    <w:rsid w:val="4DF25957"/>
    <w:rsid w:val="4DF47921"/>
    <w:rsid w:val="4E092CA1"/>
    <w:rsid w:val="4E151645"/>
    <w:rsid w:val="4E410788"/>
    <w:rsid w:val="4E467A51"/>
    <w:rsid w:val="4E4A3D29"/>
    <w:rsid w:val="4E564699"/>
    <w:rsid w:val="4E661EA1"/>
    <w:rsid w:val="4E6F6FA8"/>
    <w:rsid w:val="4E8241E5"/>
    <w:rsid w:val="4E9F590E"/>
    <w:rsid w:val="4EA50316"/>
    <w:rsid w:val="4EBB043F"/>
    <w:rsid w:val="4EDD5129"/>
    <w:rsid w:val="4EE748E4"/>
    <w:rsid w:val="4EE9759A"/>
    <w:rsid w:val="4EF474AD"/>
    <w:rsid w:val="4F010FA0"/>
    <w:rsid w:val="4F147B4F"/>
    <w:rsid w:val="4F2D00A8"/>
    <w:rsid w:val="4F337FD5"/>
    <w:rsid w:val="4F3855EC"/>
    <w:rsid w:val="4F3D2C02"/>
    <w:rsid w:val="4F4E1D81"/>
    <w:rsid w:val="4F5A1A06"/>
    <w:rsid w:val="4F624D5E"/>
    <w:rsid w:val="4F6A5B52"/>
    <w:rsid w:val="4F6E7E1C"/>
    <w:rsid w:val="4F7417CB"/>
    <w:rsid w:val="4F7953A1"/>
    <w:rsid w:val="4F8B6063"/>
    <w:rsid w:val="4F9053B1"/>
    <w:rsid w:val="4FA62AF1"/>
    <w:rsid w:val="4FA964E9"/>
    <w:rsid w:val="4FF37764"/>
    <w:rsid w:val="4FFF25AD"/>
    <w:rsid w:val="500A342C"/>
    <w:rsid w:val="504F52E3"/>
    <w:rsid w:val="504F7091"/>
    <w:rsid w:val="506036C9"/>
    <w:rsid w:val="507E7856"/>
    <w:rsid w:val="50A867A1"/>
    <w:rsid w:val="50AD1145"/>
    <w:rsid w:val="50C90919"/>
    <w:rsid w:val="510A2FB8"/>
    <w:rsid w:val="511107EA"/>
    <w:rsid w:val="5124425E"/>
    <w:rsid w:val="513B5867"/>
    <w:rsid w:val="513F7105"/>
    <w:rsid w:val="5147420C"/>
    <w:rsid w:val="514C537E"/>
    <w:rsid w:val="514E10F6"/>
    <w:rsid w:val="516C5A20"/>
    <w:rsid w:val="517174DB"/>
    <w:rsid w:val="51764AF1"/>
    <w:rsid w:val="517A638F"/>
    <w:rsid w:val="517E5BBB"/>
    <w:rsid w:val="51870AAC"/>
    <w:rsid w:val="518C7E71"/>
    <w:rsid w:val="519C4558"/>
    <w:rsid w:val="51B5729C"/>
    <w:rsid w:val="51C71A20"/>
    <w:rsid w:val="51D3784E"/>
    <w:rsid w:val="51E952C3"/>
    <w:rsid w:val="51F2193E"/>
    <w:rsid w:val="51F53C68"/>
    <w:rsid w:val="52122562"/>
    <w:rsid w:val="52145C2C"/>
    <w:rsid w:val="522956BF"/>
    <w:rsid w:val="522E0F28"/>
    <w:rsid w:val="523C3645"/>
    <w:rsid w:val="523E07C4"/>
    <w:rsid w:val="524E3378"/>
    <w:rsid w:val="526E487B"/>
    <w:rsid w:val="527821A3"/>
    <w:rsid w:val="52796647"/>
    <w:rsid w:val="527A5F1B"/>
    <w:rsid w:val="52860D64"/>
    <w:rsid w:val="52876F40"/>
    <w:rsid w:val="528F5E6A"/>
    <w:rsid w:val="52943481"/>
    <w:rsid w:val="5299687C"/>
    <w:rsid w:val="52A116FA"/>
    <w:rsid w:val="52AD62F0"/>
    <w:rsid w:val="52AE211A"/>
    <w:rsid w:val="52B70F1D"/>
    <w:rsid w:val="52BE5E14"/>
    <w:rsid w:val="52CA0C50"/>
    <w:rsid w:val="52CF44B9"/>
    <w:rsid w:val="52EC6E19"/>
    <w:rsid w:val="52F12681"/>
    <w:rsid w:val="52FE08FA"/>
    <w:rsid w:val="530323B4"/>
    <w:rsid w:val="53037D86"/>
    <w:rsid w:val="53065A01"/>
    <w:rsid w:val="530D6D8F"/>
    <w:rsid w:val="532C36B9"/>
    <w:rsid w:val="53334A48"/>
    <w:rsid w:val="5334256E"/>
    <w:rsid w:val="5334431C"/>
    <w:rsid w:val="5346469A"/>
    <w:rsid w:val="53620E89"/>
    <w:rsid w:val="53634C01"/>
    <w:rsid w:val="536E3CD2"/>
    <w:rsid w:val="537E1219"/>
    <w:rsid w:val="53894668"/>
    <w:rsid w:val="539D0113"/>
    <w:rsid w:val="539F032F"/>
    <w:rsid w:val="53C74BA4"/>
    <w:rsid w:val="53C9715A"/>
    <w:rsid w:val="53D55AFF"/>
    <w:rsid w:val="53DB6E8D"/>
    <w:rsid w:val="53E54127"/>
    <w:rsid w:val="53EF1AC3"/>
    <w:rsid w:val="53F32429"/>
    <w:rsid w:val="5406215C"/>
    <w:rsid w:val="54120B01"/>
    <w:rsid w:val="54137527"/>
    <w:rsid w:val="54163A4F"/>
    <w:rsid w:val="542D76E9"/>
    <w:rsid w:val="543640C4"/>
    <w:rsid w:val="543C16DA"/>
    <w:rsid w:val="543D5452"/>
    <w:rsid w:val="543F566E"/>
    <w:rsid w:val="54534C76"/>
    <w:rsid w:val="545A5102"/>
    <w:rsid w:val="545B4B0B"/>
    <w:rsid w:val="546724CF"/>
    <w:rsid w:val="54750A25"/>
    <w:rsid w:val="54751090"/>
    <w:rsid w:val="54784B7D"/>
    <w:rsid w:val="5479292E"/>
    <w:rsid w:val="54927C0A"/>
    <w:rsid w:val="54A42143"/>
    <w:rsid w:val="54BC6CBF"/>
    <w:rsid w:val="54CF254E"/>
    <w:rsid w:val="54DE09E3"/>
    <w:rsid w:val="54E40871"/>
    <w:rsid w:val="54F2448F"/>
    <w:rsid w:val="54FA3343"/>
    <w:rsid w:val="550147B4"/>
    <w:rsid w:val="550B5550"/>
    <w:rsid w:val="550F1B76"/>
    <w:rsid w:val="55214D74"/>
    <w:rsid w:val="55216B22"/>
    <w:rsid w:val="552C5BF2"/>
    <w:rsid w:val="554117B3"/>
    <w:rsid w:val="55603E89"/>
    <w:rsid w:val="556A04C9"/>
    <w:rsid w:val="556D1D67"/>
    <w:rsid w:val="557C1FAA"/>
    <w:rsid w:val="55806F93"/>
    <w:rsid w:val="559F4F41"/>
    <w:rsid w:val="55A0038E"/>
    <w:rsid w:val="55A41C2D"/>
    <w:rsid w:val="55BD2AE1"/>
    <w:rsid w:val="55BE009C"/>
    <w:rsid w:val="55CE6CAA"/>
    <w:rsid w:val="55E02539"/>
    <w:rsid w:val="55E22755"/>
    <w:rsid w:val="560C77D2"/>
    <w:rsid w:val="563805C7"/>
    <w:rsid w:val="5641657F"/>
    <w:rsid w:val="564A382F"/>
    <w:rsid w:val="564C7BCE"/>
    <w:rsid w:val="564E3947"/>
    <w:rsid w:val="565076BF"/>
    <w:rsid w:val="56522FA0"/>
    <w:rsid w:val="565D002E"/>
    <w:rsid w:val="567A298E"/>
    <w:rsid w:val="568455BA"/>
    <w:rsid w:val="56972C76"/>
    <w:rsid w:val="5697353F"/>
    <w:rsid w:val="56B063AF"/>
    <w:rsid w:val="56B85264"/>
    <w:rsid w:val="56BA5480"/>
    <w:rsid w:val="56C1236A"/>
    <w:rsid w:val="56C41E5B"/>
    <w:rsid w:val="56D4209E"/>
    <w:rsid w:val="56DA342C"/>
    <w:rsid w:val="56DB1DD1"/>
    <w:rsid w:val="56E04EE6"/>
    <w:rsid w:val="56F15EAF"/>
    <w:rsid w:val="56F5366D"/>
    <w:rsid w:val="56F87B9A"/>
    <w:rsid w:val="570A66F7"/>
    <w:rsid w:val="570D1A54"/>
    <w:rsid w:val="5717642E"/>
    <w:rsid w:val="57201787"/>
    <w:rsid w:val="572C012C"/>
    <w:rsid w:val="573174F0"/>
    <w:rsid w:val="57346FE0"/>
    <w:rsid w:val="573A4CC3"/>
    <w:rsid w:val="57452F9B"/>
    <w:rsid w:val="574A64DC"/>
    <w:rsid w:val="574E0FD7"/>
    <w:rsid w:val="575136EE"/>
    <w:rsid w:val="575925A3"/>
    <w:rsid w:val="575D4053"/>
    <w:rsid w:val="576706D0"/>
    <w:rsid w:val="5774562F"/>
    <w:rsid w:val="57835FC2"/>
    <w:rsid w:val="578F2469"/>
    <w:rsid w:val="579B4127"/>
    <w:rsid w:val="57AF6667"/>
    <w:rsid w:val="57E0285A"/>
    <w:rsid w:val="57E9601D"/>
    <w:rsid w:val="57EF1159"/>
    <w:rsid w:val="57FF1717"/>
    <w:rsid w:val="58044C05"/>
    <w:rsid w:val="581402A0"/>
    <w:rsid w:val="58164938"/>
    <w:rsid w:val="58190C85"/>
    <w:rsid w:val="5822508B"/>
    <w:rsid w:val="582C7CB7"/>
    <w:rsid w:val="5836377C"/>
    <w:rsid w:val="583A0626"/>
    <w:rsid w:val="58564D34"/>
    <w:rsid w:val="585F111F"/>
    <w:rsid w:val="58656A62"/>
    <w:rsid w:val="5889335C"/>
    <w:rsid w:val="58951D01"/>
    <w:rsid w:val="5895585D"/>
    <w:rsid w:val="58A261CC"/>
    <w:rsid w:val="58BA4578"/>
    <w:rsid w:val="58C61EBA"/>
    <w:rsid w:val="58C66C34"/>
    <w:rsid w:val="58DA7713"/>
    <w:rsid w:val="58DE5456"/>
    <w:rsid w:val="58E32A6C"/>
    <w:rsid w:val="58E675A9"/>
    <w:rsid w:val="58EB542F"/>
    <w:rsid w:val="58EF1411"/>
    <w:rsid w:val="58F317BE"/>
    <w:rsid w:val="58F92290"/>
    <w:rsid w:val="592F5CB1"/>
    <w:rsid w:val="5932754F"/>
    <w:rsid w:val="5939461F"/>
    <w:rsid w:val="594C60C5"/>
    <w:rsid w:val="59AD307A"/>
    <w:rsid w:val="59B241EC"/>
    <w:rsid w:val="59C56616"/>
    <w:rsid w:val="59CF2FF0"/>
    <w:rsid w:val="59D32AE1"/>
    <w:rsid w:val="59F12F67"/>
    <w:rsid w:val="59F40CA9"/>
    <w:rsid w:val="59F548C8"/>
    <w:rsid w:val="59FD190B"/>
    <w:rsid w:val="59FE7867"/>
    <w:rsid w:val="5A056A12"/>
    <w:rsid w:val="5A1170DE"/>
    <w:rsid w:val="5A1E1882"/>
    <w:rsid w:val="5A5654C0"/>
    <w:rsid w:val="5A661FD1"/>
    <w:rsid w:val="5A67147B"/>
    <w:rsid w:val="5A7523BB"/>
    <w:rsid w:val="5A7B2EFD"/>
    <w:rsid w:val="5A9019F4"/>
    <w:rsid w:val="5A932270"/>
    <w:rsid w:val="5A981634"/>
    <w:rsid w:val="5AA006E0"/>
    <w:rsid w:val="5AA0484E"/>
    <w:rsid w:val="5AA80B76"/>
    <w:rsid w:val="5B0B1E06"/>
    <w:rsid w:val="5B0E7B48"/>
    <w:rsid w:val="5B182775"/>
    <w:rsid w:val="5B1F3A8D"/>
    <w:rsid w:val="5B21162A"/>
    <w:rsid w:val="5B2E3D47"/>
    <w:rsid w:val="5B305D11"/>
    <w:rsid w:val="5B4812AC"/>
    <w:rsid w:val="5B4C792C"/>
    <w:rsid w:val="5B4E6197"/>
    <w:rsid w:val="5B5F03A4"/>
    <w:rsid w:val="5B6F1CE9"/>
    <w:rsid w:val="5B7C2D04"/>
    <w:rsid w:val="5B9A33D5"/>
    <w:rsid w:val="5BC715AF"/>
    <w:rsid w:val="5BC85F49"/>
    <w:rsid w:val="5BCA1CC1"/>
    <w:rsid w:val="5BCF72D8"/>
    <w:rsid w:val="5BE03293"/>
    <w:rsid w:val="5BF1724E"/>
    <w:rsid w:val="5BF93732"/>
    <w:rsid w:val="5C080BF2"/>
    <w:rsid w:val="5C186ED1"/>
    <w:rsid w:val="5C2A2760"/>
    <w:rsid w:val="5C3B7C95"/>
    <w:rsid w:val="5C4F0418"/>
    <w:rsid w:val="5C734107"/>
    <w:rsid w:val="5C7B120D"/>
    <w:rsid w:val="5C9127DF"/>
    <w:rsid w:val="5C91458D"/>
    <w:rsid w:val="5C9A78E6"/>
    <w:rsid w:val="5CA6628A"/>
    <w:rsid w:val="5CA97B29"/>
    <w:rsid w:val="5CAC5BC3"/>
    <w:rsid w:val="5CAD483A"/>
    <w:rsid w:val="5CAE513F"/>
    <w:rsid w:val="5CBA7F88"/>
    <w:rsid w:val="5CC901CB"/>
    <w:rsid w:val="5CD66444"/>
    <w:rsid w:val="5CE62B2B"/>
    <w:rsid w:val="5CE648D9"/>
    <w:rsid w:val="5CF36FF6"/>
    <w:rsid w:val="5CFC234E"/>
    <w:rsid w:val="5D041203"/>
    <w:rsid w:val="5D086F45"/>
    <w:rsid w:val="5D137698"/>
    <w:rsid w:val="5D5C292F"/>
    <w:rsid w:val="5D5C528C"/>
    <w:rsid w:val="5D5E4AAE"/>
    <w:rsid w:val="5D6748B5"/>
    <w:rsid w:val="5D7F426D"/>
    <w:rsid w:val="5D804D2D"/>
    <w:rsid w:val="5D817997"/>
    <w:rsid w:val="5D902A97"/>
    <w:rsid w:val="5D9205BD"/>
    <w:rsid w:val="5DEB1431"/>
    <w:rsid w:val="5DFB43B4"/>
    <w:rsid w:val="5E0D2339"/>
    <w:rsid w:val="5E1E3F48"/>
    <w:rsid w:val="5E3E6996"/>
    <w:rsid w:val="5E461197"/>
    <w:rsid w:val="5E4775F9"/>
    <w:rsid w:val="5E550F9B"/>
    <w:rsid w:val="5E5B7AAE"/>
    <w:rsid w:val="5E6463FD"/>
    <w:rsid w:val="5E6A11F5"/>
    <w:rsid w:val="5E6E102A"/>
    <w:rsid w:val="5E8142E4"/>
    <w:rsid w:val="5E8E6FD6"/>
    <w:rsid w:val="5E99597B"/>
    <w:rsid w:val="5EA762EA"/>
    <w:rsid w:val="5EAE1426"/>
    <w:rsid w:val="5ECE7D1A"/>
    <w:rsid w:val="5EE412EC"/>
    <w:rsid w:val="5EE74938"/>
    <w:rsid w:val="5EEA61D6"/>
    <w:rsid w:val="5EF534F9"/>
    <w:rsid w:val="5F180F96"/>
    <w:rsid w:val="5F182D44"/>
    <w:rsid w:val="5F3F1FBE"/>
    <w:rsid w:val="5F49114F"/>
    <w:rsid w:val="5F702B80"/>
    <w:rsid w:val="5F7B60DE"/>
    <w:rsid w:val="5F836D59"/>
    <w:rsid w:val="5F855DD3"/>
    <w:rsid w:val="5F8605F5"/>
    <w:rsid w:val="5F864151"/>
    <w:rsid w:val="5F97635E"/>
    <w:rsid w:val="5FA62A45"/>
    <w:rsid w:val="5FE01AB3"/>
    <w:rsid w:val="5FE570CA"/>
    <w:rsid w:val="5FEA20BE"/>
    <w:rsid w:val="600047E9"/>
    <w:rsid w:val="6008100A"/>
    <w:rsid w:val="600F3FDC"/>
    <w:rsid w:val="601E082E"/>
    <w:rsid w:val="602302FF"/>
    <w:rsid w:val="602A2D2E"/>
    <w:rsid w:val="6031230F"/>
    <w:rsid w:val="603E1FE0"/>
    <w:rsid w:val="60402552"/>
    <w:rsid w:val="604678A4"/>
    <w:rsid w:val="604E1113"/>
    <w:rsid w:val="60575AEE"/>
    <w:rsid w:val="6057789C"/>
    <w:rsid w:val="605D1356"/>
    <w:rsid w:val="60732927"/>
    <w:rsid w:val="60786190"/>
    <w:rsid w:val="6085265B"/>
    <w:rsid w:val="60924A49"/>
    <w:rsid w:val="60932FCA"/>
    <w:rsid w:val="60A2151D"/>
    <w:rsid w:val="60AC7BE7"/>
    <w:rsid w:val="60B62814"/>
    <w:rsid w:val="60BD3BA3"/>
    <w:rsid w:val="60C34D4A"/>
    <w:rsid w:val="60CC2038"/>
    <w:rsid w:val="60D55DAA"/>
    <w:rsid w:val="60E5134B"/>
    <w:rsid w:val="60E750C3"/>
    <w:rsid w:val="60E76E71"/>
    <w:rsid w:val="60EA6962"/>
    <w:rsid w:val="60F90953"/>
    <w:rsid w:val="61241E74"/>
    <w:rsid w:val="612767E0"/>
    <w:rsid w:val="61426170"/>
    <w:rsid w:val="615A312F"/>
    <w:rsid w:val="6162299C"/>
    <w:rsid w:val="616A65EA"/>
    <w:rsid w:val="61723CCE"/>
    <w:rsid w:val="617A1A94"/>
    <w:rsid w:val="617D3332"/>
    <w:rsid w:val="61834DEC"/>
    <w:rsid w:val="6186064C"/>
    <w:rsid w:val="61894428"/>
    <w:rsid w:val="619D6A40"/>
    <w:rsid w:val="61A22D98"/>
    <w:rsid w:val="61B45F39"/>
    <w:rsid w:val="61CB22EF"/>
    <w:rsid w:val="61D5316E"/>
    <w:rsid w:val="61E11B13"/>
    <w:rsid w:val="61F86A22"/>
    <w:rsid w:val="620F48D2"/>
    <w:rsid w:val="621D1C22"/>
    <w:rsid w:val="621E6D6E"/>
    <w:rsid w:val="623913D7"/>
    <w:rsid w:val="626562A0"/>
    <w:rsid w:val="627E7362"/>
    <w:rsid w:val="62886432"/>
    <w:rsid w:val="628C3854"/>
    <w:rsid w:val="62946B85"/>
    <w:rsid w:val="62A0552A"/>
    <w:rsid w:val="62A3501A"/>
    <w:rsid w:val="62BE478A"/>
    <w:rsid w:val="62E36596"/>
    <w:rsid w:val="62F37D50"/>
    <w:rsid w:val="630C0E11"/>
    <w:rsid w:val="631101D6"/>
    <w:rsid w:val="63116428"/>
    <w:rsid w:val="63141E0D"/>
    <w:rsid w:val="63193BD8"/>
    <w:rsid w:val="631C2A11"/>
    <w:rsid w:val="632779F9"/>
    <w:rsid w:val="63304B00"/>
    <w:rsid w:val="63343EC4"/>
    <w:rsid w:val="63407844"/>
    <w:rsid w:val="6353259C"/>
    <w:rsid w:val="636C36C9"/>
    <w:rsid w:val="637D3ABD"/>
    <w:rsid w:val="63844E4C"/>
    <w:rsid w:val="63892462"/>
    <w:rsid w:val="639332E1"/>
    <w:rsid w:val="63AE6BBE"/>
    <w:rsid w:val="63B84AF5"/>
    <w:rsid w:val="63BF7C32"/>
    <w:rsid w:val="63CF603E"/>
    <w:rsid w:val="63E9475B"/>
    <w:rsid w:val="63F91396"/>
    <w:rsid w:val="63FF2724"/>
    <w:rsid w:val="64005157"/>
    <w:rsid w:val="642576BE"/>
    <w:rsid w:val="64281C7B"/>
    <w:rsid w:val="6429154F"/>
    <w:rsid w:val="642A59F3"/>
    <w:rsid w:val="642D3CD7"/>
    <w:rsid w:val="643028DD"/>
    <w:rsid w:val="64393E88"/>
    <w:rsid w:val="643E4095"/>
    <w:rsid w:val="644545DB"/>
    <w:rsid w:val="64610CE9"/>
    <w:rsid w:val="647D2A33"/>
    <w:rsid w:val="648F5856"/>
    <w:rsid w:val="649D0E83"/>
    <w:rsid w:val="64C33B59"/>
    <w:rsid w:val="64C64FF0"/>
    <w:rsid w:val="64D43BB1"/>
    <w:rsid w:val="64D63485"/>
    <w:rsid w:val="64E9765C"/>
    <w:rsid w:val="64F24F67"/>
    <w:rsid w:val="64F831CA"/>
    <w:rsid w:val="650049A6"/>
    <w:rsid w:val="65013BE5"/>
    <w:rsid w:val="65085608"/>
    <w:rsid w:val="655D3BA6"/>
    <w:rsid w:val="65605444"/>
    <w:rsid w:val="656767D3"/>
    <w:rsid w:val="657E6936"/>
    <w:rsid w:val="65842EE1"/>
    <w:rsid w:val="658C6239"/>
    <w:rsid w:val="65931376"/>
    <w:rsid w:val="65A90B99"/>
    <w:rsid w:val="65AC2438"/>
    <w:rsid w:val="65B37365"/>
    <w:rsid w:val="65C028F8"/>
    <w:rsid w:val="65E73470"/>
    <w:rsid w:val="65ED377F"/>
    <w:rsid w:val="65FE0EE5"/>
    <w:rsid w:val="6609566A"/>
    <w:rsid w:val="660D1128"/>
    <w:rsid w:val="661029C7"/>
    <w:rsid w:val="662B5A52"/>
    <w:rsid w:val="6646288C"/>
    <w:rsid w:val="665C20B0"/>
    <w:rsid w:val="668C4B37"/>
    <w:rsid w:val="668F4233"/>
    <w:rsid w:val="66AB743B"/>
    <w:rsid w:val="66AC6B93"/>
    <w:rsid w:val="66B43F3A"/>
    <w:rsid w:val="66B45A48"/>
    <w:rsid w:val="66B71094"/>
    <w:rsid w:val="66CA3897"/>
    <w:rsid w:val="66CC2D91"/>
    <w:rsid w:val="66D02156"/>
    <w:rsid w:val="66D9725C"/>
    <w:rsid w:val="66DE4873"/>
    <w:rsid w:val="66FF0F75"/>
    <w:rsid w:val="67050051"/>
    <w:rsid w:val="670D5158"/>
    <w:rsid w:val="67193AFD"/>
    <w:rsid w:val="671B7875"/>
    <w:rsid w:val="673F7A07"/>
    <w:rsid w:val="6747066A"/>
    <w:rsid w:val="674C3ED2"/>
    <w:rsid w:val="67512323"/>
    <w:rsid w:val="6773114E"/>
    <w:rsid w:val="67766CBA"/>
    <w:rsid w:val="67801DCE"/>
    <w:rsid w:val="679F04A6"/>
    <w:rsid w:val="679F727C"/>
    <w:rsid w:val="67C972D1"/>
    <w:rsid w:val="67DA7801"/>
    <w:rsid w:val="67F87BB6"/>
    <w:rsid w:val="680622D3"/>
    <w:rsid w:val="680B78E9"/>
    <w:rsid w:val="681C38A5"/>
    <w:rsid w:val="68210EBB"/>
    <w:rsid w:val="68356714"/>
    <w:rsid w:val="68751207"/>
    <w:rsid w:val="687A05CB"/>
    <w:rsid w:val="68824D33"/>
    <w:rsid w:val="689C6ECA"/>
    <w:rsid w:val="68A613C0"/>
    <w:rsid w:val="68AF64C7"/>
    <w:rsid w:val="68BE670A"/>
    <w:rsid w:val="68C36416"/>
    <w:rsid w:val="68CB0E27"/>
    <w:rsid w:val="68D0643D"/>
    <w:rsid w:val="68DF01D0"/>
    <w:rsid w:val="68E02377"/>
    <w:rsid w:val="68E1689C"/>
    <w:rsid w:val="68E819D9"/>
    <w:rsid w:val="68F16B1A"/>
    <w:rsid w:val="69100B24"/>
    <w:rsid w:val="69232A11"/>
    <w:rsid w:val="6924351D"/>
    <w:rsid w:val="692C5D69"/>
    <w:rsid w:val="69307CA5"/>
    <w:rsid w:val="69382960"/>
    <w:rsid w:val="693B41FE"/>
    <w:rsid w:val="69614264"/>
    <w:rsid w:val="69863787"/>
    <w:rsid w:val="69877444"/>
    <w:rsid w:val="698E2580"/>
    <w:rsid w:val="699B6A4B"/>
    <w:rsid w:val="699D27C3"/>
    <w:rsid w:val="69A9560C"/>
    <w:rsid w:val="69C441F4"/>
    <w:rsid w:val="69C566D9"/>
    <w:rsid w:val="6A10568B"/>
    <w:rsid w:val="6A1C24AC"/>
    <w:rsid w:val="6A211646"/>
    <w:rsid w:val="6A2C025F"/>
    <w:rsid w:val="6A350C4E"/>
    <w:rsid w:val="6A356EA0"/>
    <w:rsid w:val="6A3D3FA6"/>
    <w:rsid w:val="6A3E127E"/>
    <w:rsid w:val="6A3F7D1E"/>
    <w:rsid w:val="6A430159"/>
    <w:rsid w:val="6A462E5B"/>
    <w:rsid w:val="6A77122D"/>
    <w:rsid w:val="6A890F99"/>
    <w:rsid w:val="6A8A71EB"/>
    <w:rsid w:val="6A95793E"/>
    <w:rsid w:val="6AC10733"/>
    <w:rsid w:val="6AC45A77"/>
    <w:rsid w:val="6ACB7804"/>
    <w:rsid w:val="6ACD70D8"/>
    <w:rsid w:val="6AE52674"/>
    <w:rsid w:val="6AE8713D"/>
    <w:rsid w:val="6AFC176B"/>
    <w:rsid w:val="6AFD2840"/>
    <w:rsid w:val="6B030D4C"/>
    <w:rsid w:val="6B166CD1"/>
    <w:rsid w:val="6B2D7B77"/>
    <w:rsid w:val="6B312DD7"/>
    <w:rsid w:val="6B340A48"/>
    <w:rsid w:val="6B3E47D4"/>
    <w:rsid w:val="6B4707E0"/>
    <w:rsid w:val="6B513865"/>
    <w:rsid w:val="6B5E4777"/>
    <w:rsid w:val="6B685053"/>
    <w:rsid w:val="6B6B1A12"/>
    <w:rsid w:val="6B741C4A"/>
    <w:rsid w:val="6B7834E8"/>
    <w:rsid w:val="6B8005EE"/>
    <w:rsid w:val="6B8754D9"/>
    <w:rsid w:val="6B9136FA"/>
    <w:rsid w:val="6B9419A4"/>
    <w:rsid w:val="6B96396E"/>
    <w:rsid w:val="6B982F93"/>
    <w:rsid w:val="6B9A1791"/>
    <w:rsid w:val="6BA34FFB"/>
    <w:rsid w:val="6BA50055"/>
    <w:rsid w:val="6BC24763"/>
    <w:rsid w:val="6BCD1045"/>
    <w:rsid w:val="6BE11C11"/>
    <w:rsid w:val="6BE64B4B"/>
    <w:rsid w:val="6BEA3CBA"/>
    <w:rsid w:val="6C240F7A"/>
    <w:rsid w:val="6C3513D9"/>
    <w:rsid w:val="6C3A079D"/>
    <w:rsid w:val="6C44786E"/>
    <w:rsid w:val="6C4B6506"/>
    <w:rsid w:val="6C4E4249"/>
    <w:rsid w:val="6C5129E2"/>
    <w:rsid w:val="6C5506F2"/>
    <w:rsid w:val="6C6677E4"/>
    <w:rsid w:val="6C9E6F7E"/>
    <w:rsid w:val="6CDC2C6D"/>
    <w:rsid w:val="6CE10C19"/>
    <w:rsid w:val="6CF21078"/>
    <w:rsid w:val="6CFC5A53"/>
    <w:rsid w:val="6D0372EA"/>
    <w:rsid w:val="6D231810"/>
    <w:rsid w:val="6D394EF9"/>
    <w:rsid w:val="6D5E670D"/>
    <w:rsid w:val="6D6F4477"/>
    <w:rsid w:val="6D723F67"/>
    <w:rsid w:val="6D7E0B5E"/>
    <w:rsid w:val="6D836174"/>
    <w:rsid w:val="6D851EEC"/>
    <w:rsid w:val="6D981C1F"/>
    <w:rsid w:val="6DA926D7"/>
    <w:rsid w:val="6DB450BF"/>
    <w:rsid w:val="6E07354D"/>
    <w:rsid w:val="6E0F6806"/>
    <w:rsid w:val="6E162B44"/>
    <w:rsid w:val="6E2E4332"/>
    <w:rsid w:val="6E311A26"/>
    <w:rsid w:val="6E327D16"/>
    <w:rsid w:val="6E340ADE"/>
    <w:rsid w:val="6E421B8B"/>
    <w:rsid w:val="6E423939"/>
    <w:rsid w:val="6E445903"/>
    <w:rsid w:val="6E587601"/>
    <w:rsid w:val="6E6164B5"/>
    <w:rsid w:val="6E66587A"/>
    <w:rsid w:val="6E6C6C08"/>
    <w:rsid w:val="6E7D2BC3"/>
    <w:rsid w:val="6E91041D"/>
    <w:rsid w:val="6EA6036C"/>
    <w:rsid w:val="6EC407F2"/>
    <w:rsid w:val="6EC95E08"/>
    <w:rsid w:val="6ED07197"/>
    <w:rsid w:val="6ED749C9"/>
    <w:rsid w:val="6EDD18B4"/>
    <w:rsid w:val="6EED1AF7"/>
    <w:rsid w:val="6EF47329"/>
    <w:rsid w:val="6EF61A2E"/>
    <w:rsid w:val="6F094457"/>
    <w:rsid w:val="6F213E96"/>
    <w:rsid w:val="6F264707"/>
    <w:rsid w:val="6F287EEA"/>
    <w:rsid w:val="6F3C65DA"/>
    <w:rsid w:val="6F3E2352"/>
    <w:rsid w:val="6F667AFB"/>
    <w:rsid w:val="6F8868C3"/>
    <w:rsid w:val="6F975F07"/>
    <w:rsid w:val="6FA91F9C"/>
    <w:rsid w:val="6FAF14A2"/>
    <w:rsid w:val="6FB72105"/>
    <w:rsid w:val="6FB816D6"/>
    <w:rsid w:val="6FB97698"/>
    <w:rsid w:val="6FBF4D77"/>
    <w:rsid w:val="6FC33FD3"/>
    <w:rsid w:val="6FC36CFC"/>
    <w:rsid w:val="6FD26F3F"/>
    <w:rsid w:val="6FD35191"/>
    <w:rsid w:val="6FD902CD"/>
    <w:rsid w:val="6FEF5D43"/>
    <w:rsid w:val="6FF11ABB"/>
    <w:rsid w:val="70020F25"/>
    <w:rsid w:val="70161236"/>
    <w:rsid w:val="70246632"/>
    <w:rsid w:val="70316526"/>
    <w:rsid w:val="70335C2F"/>
    <w:rsid w:val="704936A5"/>
    <w:rsid w:val="704F3A64"/>
    <w:rsid w:val="70514A97"/>
    <w:rsid w:val="7053007F"/>
    <w:rsid w:val="705771E1"/>
    <w:rsid w:val="7060454A"/>
    <w:rsid w:val="70657DB3"/>
    <w:rsid w:val="707B1384"/>
    <w:rsid w:val="70827FC5"/>
    <w:rsid w:val="7084648B"/>
    <w:rsid w:val="70934920"/>
    <w:rsid w:val="70983CE4"/>
    <w:rsid w:val="709D579F"/>
    <w:rsid w:val="70B34FC2"/>
    <w:rsid w:val="70C3664D"/>
    <w:rsid w:val="70C8281B"/>
    <w:rsid w:val="70D25448"/>
    <w:rsid w:val="70E94540"/>
    <w:rsid w:val="70ED7C8F"/>
    <w:rsid w:val="70F76C5D"/>
    <w:rsid w:val="711315BD"/>
    <w:rsid w:val="711E68DF"/>
    <w:rsid w:val="712D6B22"/>
    <w:rsid w:val="71321543"/>
    <w:rsid w:val="713C0114"/>
    <w:rsid w:val="714A76D4"/>
    <w:rsid w:val="716420E7"/>
    <w:rsid w:val="717C7162"/>
    <w:rsid w:val="717D0733"/>
    <w:rsid w:val="718129CA"/>
    <w:rsid w:val="718B3849"/>
    <w:rsid w:val="718B55F7"/>
    <w:rsid w:val="71930676"/>
    <w:rsid w:val="71AF12E6"/>
    <w:rsid w:val="71B25848"/>
    <w:rsid w:val="71C72AD3"/>
    <w:rsid w:val="71CF1988"/>
    <w:rsid w:val="71CF7BDA"/>
    <w:rsid w:val="71E75A6F"/>
    <w:rsid w:val="71F17B50"/>
    <w:rsid w:val="71F4319C"/>
    <w:rsid w:val="71FB3134"/>
    <w:rsid w:val="72042A31"/>
    <w:rsid w:val="720B67F9"/>
    <w:rsid w:val="722A54E3"/>
    <w:rsid w:val="723D2D95"/>
    <w:rsid w:val="723E08BB"/>
    <w:rsid w:val="72482193"/>
    <w:rsid w:val="72534367"/>
    <w:rsid w:val="72887C10"/>
    <w:rsid w:val="72B172DF"/>
    <w:rsid w:val="72B312A9"/>
    <w:rsid w:val="72B83871"/>
    <w:rsid w:val="72E04DCA"/>
    <w:rsid w:val="72E66F89"/>
    <w:rsid w:val="72EB27F1"/>
    <w:rsid w:val="72F62F44"/>
    <w:rsid w:val="72FE5336"/>
    <w:rsid w:val="730E4732"/>
    <w:rsid w:val="73104006"/>
    <w:rsid w:val="731955B0"/>
    <w:rsid w:val="732775A1"/>
    <w:rsid w:val="732A2ECC"/>
    <w:rsid w:val="733B6678"/>
    <w:rsid w:val="7341797A"/>
    <w:rsid w:val="73441F01"/>
    <w:rsid w:val="736D1458"/>
    <w:rsid w:val="738A200A"/>
    <w:rsid w:val="739C40C9"/>
    <w:rsid w:val="73A34E7A"/>
    <w:rsid w:val="73B36F29"/>
    <w:rsid w:val="73CC7D67"/>
    <w:rsid w:val="73F27BAF"/>
    <w:rsid w:val="740A6721"/>
    <w:rsid w:val="742001FF"/>
    <w:rsid w:val="74237D69"/>
    <w:rsid w:val="7428781D"/>
    <w:rsid w:val="7434741F"/>
    <w:rsid w:val="744A79EB"/>
    <w:rsid w:val="74687E72"/>
    <w:rsid w:val="74806F69"/>
    <w:rsid w:val="74A23383"/>
    <w:rsid w:val="74A569D0"/>
    <w:rsid w:val="74A7099A"/>
    <w:rsid w:val="74B22940"/>
    <w:rsid w:val="74B442C2"/>
    <w:rsid w:val="74BA5BB7"/>
    <w:rsid w:val="74CA6436"/>
    <w:rsid w:val="74D06143"/>
    <w:rsid w:val="74D379E1"/>
    <w:rsid w:val="74D635B7"/>
    <w:rsid w:val="74F02341"/>
    <w:rsid w:val="74FC0CE6"/>
    <w:rsid w:val="750C6A4F"/>
    <w:rsid w:val="751A116C"/>
    <w:rsid w:val="751F6635"/>
    <w:rsid w:val="75226272"/>
    <w:rsid w:val="75267B11"/>
    <w:rsid w:val="75526B58"/>
    <w:rsid w:val="755C09F2"/>
    <w:rsid w:val="75653147"/>
    <w:rsid w:val="756710B7"/>
    <w:rsid w:val="75790588"/>
    <w:rsid w:val="758D4034"/>
    <w:rsid w:val="75A03D67"/>
    <w:rsid w:val="75B0548E"/>
    <w:rsid w:val="75C02ABC"/>
    <w:rsid w:val="75C17839"/>
    <w:rsid w:val="75DE4BCA"/>
    <w:rsid w:val="75E33C54"/>
    <w:rsid w:val="75EA0EF3"/>
    <w:rsid w:val="75ED7C1C"/>
    <w:rsid w:val="75FF0C10"/>
    <w:rsid w:val="761756AB"/>
    <w:rsid w:val="7622555B"/>
    <w:rsid w:val="7625601A"/>
    <w:rsid w:val="763C4442"/>
    <w:rsid w:val="764D37C3"/>
    <w:rsid w:val="76581A91"/>
    <w:rsid w:val="767B079C"/>
    <w:rsid w:val="76816FC9"/>
    <w:rsid w:val="76822936"/>
    <w:rsid w:val="768371E5"/>
    <w:rsid w:val="76902210"/>
    <w:rsid w:val="769431A0"/>
    <w:rsid w:val="76AA29C3"/>
    <w:rsid w:val="76C05D43"/>
    <w:rsid w:val="76DA32A9"/>
    <w:rsid w:val="76E81A30"/>
    <w:rsid w:val="76E90381"/>
    <w:rsid w:val="77130569"/>
    <w:rsid w:val="773D2647"/>
    <w:rsid w:val="774B7D02"/>
    <w:rsid w:val="77707769"/>
    <w:rsid w:val="77814680"/>
    <w:rsid w:val="778337AB"/>
    <w:rsid w:val="77846FB8"/>
    <w:rsid w:val="77A2369A"/>
    <w:rsid w:val="77A63819"/>
    <w:rsid w:val="77A67875"/>
    <w:rsid w:val="77A92C7B"/>
    <w:rsid w:val="77B801ED"/>
    <w:rsid w:val="77C80AC5"/>
    <w:rsid w:val="77CB2BF1"/>
    <w:rsid w:val="77CE4490"/>
    <w:rsid w:val="77DF044B"/>
    <w:rsid w:val="77E31CE9"/>
    <w:rsid w:val="77E872FF"/>
    <w:rsid w:val="780B1240"/>
    <w:rsid w:val="78106856"/>
    <w:rsid w:val="78170A16"/>
    <w:rsid w:val="781A76D5"/>
    <w:rsid w:val="78310674"/>
    <w:rsid w:val="78373E11"/>
    <w:rsid w:val="784210E3"/>
    <w:rsid w:val="784D7AAA"/>
    <w:rsid w:val="786D5A56"/>
    <w:rsid w:val="787E5EB6"/>
    <w:rsid w:val="787F6100"/>
    <w:rsid w:val="78917997"/>
    <w:rsid w:val="789254BD"/>
    <w:rsid w:val="789974DC"/>
    <w:rsid w:val="78B2790D"/>
    <w:rsid w:val="78B91D09"/>
    <w:rsid w:val="78BE7C47"/>
    <w:rsid w:val="78CB3F46"/>
    <w:rsid w:val="78CC09CF"/>
    <w:rsid w:val="78CF4397"/>
    <w:rsid w:val="78F34C7F"/>
    <w:rsid w:val="78F63C9E"/>
    <w:rsid w:val="79221C6D"/>
    <w:rsid w:val="79366790"/>
    <w:rsid w:val="7947274B"/>
    <w:rsid w:val="794F33AE"/>
    <w:rsid w:val="79523EBC"/>
    <w:rsid w:val="798621E8"/>
    <w:rsid w:val="79865022"/>
    <w:rsid w:val="798E2128"/>
    <w:rsid w:val="799A6D1F"/>
    <w:rsid w:val="79A260E7"/>
    <w:rsid w:val="79AA714E"/>
    <w:rsid w:val="79D35D8D"/>
    <w:rsid w:val="79D83DD5"/>
    <w:rsid w:val="79EE4BAA"/>
    <w:rsid w:val="7A1A39BC"/>
    <w:rsid w:val="7A1E34AC"/>
    <w:rsid w:val="7A235EEB"/>
    <w:rsid w:val="7A266B63"/>
    <w:rsid w:val="7A3031E0"/>
    <w:rsid w:val="7A6B246A"/>
    <w:rsid w:val="7A805F15"/>
    <w:rsid w:val="7A996FD7"/>
    <w:rsid w:val="7A9E283F"/>
    <w:rsid w:val="7AA2343E"/>
    <w:rsid w:val="7AB160CE"/>
    <w:rsid w:val="7AB9077E"/>
    <w:rsid w:val="7ABC3569"/>
    <w:rsid w:val="7ABC4A73"/>
    <w:rsid w:val="7AC1355A"/>
    <w:rsid w:val="7AD1051F"/>
    <w:rsid w:val="7AD57BBA"/>
    <w:rsid w:val="7AED2E7F"/>
    <w:rsid w:val="7AEE19F1"/>
    <w:rsid w:val="7B05641A"/>
    <w:rsid w:val="7B09588B"/>
    <w:rsid w:val="7B0A1C83"/>
    <w:rsid w:val="7B38059E"/>
    <w:rsid w:val="7B445194"/>
    <w:rsid w:val="7B4927AB"/>
    <w:rsid w:val="7B5D6256"/>
    <w:rsid w:val="7B633D7E"/>
    <w:rsid w:val="7B6B0973"/>
    <w:rsid w:val="7B784B47"/>
    <w:rsid w:val="7B7A0497"/>
    <w:rsid w:val="7B8459A5"/>
    <w:rsid w:val="7B8E6410"/>
    <w:rsid w:val="7B9E498E"/>
    <w:rsid w:val="7BB37C24"/>
    <w:rsid w:val="7BBC2F7D"/>
    <w:rsid w:val="7BBF481B"/>
    <w:rsid w:val="7BC97448"/>
    <w:rsid w:val="7BD429E9"/>
    <w:rsid w:val="7BF72207"/>
    <w:rsid w:val="7C013085"/>
    <w:rsid w:val="7C066C1E"/>
    <w:rsid w:val="7C4B4301"/>
    <w:rsid w:val="7C531ACA"/>
    <w:rsid w:val="7C562FD2"/>
    <w:rsid w:val="7C570EF7"/>
    <w:rsid w:val="7C66113B"/>
    <w:rsid w:val="7C75312C"/>
    <w:rsid w:val="7C8B0BA1"/>
    <w:rsid w:val="7CB77BE8"/>
    <w:rsid w:val="7CC145C3"/>
    <w:rsid w:val="7CC92247"/>
    <w:rsid w:val="7CF16C56"/>
    <w:rsid w:val="7CF90201"/>
    <w:rsid w:val="7D0050EB"/>
    <w:rsid w:val="7D0E1FE7"/>
    <w:rsid w:val="7D122714"/>
    <w:rsid w:val="7D360B0D"/>
    <w:rsid w:val="7D3B25C7"/>
    <w:rsid w:val="7D3B6123"/>
    <w:rsid w:val="7D5316BF"/>
    <w:rsid w:val="7D562D74"/>
    <w:rsid w:val="7D565045"/>
    <w:rsid w:val="7D7B6E68"/>
    <w:rsid w:val="7D7F0EF0"/>
    <w:rsid w:val="7D930D15"/>
    <w:rsid w:val="7D965A4F"/>
    <w:rsid w:val="7D971A5F"/>
    <w:rsid w:val="7D9C499E"/>
    <w:rsid w:val="7DAB14FB"/>
    <w:rsid w:val="7DB0216B"/>
    <w:rsid w:val="7DCE4049"/>
    <w:rsid w:val="7DD30A52"/>
    <w:rsid w:val="7DD65E4C"/>
    <w:rsid w:val="7DE20C95"/>
    <w:rsid w:val="7DFF2FAA"/>
    <w:rsid w:val="7E0D39C9"/>
    <w:rsid w:val="7E1075B0"/>
    <w:rsid w:val="7E1D3A7B"/>
    <w:rsid w:val="7E1F3C97"/>
    <w:rsid w:val="7E3C2153"/>
    <w:rsid w:val="7E406C79"/>
    <w:rsid w:val="7E484F9C"/>
    <w:rsid w:val="7E573431"/>
    <w:rsid w:val="7E6A1DB7"/>
    <w:rsid w:val="7E724B78"/>
    <w:rsid w:val="7E7917B5"/>
    <w:rsid w:val="7E7E6C0F"/>
    <w:rsid w:val="7E9B156F"/>
    <w:rsid w:val="7EAE37FE"/>
    <w:rsid w:val="7EB42631"/>
    <w:rsid w:val="7EBE700C"/>
    <w:rsid w:val="7EC65EC0"/>
    <w:rsid w:val="7ED259E0"/>
    <w:rsid w:val="7ED834C2"/>
    <w:rsid w:val="7EE320A4"/>
    <w:rsid w:val="7EFE7B43"/>
    <w:rsid w:val="7F1B445E"/>
    <w:rsid w:val="7F201A75"/>
    <w:rsid w:val="7F250E39"/>
    <w:rsid w:val="7F286B7B"/>
    <w:rsid w:val="7F2D4191"/>
    <w:rsid w:val="7F3948E4"/>
    <w:rsid w:val="7F405C73"/>
    <w:rsid w:val="7F427C3D"/>
    <w:rsid w:val="7F802513"/>
    <w:rsid w:val="7F842003"/>
    <w:rsid w:val="7F8E2E82"/>
    <w:rsid w:val="7FA44454"/>
    <w:rsid w:val="7FAE52D2"/>
    <w:rsid w:val="7FB36445"/>
    <w:rsid w:val="7FBE4DEA"/>
    <w:rsid w:val="7FBF303C"/>
    <w:rsid w:val="7FC76394"/>
    <w:rsid w:val="7FC92171"/>
    <w:rsid w:val="7FCE7723"/>
    <w:rsid w:val="7FE56043"/>
    <w:rsid w:val="7FF007FC"/>
    <w:rsid w:val="7FF10ED1"/>
    <w:rsid w:val="7FF95A9E"/>
    <w:rsid w:val="7FFA68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99"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nhideWhenUsed="0" w:uiPriority="0"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0"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unhideWhenUsed/>
    <w:qFormat/>
    <w:uiPriority w:val="1"/>
    <w:pPr>
      <w:widowControl w:val="0"/>
      <w:autoSpaceDE w:val="0"/>
      <w:autoSpaceDN w:val="0"/>
      <w:adjustRightInd w:val="0"/>
    </w:pPr>
    <w:rPr>
      <w:rFonts w:hint="default" w:ascii="Times New Roman" w:hAnsi="Times New Roman" w:eastAsia="宋体" w:cs="Times New Roman"/>
      <w:sz w:val="24"/>
      <w:szCs w:val="24"/>
    </w:rPr>
  </w:style>
  <w:style w:type="paragraph" w:styleId="4">
    <w:name w:val="heading 1"/>
    <w:basedOn w:val="1"/>
    <w:next w:val="1"/>
    <w:autoRedefine/>
    <w:unhideWhenUsed/>
    <w:qFormat/>
    <w:uiPriority w:val="1"/>
    <w:pPr>
      <w:ind w:left="3"/>
      <w:jc w:val="center"/>
      <w:outlineLvl w:val="0"/>
    </w:pPr>
    <w:rPr>
      <w:rFonts w:hint="eastAsia" w:ascii="Microsoft JhengHei" w:hAnsi="Microsoft JhengHei" w:eastAsia="Microsoft JhengHei"/>
      <w:b/>
      <w:sz w:val="44"/>
      <w:szCs w:val="24"/>
    </w:rPr>
  </w:style>
  <w:style w:type="paragraph" w:styleId="5">
    <w:name w:val="heading 2"/>
    <w:basedOn w:val="1"/>
    <w:next w:val="1"/>
    <w:link w:val="38"/>
    <w:autoRedefine/>
    <w:unhideWhenUsed/>
    <w:qFormat/>
    <w:uiPriority w:val="1"/>
    <w:pPr>
      <w:ind w:left="3"/>
      <w:jc w:val="center"/>
      <w:outlineLvl w:val="1"/>
    </w:pPr>
    <w:rPr>
      <w:rFonts w:hint="default" w:ascii="宋体" w:hAnsi="宋体" w:eastAsia="宋体"/>
      <w:sz w:val="30"/>
      <w:szCs w:val="24"/>
    </w:rPr>
  </w:style>
  <w:style w:type="paragraph" w:styleId="6">
    <w:name w:val="heading 3"/>
    <w:basedOn w:val="1"/>
    <w:next w:val="1"/>
    <w:link w:val="30"/>
    <w:autoRedefine/>
    <w:unhideWhenUsed/>
    <w:qFormat/>
    <w:uiPriority w:val="1"/>
    <w:pPr>
      <w:spacing w:before="50" w:beforeLines="50" w:after="50" w:afterLines="50" w:line="360" w:lineRule="auto"/>
      <w:outlineLvl w:val="2"/>
    </w:pPr>
    <w:rPr>
      <w:rFonts w:hint="default" w:ascii="宋体" w:hAnsi="宋体" w:eastAsia="宋体"/>
      <w:b/>
      <w:sz w:val="24"/>
      <w:szCs w:val="24"/>
    </w:rPr>
  </w:style>
  <w:style w:type="paragraph" w:styleId="7">
    <w:name w:val="heading 4"/>
    <w:basedOn w:val="1"/>
    <w:next w:val="1"/>
    <w:unhideWhenUsed/>
    <w:qFormat/>
    <w:uiPriority w:val="1"/>
    <w:pPr>
      <w:outlineLvl w:val="3"/>
    </w:pPr>
    <w:rPr>
      <w:rFonts w:hint="default" w:ascii="宋体" w:hAnsi="宋体" w:eastAsia="宋体"/>
      <w:sz w:val="28"/>
      <w:szCs w:val="24"/>
    </w:rPr>
  </w:style>
  <w:style w:type="paragraph" w:styleId="8">
    <w:name w:val="heading 5"/>
    <w:basedOn w:val="1"/>
    <w:next w:val="1"/>
    <w:autoRedefine/>
    <w:unhideWhenUsed/>
    <w:qFormat/>
    <w:uiPriority w:val="1"/>
    <w:pPr>
      <w:ind w:left="237"/>
      <w:outlineLvl w:val="4"/>
    </w:pPr>
    <w:rPr>
      <w:rFonts w:hint="default" w:ascii="宋体" w:hAnsi="宋体" w:eastAsia="宋体"/>
      <w:sz w:val="28"/>
      <w:szCs w:val="24"/>
    </w:rPr>
  </w:style>
  <w:style w:type="paragraph" w:styleId="9">
    <w:name w:val="heading 6"/>
    <w:basedOn w:val="1"/>
    <w:next w:val="1"/>
    <w:autoRedefine/>
    <w:unhideWhenUsed/>
    <w:qFormat/>
    <w:uiPriority w:val="1"/>
    <w:pPr>
      <w:ind w:left="513"/>
      <w:outlineLvl w:val="5"/>
    </w:pPr>
    <w:rPr>
      <w:rFonts w:hint="eastAsia" w:ascii="Times New Roman" w:hAnsi="Times New Roman" w:eastAsia="Times New Roman"/>
      <w:b/>
      <w:sz w:val="21"/>
      <w:szCs w:val="24"/>
    </w:rPr>
  </w:style>
  <w:style w:type="character" w:default="1" w:styleId="24">
    <w:name w:val="Default Paragraph Font"/>
    <w:unhideWhenUsed/>
    <w:qFormat/>
    <w:uiPriority w:val="99"/>
    <w:rPr>
      <w:rFonts w:hint="default"/>
      <w:sz w:val="24"/>
      <w:szCs w:val="24"/>
    </w:rPr>
  </w:style>
  <w:style w:type="table" w:default="1" w:styleId="22">
    <w:name w:val="Normal Table"/>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ind w:firstLine="420"/>
    </w:pPr>
    <w:rPr>
      <w:rFonts w:hint="eastAsia" w:ascii="Times New Roman" w:hAnsi="Times New Roman" w:eastAsia="楷体_GB2312"/>
      <w:sz w:val="20"/>
      <w:szCs w:val="24"/>
    </w:rPr>
  </w:style>
  <w:style w:type="paragraph" w:styleId="3">
    <w:name w:val="Body Text"/>
    <w:basedOn w:val="1"/>
    <w:unhideWhenUsed/>
    <w:qFormat/>
    <w:uiPriority w:val="1"/>
    <w:pPr>
      <w:ind w:left="520"/>
    </w:pPr>
    <w:rPr>
      <w:rFonts w:hint="default" w:ascii="宋体" w:hAnsi="宋体" w:eastAsia="宋体"/>
      <w:sz w:val="21"/>
      <w:szCs w:val="24"/>
    </w:rPr>
  </w:style>
  <w:style w:type="paragraph" w:styleId="10">
    <w:name w:val="annotation text"/>
    <w:basedOn w:val="1"/>
    <w:unhideWhenUsed/>
    <w:qFormat/>
    <w:uiPriority w:val="99"/>
    <w:pPr>
      <w:jc w:val="left"/>
    </w:pPr>
  </w:style>
  <w:style w:type="paragraph" w:styleId="11">
    <w:name w:val="Body Text 3"/>
    <w:basedOn w:val="1"/>
    <w:unhideWhenUsed/>
    <w:qFormat/>
    <w:uiPriority w:val="0"/>
    <w:pPr>
      <w:widowControl w:val="0"/>
      <w:spacing w:beforeLines="0" w:after="120" w:afterLines="0"/>
      <w:jc w:val="both"/>
    </w:pPr>
    <w:rPr>
      <w:rFonts w:hint="eastAsia" w:ascii="Times New Roman" w:hAnsi="Times New Roman" w:eastAsia="Times New Roman" w:cs="Times New Roman"/>
      <w:kern w:val="2"/>
      <w:sz w:val="16"/>
      <w:szCs w:val="16"/>
      <w:lang w:val="en-US" w:eastAsia="zh-CN" w:bidi="ar-SA"/>
    </w:rPr>
  </w:style>
  <w:style w:type="paragraph" w:styleId="12">
    <w:name w:val="toc 3"/>
    <w:basedOn w:val="1"/>
    <w:next w:val="1"/>
    <w:qFormat/>
    <w:uiPriority w:val="99"/>
    <w:pPr>
      <w:ind w:left="840" w:leftChars="400"/>
    </w:pPr>
  </w:style>
  <w:style w:type="paragraph" w:styleId="13">
    <w:name w:val="Plain Text"/>
    <w:basedOn w:val="1"/>
    <w:next w:val="14"/>
    <w:unhideWhenUsed/>
    <w:qFormat/>
    <w:uiPriority w:val="0"/>
    <w:rPr>
      <w:rFonts w:hint="default" w:ascii="宋体" w:hAnsi="Courier New" w:eastAsia="宋体"/>
      <w:sz w:val="24"/>
      <w:szCs w:val="24"/>
    </w:rPr>
  </w:style>
  <w:style w:type="paragraph" w:customStyle="1" w:styleId="1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5">
    <w:name w:val="footer"/>
    <w:basedOn w:val="1"/>
    <w:unhideWhenUsed/>
    <w:qFormat/>
    <w:uiPriority w:val="99"/>
    <w:pPr>
      <w:tabs>
        <w:tab w:val="center" w:pos="4153"/>
        <w:tab w:val="right" w:pos="8306"/>
      </w:tabs>
      <w:snapToGrid w:val="0"/>
    </w:pPr>
    <w:rPr>
      <w:rFonts w:hint="default"/>
      <w:sz w:val="18"/>
      <w:szCs w:val="24"/>
    </w:rPr>
  </w:style>
  <w:style w:type="paragraph" w:styleId="16">
    <w:name w:val="header"/>
    <w:basedOn w:val="1"/>
    <w:unhideWhenUsed/>
    <w:qFormat/>
    <w:uiPriority w:val="99"/>
    <w:pPr>
      <w:tabs>
        <w:tab w:val="center" w:pos="4153"/>
        <w:tab w:val="right" w:pos="8306"/>
      </w:tabs>
      <w:snapToGrid w:val="0"/>
      <w:jc w:val="both"/>
    </w:pPr>
    <w:rPr>
      <w:rFonts w:hint="default"/>
      <w:sz w:val="18"/>
      <w:szCs w:val="24"/>
    </w:rPr>
  </w:style>
  <w:style w:type="paragraph" w:styleId="17">
    <w:name w:val="toc 1"/>
    <w:basedOn w:val="1"/>
    <w:next w:val="1"/>
    <w:qFormat/>
    <w:uiPriority w:val="99"/>
  </w:style>
  <w:style w:type="paragraph" w:styleId="18">
    <w:name w:val="toc 2"/>
    <w:basedOn w:val="1"/>
    <w:next w:val="1"/>
    <w:qFormat/>
    <w:uiPriority w:val="99"/>
    <w:pPr>
      <w:ind w:left="420" w:leftChars="200"/>
    </w:pPr>
  </w:style>
  <w:style w:type="paragraph" w:styleId="19">
    <w:name w:val="Normal (Web)"/>
    <w:basedOn w:val="1"/>
    <w:unhideWhenUsed/>
    <w:qFormat/>
    <w:uiPriority w:val="99"/>
    <w:pPr>
      <w:widowControl/>
      <w:spacing w:before="100" w:beforeAutospacing="1" w:after="100" w:afterAutospacing="1"/>
    </w:pPr>
    <w:rPr>
      <w:rFonts w:hint="eastAsia" w:ascii="Times New Roman" w:hAnsi="Times New Roman" w:eastAsia="Times New Roman" w:cs="Times New Roman"/>
      <w:sz w:val="24"/>
      <w:szCs w:val="24"/>
    </w:rPr>
  </w:style>
  <w:style w:type="paragraph" w:styleId="20">
    <w:name w:val="Title"/>
    <w:basedOn w:val="1"/>
    <w:next w:val="1"/>
    <w:qFormat/>
    <w:uiPriority w:val="99"/>
    <w:pPr>
      <w:spacing w:before="120" w:after="60"/>
      <w:jc w:val="center"/>
    </w:pPr>
    <w:rPr>
      <w:rFonts w:ascii="Arial" w:hAnsi="Arial"/>
      <w:b/>
      <w:sz w:val="44"/>
      <w:szCs w:val="20"/>
    </w:rPr>
  </w:style>
  <w:style w:type="paragraph" w:styleId="21">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99"/>
    <w:rPr>
      <w:b/>
    </w:rPr>
  </w:style>
  <w:style w:type="character" w:styleId="26">
    <w:name w:val="page number"/>
    <w:basedOn w:val="24"/>
    <w:qFormat/>
    <w:uiPriority w:val="0"/>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paragraph" w:customStyle="1" w:styleId="28">
    <w:name w:val="正文缩进1"/>
    <w:basedOn w:val="29"/>
    <w:unhideWhenUsed/>
    <w:qFormat/>
    <w:uiPriority w:val="0"/>
    <w:pPr>
      <w:spacing w:line="360" w:lineRule="auto"/>
      <w:ind w:firstLine="200" w:firstLineChars="200"/>
      <w:jc w:val="both"/>
    </w:pPr>
    <w:rPr>
      <w:rFonts w:hint="eastAsia" w:ascii="Times New Roman" w:hAnsi="Times New Roman" w:eastAsia="Times New Roman" w:cs="Times New Roman"/>
      <w:kern w:val="2"/>
      <w:sz w:val="24"/>
      <w:szCs w:val="22"/>
      <w:lang w:val="en-US" w:eastAsia="zh-CN" w:bidi="ar"/>
    </w:rPr>
  </w:style>
  <w:style w:type="paragraph" w:customStyle="1" w:styleId="29">
    <w:name w:val="正文1"/>
    <w:basedOn w:val="1"/>
    <w:unhideWhenUsed/>
    <w:qFormat/>
    <w:uiPriority w:val="0"/>
    <w:pPr>
      <w:spacing w:line="240" w:lineRule="atLeast"/>
      <w:jc w:val="center"/>
      <w:textAlignment w:val="baseline"/>
    </w:pPr>
    <w:rPr>
      <w:rFonts w:hint="default" w:ascii="Tahoma" w:hAnsi="Tahoma" w:eastAsia="宋体"/>
      <w:sz w:val="24"/>
      <w:szCs w:val="24"/>
    </w:rPr>
  </w:style>
  <w:style w:type="character" w:customStyle="1" w:styleId="30">
    <w:name w:val="标题 3 Char"/>
    <w:link w:val="6"/>
    <w:unhideWhenUsed/>
    <w:qFormat/>
    <w:uiPriority w:val="1"/>
    <w:rPr>
      <w:rFonts w:hint="default" w:ascii="宋体" w:hAnsi="宋体" w:eastAsia="宋体"/>
      <w:b/>
      <w:sz w:val="24"/>
      <w:szCs w:val="24"/>
    </w:rPr>
  </w:style>
  <w:style w:type="paragraph" w:customStyle="1" w:styleId="31">
    <w:name w:val="Table Paragraph"/>
    <w:basedOn w:val="1"/>
    <w:unhideWhenUsed/>
    <w:qFormat/>
    <w:uiPriority w:val="1"/>
    <w:rPr>
      <w:rFonts w:hint="default"/>
      <w:sz w:val="24"/>
      <w:szCs w:val="24"/>
    </w:rPr>
  </w:style>
  <w:style w:type="paragraph" w:customStyle="1" w:styleId="32">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3">
    <w:name w:val="p0"/>
    <w:basedOn w:val="1"/>
    <w:unhideWhenUsed/>
    <w:qFormat/>
    <w:uiPriority w:val="0"/>
    <w:pPr>
      <w:widowControl/>
      <w:spacing w:before="75" w:after="75"/>
    </w:pPr>
    <w:rPr>
      <w:rFonts w:hint="default" w:ascii="宋体" w:hAnsi="宋体" w:eastAsia="宋体" w:cs="宋体"/>
      <w:sz w:val="24"/>
      <w:szCs w:val="24"/>
    </w:rPr>
  </w:style>
  <w:style w:type="paragraph" w:styleId="34">
    <w:name w:val="List Paragraph"/>
    <w:basedOn w:val="1"/>
    <w:unhideWhenUsed/>
    <w:qFormat/>
    <w:uiPriority w:val="1"/>
    <w:rPr>
      <w:rFonts w:hint="default"/>
      <w:sz w:val="24"/>
      <w:szCs w:val="24"/>
    </w:rPr>
  </w:style>
  <w:style w:type="paragraph" w:customStyle="1" w:styleId="35">
    <w:name w:val="文一"/>
    <w:basedOn w:val="1"/>
    <w:unhideWhenUsed/>
    <w:qFormat/>
    <w:uiPriority w:val="0"/>
    <w:pPr>
      <w:topLinePunct/>
      <w:snapToGrid w:val="0"/>
      <w:spacing w:line="360" w:lineRule="auto"/>
      <w:ind w:firstLine="200" w:firstLineChars="200"/>
    </w:pPr>
    <w:rPr>
      <w:rFonts w:hint="default" w:ascii="Calibri" w:hAnsi="Calibri" w:eastAsia="宋体"/>
      <w:snapToGrid w:val="0"/>
      <w:spacing w:val="4"/>
      <w:sz w:val="24"/>
      <w:szCs w:val="24"/>
    </w:rPr>
  </w:style>
  <w:style w:type="paragraph" w:customStyle="1" w:styleId="36">
    <w:name w:val="样式 宋体 行距: 1.5 倍行距"/>
    <w:basedOn w:val="1"/>
    <w:unhideWhenUsed/>
    <w:qFormat/>
    <w:uiPriority w:val="0"/>
    <w:pPr>
      <w:jc w:val="center"/>
    </w:pPr>
    <w:rPr>
      <w:rFonts w:hint="default"/>
      <w:b/>
      <w:sz w:val="24"/>
      <w:szCs w:val="24"/>
    </w:rPr>
  </w:style>
  <w:style w:type="paragraph" w:customStyle="1" w:styleId="37">
    <w:name w:val="发文落款"/>
    <w:basedOn w:val="32"/>
    <w:unhideWhenUsed/>
    <w:qFormat/>
    <w:uiPriority w:val="99"/>
    <w:pPr>
      <w:ind w:left="4094" w:right="607" w:firstLine="0"/>
      <w:jc w:val="center"/>
    </w:pPr>
    <w:rPr>
      <w:rFonts w:hint="eastAsia" w:cs="仿宋_GB2312"/>
      <w:sz w:val="32"/>
      <w:szCs w:val="32"/>
    </w:rPr>
  </w:style>
  <w:style w:type="character" w:customStyle="1" w:styleId="38">
    <w:name w:val="标题 2 Char"/>
    <w:link w:val="5"/>
    <w:unhideWhenUsed/>
    <w:qFormat/>
    <w:uiPriority w:val="1"/>
    <w:rPr>
      <w:rFonts w:hint="default" w:ascii="宋体" w:hAnsi="宋体" w:eastAsia="宋体"/>
      <w:b/>
      <w:sz w:val="30"/>
      <w:szCs w:val="24"/>
    </w:rPr>
  </w:style>
  <w:style w:type="character" w:customStyle="1" w:styleId="39">
    <w:name w:val="NormalCharacter"/>
    <w:unhideWhenUsed/>
    <w:qFormat/>
    <w:uiPriority w:val="0"/>
    <w:rPr>
      <w:rFonts w:hint="default"/>
      <w:sz w:val="24"/>
      <w:szCs w:val="24"/>
    </w:rPr>
  </w:style>
  <w:style w:type="paragraph" w:customStyle="1" w:styleId="40">
    <w:name w:val="WPSOffice手动目录 1"/>
    <w:qFormat/>
    <w:uiPriority w:val="0"/>
    <w:pPr>
      <w:ind w:leftChars="0"/>
    </w:pPr>
    <w:rPr>
      <w:rFonts w:ascii="Times New Roman" w:hAnsi="Times New Roman" w:eastAsia="宋体" w:cs="Times New Roman"/>
      <w:sz w:val="20"/>
      <w:szCs w:val="20"/>
    </w:rPr>
  </w:style>
  <w:style w:type="paragraph" w:customStyle="1" w:styleId="41">
    <w:name w:val="WPSOffice手动目录 2"/>
    <w:qFormat/>
    <w:uiPriority w:val="0"/>
    <w:pPr>
      <w:ind w:leftChars="200"/>
    </w:pPr>
    <w:rPr>
      <w:rFonts w:ascii="Times New Roman" w:hAnsi="Times New Roman" w:eastAsia="宋体" w:cs="Times New Roman"/>
      <w:sz w:val="20"/>
      <w:szCs w:val="20"/>
    </w:rPr>
  </w:style>
  <w:style w:type="paragraph" w:customStyle="1" w:styleId="42">
    <w:name w:val="WPSOffice手动目录 3"/>
    <w:qFormat/>
    <w:uiPriority w:val="0"/>
    <w:pPr>
      <w:ind w:leftChars="400"/>
    </w:pPr>
    <w:rPr>
      <w:rFonts w:ascii="Times New Roman" w:hAnsi="Times New Roman" w:eastAsia="宋体" w:cs="Times New Roman"/>
      <w:sz w:val="20"/>
      <w:szCs w:val="20"/>
    </w:rPr>
  </w:style>
  <w:style w:type="table" w:customStyle="1" w:styleId="43">
    <w:name w:val="Table Normal"/>
    <w:semiHidden/>
    <w:unhideWhenUsed/>
    <w:qFormat/>
    <w:uiPriority w:val="0"/>
    <w:tblPr>
      <w:tblCellMar>
        <w:top w:w="0" w:type="dxa"/>
        <w:left w:w="0" w:type="dxa"/>
        <w:bottom w:w="0" w:type="dxa"/>
        <w:right w:w="0" w:type="dxa"/>
      </w:tblCellMar>
    </w:tblPr>
  </w:style>
  <w:style w:type="paragraph" w:customStyle="1" w:styleId="44">
    <w:name w:val=" Char Char"/>
    <w:basedOn w:val="1"/>
    <w:qFormat/>
    <w:uiPriority w:val="0"/>
    <w:rPr>
      <w:sz w:val="30"/>
    </w:rPr>
  </w:style>
  <w:style w:type="paragraph" w:customStyle="1" w:styleId="45">
    <w:name w:val="null3"/>
    <w:qFormat/>
    <w:uiPriority w:val="0"/>
    <w:rPr>
      <w:rFonts w:hint="eastAsia" w:ascii="Calibri" w:hAnsi="Calibri" w:eastAsia="宋体" w:cs="Times New Roman"/>
      <w:lang w:val="en-US" w:eastAsia="zh-Hans"/>
    </w:rPr>
  </w:style>
  <w:style w:type="paragraph" w:customStyle="1" w:styleId="46">
    <w:name w:val="Table Text"/>
    <w:basedOn w:val="1"/>
    <w:semiHidden/>
    <w:qFormat/>
    <w:uiPriority w:val="0"/>
    <w:rPr>
      <w:rFonts w:ascii="宋体" w:hAnsi="宋体" w:eastAsia="宋体" w:cs="宋体"/>
      <w:sz w:val="21"/>
      <w:szCs w:val="21"/>
      <w:lang w:val="en-US" w:eastAsia="en-US" w:bidi="ar-SA"/>
    </w:rPr>
  </w:style>
  <w:style w:type="character" w:customStyle="1" w:styleId="47">
    <w:name w:val="font21"/>
    <w:qFormat/>
    <w:uiPriority w:val="0"/>
    <w:rPr>
      <w:rFonts w:hint="eastAsia" w:ascii="宋体" w:hAnsi="宋体" w:eastAsia="宋体" w:cs="宋体"/>
      <w:color w:val="000000"/>
      <w:sz w:val="21"/>
      <w:szCs w:val="21"/>
      <w:u w:val="none"/>
    </w:rPr>
  </w:style>
  <w:style w:type="paragraph" w:customStyle="1" w:styleId="48">
    <w:name w:val="_Style 3"/>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17454</Words>
  <Characters>18462</Characters>
  <TotalTime>35</TotalTime>
  <ScaleCrop>false</ScaleCrop>
  <LinksUpToDate>false</LinksUpToDate>
  <CharactersWithSpaces>18938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NTKO</cp:lastModifiedBy>
  <dcterms:modified xsi:type="dcterms:W3CDTF">2026-03-11T09:25:07Z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D33DCA9AA58045168B9B32592584AB6E_13</vt:lpwstr>
  </property>
  <property fmtid="{D5CDD505-2E9C-101B-9397-08002B2CF9AE}" pid="4" name="KSOTemplateDocerSaveRecord">
    <vt:lpwstr>eyJoZGlkIjoiOWY5Yjg0NTE0NzcyZDg1MGViYjAzMGI4MjUwYzgxMjYiLCJ1c2VySWQiOiI2NzA5NzA3NDYifQ==</vt:lpwstr>
  </property>
</Properties>
</file>