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pacing w:line="288" w:lineRule="auto"/>
        <w:ind w:left="0" w:leftChars="0" w:firstLine="0" w:firstLineChars="0"/>
        <w:textAlignment w:val="auto"/>
        <w:rPr>
          <w:rFonts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  <w:lang w:eastAsia="zh-CN"/>
        </w:rPr>
        <w:t>附件三：评标办法及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>其它</w:t>
      </w:r>
    </w:p>
    <w:p>
      <w:pPr>
        <w:numPr>
          <w:ilvl w:val="0"/>
          <w:numId w:val="1"/>
        </w:numPr>
        <w:spacing w:line="240" w:lineRule="auto"/>
        <w:ind w:left="360" w:hanging="360" w:hangingChars="150"/>
        <w:rPr>
          <w:rFonts w:hint="eastAsia"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本次采购项目将采用</w:t>
      </w:r>
      <w:r>
        <w:rPr>
          <w:rFonts w:hint="eastAsia" w:ascii="宋体" w:hAnsi="宋体" w:cs="宋体"/>
          <w:sz w:val="24"/>
          <w:szCs w:val="24"/>
          <w:u w:val="single"/>
        </w:rPr>
        <w:t>有效最低价法</w:t>
      </w:r>
      <w:r>
        <w:rPr>
          <w:rFonts w:hint="eastAsia" w:ascii="宋体" w:hAnsi="宋体" w:cs="宋体"/>
          <w:sz w:val="24"/>
          <w:szCs w:val="24"/>
        </w:rPr>
        <w:t>方法评审。</w:t>
      </w:r>
    </w:p>
    <w:p>
      <w:pPr>
        <w:numPr>
          <w:ilvl w:val="0"/>
          <w:numId w:val="0"/>
        </w:numPr>
        <w:spacing w:line="240" w:lineRule="auto"/>
        <w:rPr>
          <w:rFonts w:hint="eastAsia"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（1）有效最低价法：以报价为主要因素确定成交候选供应商，即在全部满足</w:t>
      </w:r>
      <w:r>
        <w:rPr>
          <w:rFonts w:hint="eastAsia" w:ascii="宋体" w:hAnsi="宋体" w:cs="宋体"/>
          <w:sz w:val="24"/>
          <w:szCs w:val="24"/>
          <w:lang w:eastAsia="zh-CN"/>
        </w:rPr>
        <w:t>招标</w:t>
      </w:r>
      <w:r>
        <w:rPr>
          <w:rFonts w:hint="eastAsia" w:ascii="宋体" w:hAnsi="宋体" w:cs="宋体"/>
          <w:sz w:val="24"/>
          <w:szCs w:val="24"/>
        </w:rPr>
        <w:t>文件实质性要求（包含资格条件、采购内容、付款方式、技术参数、项目完成期等）前提下，根据各家投标报价最低者确定中标人。</w:t>
      </w:r>
    </w:p>
    <w:p>
      <w:pPr>
        <w:spacing w:line="240" w:lineRule="auto"/>
        <w:ind w:left="0" w:leftChars="0" w:firstLine="0" w:firstLineChars="0"/>
        <w:rPr>
          <w:rFonts w:hint="eastAsia"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（2）如果最低报价出现两家或两家以上者，则通过</w:t>
      </w:r>
      <w:r>
        <w:rPr>
          <w:rFonts w:hint="eastAsia" w:ascii="宋体" w:hAnsi="宋体" w:cs="宋体"/>
          <w:sz w:val="24"/>
          <w:szCs w:val="24"/>
          <w:lang w:eastAsia="zh-CN"/>
        </w:rPr>
        <w:t>评委</w:t>
      </w:r>
      <w:r>
        <w:rPr>
          <w:rFonts w:hint="eastAsia" w:ascii="宋体" w:hAnsi="宋体" w:cs="宋体"/>
          <w:sz w:val="24"/>
          <w:szCs w:val="24"/>
        </w:rPr>
        <w:t xml:space="preserve">评审确定成交人。  </w:t>
      </w:r>
    </w:p>
    <w:p>
      <w:pPr>
        <w:spacing w:line="240" w:lineRule="auto"/>
        <w:ind w:left="-1" w:leftChars="0" w:firstLine="0" w:firstLineChars="0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cs="宋体"/>
          <w:sz w:val="24"/>
          <w:szCs w:val="24"/>
        </w:rPr>
        <w:t>（3）“有效最低价”主要考虑：①报价是否响应本</w:t>
      </w:r>
      <w:r>
        <w:rPr>
          <w:rFonts w:hint="eastAsia" w:ascii="宋体" w:hAnsi="宋体" w:cs="宋体"/>
          <w:sz w:val="24"/>
          <w:szCs w:val="24"/>
          <w:lang w:eastAsia="zh-CN"/>
        </w:rPr>
        <w:t>招标</w:t>
      </w:r>
      <w:r>
        <w:rPr>
          <w:rFonts w:hint="eastAsia" w:ascii="宋体" w:hAnsi="宋体" w:cs="宋体"/>
          <w:sz w:val="24"/>
          <w:szCs w:val="24"/>
        </w:rPr>
        <w:t>文件的实质性要求；②报价是否会降低本询价文件规定的质量、服务内容等</w:t>
      </w:r>
      <w:r>
        <w:rPr>
          <w:rFonts w:hint="eastAsia" w:ascii="宋体" w:hAnsi="宋体" w:cs="宋体"/>
          <w:sz w:val="24"/>
          <w:szCs w:val="24"/>
          <w:lang w:eastAsia="zh-CN"/>
        </w:rPr>
        <w:t>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240" w:lineRule="auto"/>
        <w:ind w:left="0" w:leftChars="0" w:firstLine="0" w:firstLineChars="0"/>
        <w:textAlignment w:val="auto"/>
        <w:rPr>
          <w:rFonts w:ascii="宋体" w:hAnsi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2、</w:t>
      </w:r>
      <w:r>
        <w:rPr>
          <w:rFonts w:hint="eastAsia" w:ascii="宋体" w:hAnsi="宋体" w:cs="宋体"/>
          <w:sz w:val="24"/>
          <w:szCs w:val="24"/>
          <w:lang w:eastAsia="zh-CN"/>
        </w:rPr>
        <w:t>招标</w:t>
      </w:r>
      <w:r>
        <w:rPr>
          <w:rFonts w:hint="eastAsia" w:ascii="宋体" w:hAnsi="宋体" w:cs="宋体"/>
          <w:sz w:val="24"/>
          <w:szCs w:val="24"/>
        </w:rPr>
        <w:t>过程中，如果</w:t>
      </w:r>
      <w:r>
        <w:rPr>
          <w:rFonts w:hint="eastAsia" w:ascii="宋体" w:hAnsi="宋体" w:cs="宋体"/>
          <w:sz w:val="24"/>
          <w:szCs w:val="24"/>
          <w:lang w:eastAsia="zh-CN"/>
        </w:rPr>
        <w:t>评委</w:t>
      </w:r>
      <w:r>
        <w:rPr>
          <w:rFonts w:hint="eastAsia" w:ascii="宋体" w:hAnsi="宋体" w:cs="宋体"/>
          <w:sz w:val="24"/>
          <w:szCs w:val="24"/>
        </w:rPr>
        <w:t>一致认定投标人报价不合理的，可以要求投标人提供合理说明，否则</w:t>
      </w:r>
      <w:r>
        <w:rPr>
          <w:rFonts w:hint="eastAsia" w:ascii="宋体" w:hAnsi="宋体" w:cs="宋体"/>
          <w:sz w:val="24"/>
          <w:szCs w:val="24"/>
          <w:lang w:eastAsia="zh-CN"/>
        </w:rPr>
        <w:t>评委</w:t>
      </w:r>
      <w:r>
        <w:rPr>
          <w:rFonts w:hint="eastAsia" w:ascii="宋体" w:hAnsi="宋体" w:cs="宋体"/>
          <w:sz w:val="24"/>
          <w:szCs w:val="24"/>
        </w:rPr>
        <w:t>可以认定其报价无效，取消投标资格。</w:t>
      </w:r>
      <w:r>
        <w:rPr>
          <w:rFonts w:hint="eastAsia" w:ascii="宋体" w:hAnsi="宋体"/>
          <w:sz w:val="24"/>
          <w:szCs w:val="24"/>
          <w:lang w:val="en-US" w:eastAsia="zh-CN"/>
        </w:rPr>
        <w:t>2</w:t>
      </w:r>
      <w:r>
        <w:rPr>
          <w:rFonts w:hint="eastAsia" w:ascii="宋体" w:hAnsi="宋体"/>
          <w:sz w:val="24"/>
          <w:szCs w:val="24"/>
        </w:rPr>
        <w:t>、</w:t>
      </w:r>
      <w:r>
        <w:rPr>
          <w:rFonts w:hint="eastAsia" w:ascii="宋体" w:hAnsi="宋体"/>
          <w:sz w:val="24"/>
          <w:szCs w:val="24"/>
          <w:lang w:eastAsia="zh-CN"/>
        </w:rPr>
        <w:t>评审</w:t>
      </w:r>
      <w:r>
        <w:rPr>
          <w:rFonts w:hint="eastAsia" w:ascii="宋体" w:hAnsi="宋体"/>
          <w:sz w:val="24"/>
          <w:szCs w:val="24"/>
        </w:rPr>
        <w:t>过程中，如果</w:t>
      </w:r>
      <w:r>
        <w:rPr>
          <w:rFonts w:hint="eastAsia" w:ascii="宋体" w:hAnsi="宋体"/>
          <w:sz w:val="24"/>
          <w:szCs w:val="24"/>
          <w:lang w:eastAsia="zh-CN"/>
        </w:rPr>
        <w:t>评委</w:t>
      </w:r>
      <w:r>
        <w:rPr>
          <w:rFonts w:hint="eastAsia" w:ascii="宋体" w:hAnsi="宋体"/>
          <w:sz w:val="24"/>
          <w:szCs w:val="24"/>
        </w:rPr>
        <w:t>一致认定投标人报价不合理，所报价格低于投标成本或有重大缺项漏项错项的，可以要求投标人提供合理说明，否则</w:t>
      </w:r>
      <w:r>
        <w:rPr>
          <w:rFonts w:hint="eastAsia" w:ascii="宋体" w:hAnsi="宋体"/>
          <w:sz w:val="24"/>
          <w:szCs w:val="24"/>
          <w:lang w:eastAsia="zh-CN"/>
        </w:rPr>
        <w:t>评委</w:t>
      </w:r>
      <w:r>
        <w:rPr>
          <w:rFonts w:hint="eastAsia" w:ascii="宋体" w:hAnsi="宋体"/>
          <w:sz w:val="24"/>
          <w:szCs w:val="24"/>
        </w:rPr>
        <w:t>可以认定其报价无效，即取消其本次投标资格。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240" w:lineRule="auto"/>
        <w:ind w:left="0" w:leftChars="0" w:firstLine="0" w:firstLineChars="0"/>
        <w:textAlignment w:val="auto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  <w:lang w:val="en-US" w:eastAsia="zh-CN"/>
        </w:rPr>
        <w:t>3</w:t>
      </w:r>
      <w:r>
        <w:rPr>
          <w:rFonts w:hint="eastAsia" w:ascii="宋体" w:hAnsi="宋体"/>
          <w:sz w:val="24"/>
          <w:szCs w:val="24"/>
        </w:rPr>
        <w:t>、投标报价为投标人在</w:t>
      </w:r>
      <w:r>
        <w:rPr>
          <w:rFonts w:hint="eastAsia" w:ascii="宋体" w:hAnsi="宋体"/>
          <w:sz w:val="24"/>
          <w:szCs w:val="24"/>
          <w:lang w:eastAsia="zh-CN"/>
        </w:rPr>
        <w:t>投标</w:t>
      </w:r>
      <w:r>
        <w:rPr>
          <w:rFonts w:hint="eastAsia" w:ascii="宋体" w:hAnsi="宋体"/>
          <w:sz w:val="24"/>
          <w:szCs w:val="24"/>
        </w:rPr>
        <w:t>文件中提出的各项支付金额的总和。包括本项目的成本、利润、税金、包装、运输等所有费用。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240" w:lineRule="auto"/>
        <w:ind w:left="0" w:leftChars="0" w:firstLine="0" w:firstLineChars="0"/>
        <w:textAlignment w:val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  <w:lang w:val="en-US" w:eastAsia="zh-CN"/>
        </w:rPr>
        <w:t>4</w:t>
      </w:r>
      <w:r>
        <w:rPr>
          <w:rFonts w:hint="eastAsia" w:ascii="宋体" w:hAnsi="宋体"/>
          <w:sz w:val="24"/>
          <w:szCs w:val="24"/>
        </w:rPr>
        <w:t>、投标文件请胶装密封</w:t>
      </w:r>
      <w:r>
        <w:rPr>
          <w:rFonts w:hint="eastAsia" w:ascii="宋体" w:hAnsi="宋体"/>
          <w:sz w:val="24"/>
          <w:szCs w:val="24"/>
          <w:lang w:eastAsia="zh-CN"/>
        </w:rPr>
        <w:t>（</w:t>
      </w:r>
      <w:r>
        <w:rPr>
          <w:rFonts w:hint="eastAsia" w:ascii="宋体" w:hAnsi="宋体"/>
          <w:sz w:val="24"/>
          <w:szCs w:val="24"/>
          <w:lang w:val="en-US" w:eastAsia="zh-CN"/>
        </w:rPr>
        <w:t>一正两副</w:t>
      </w:r>
      <w:r>
        <w:rPr>
          <w:rFonts w:hint="eastAsia" w:ascii="宋体" w:hAnsi="宋体"/>
          <w:sz w:val="24"/>
          <w:szCs w:val="24"/>
          <w:lang w:eastAsia="zh-CN"/>
        </w:rPr>
        <w:t>）</w:t>
      </w:r>
      <w:r>
        <w:rPr>
          <w:rFonts w:hint="eastAsia" w:ascii="宋体" w:hAnsi="宋体"/>
          <w:sz w:val="24"/>
          <w:szCs w:val="24"/>
        </w:rPr>
        <w:t>,不接受散件或活页标书，不接受不清晰的投标文件。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240" w:lineRule="auto"/>
        <w:ind w:left="0" w:leftChars="0" w:firstLine="0" w:firstLineChars="0"/>
        <w:textAlignment w:val="auto"/>
        <w:rPr>
          <w:rFonts w:hint="default" w:ascii="宋体" w:hAnsi="宋体" w:eastAsia="宋体"/>
          <w:sz w:val="24"/>
          <w:szCs w:val="24"/>
          <w:vertAlign w:val="baseline"/>
          <w:lang w:val="en-US" w:eastAsia="zh-CN"/>
        </w:rPr>
      </w:pPr>
      <w:r>
        <w:rPr>
          <w:rFonts w:hint="eastAsia" w:ascii="宋体" w:hAnsi="宋体"/>
          <w:sz w:val="24"/>
          <w:szCs w:val="24"/>
          <w:lang w:val="en-US" w:eastAsia="zh-CN"/>
        </w:rPr>
        <w:t>5</w:t>
      </w:r>
      <w:r>
        <w:rPr>
          <w:rFonts w:hint="eastAsia" w:ascii="宋体" w:hAnsi="宋体"/>
          <w:sz w:val="24"/>
          <w:szCs w:val="24"/>
        </w:rPr>
        <w:t>、超过最高限价的投标报价为无效报价，</w:t>
      </w:r>
      <w:r>
        <w:rPr>
          <w:rFonts w:hint="eastAsia" w:ascii="宋体" w:hAnsi="宋体"/>
          <w:sz w:val="24"/>
          <w:szCs w:val="24"/>
          <w:lang w:val="en-US" w:eastAsia="zh-CN"/>
        </w:rPr>
        <w:t>取消投标资格</w:t>
      </w:r>
      <w:r>
        <w:rPr>
          <w:rFonts w:hint="eastAsia" w:ascii="宋体" w:hAnsi="宋体"/>
          <w:sz w:val="24"/>
          <w:szCs w:val="24"/>
        </w:rPr>
        <w:t>。所投产品请注明产品名称、规格型号、生产厂家、注册证号（或备案号）</w:t>
      </w:r>
      <w:r>
        <w:rPr>
          <w:rFonts w:hint="eastAsia" w:ascii="宋体" w:hAnsi="宋体"/>
          <w:sz w:val="24"/>
          <w:szCs w:val="24"/>
          <w:lang w:eastAsia="zh-CN"/>
        </w:rPr>
        <w:t>（如有）</w:t>
      </w:r>
      <w:r>
        <w:rPr>
          <w:rFonts w:hint="eastAsia" w:ascii="宋体" w:hAnsi="宋体"/>
          <w:sz w:val="24"/>
          <w:szCs w:val="24"/>
        </w:rPr>
        <w:t>、单位及价</w:t>
      </w:r>
      <w:r>
        <w:rPr>
          <w:rFonts w:hint="eastAsia" w:ascii="宋体" w:hAnsi="宋体"/>
          <w:sz w:val="24"/>
          <w:szCs w:val="24"/>
          <w:lang w:val="en-US" w:eastAsia="zh-CN"/>
        </w:rPr>
        <w:t>格等其他说明（示例见下表）。</w:t>
      </w:r>
    </w:p>
    <w:tbl>
      <w:tblPr>
        <w:tblStyle w:val="7"/>
        <w:tblpPr w:leftFromText="181" w:rightFromText="181" w:vertAnchor="page" w:horzAnchor="page" w:tblpX="592" w:tblpY="8158"/>
        <w:tblW w:w="1102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53"/>
        <w:gridCol w:w="1284"/>
        <w:gridCol w:w="800"/>
        <w:gridCol w:w="1400"/>
        <w:gridCol w:w="1423"/>
        <w:gridCol w:w="2505"/>
        <w:gridCol w:w="215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20" w:type="dxa"/>
            <w:gridSpan w:val="7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eastAsia"/>
                <w:b/>
                <w:bCs/>
                <w:sz w:val="32"/>
                <w:szCs w:val="36"/>
                <w:lang w:val="en-US" w:eastAsia="zh-CN"/>
              </w:rPr>
            </w:pPr>
            <w:r>
              <w:rPr>
                <w:rFonts w:hint="eastAsia"/>
                <w:b/>
                <w:bCs/>
                <w:sz w:val="32"/>
                <w:szCs w:val="36"/>
                <w:lang w:val="en-US" w:eastAsia="zh-CN"/>
              </w:rPr>
              <w:t>报 价 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45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eastAsia"/>
                <w:sz w:val="24"/>
                <w:szCs w:val="28"/>
                <w:lang w:val="en-US" w:eastAsia="zh-CN"/>
              </w:rPr>
            </w:pPr>
            <w:r>
              <w:rPr>
                <w:rFonts w:hint="eastAsia"/>
                <w:sz w:val="24"/>
                <w:szCs w:val="28"/>
                <w:lang w:val="en-US" w:eastAsia="zh-CN"/>
              </w:rPr>
              <w:t>产品名称</w:t>
            </w:r>
          </w:p>
        </w:tc>
        <w:tc>
          <w:tcPr>
            <w:tcW w:w="128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eastAsia="宋体"/>
                <w:sz w:val="24"/>
                <w:szCs w:val="28"/>
                <w:lang w:val="en-US" w:eastAsia="zh-CN"/>
              </w:rPr>
            </w:pPr>
            <w:r>
              <w:rPr>
                <w:rFonts w:hint="eastAsia"/>
                <w:sz w:val="24"/>
                <w:szCs w:val="28"/>
                <w:lang w:val="en-US" w:eastAsia="zh-CN"/>
              </w:rPr>
              <w:t>规格型号</w:t>
            </w:r>
          </w:p>
        </w:tc>
        <w:tc>
          <w:tcPr>
            <w:tcW w:w="8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eastAsia="宋体"/>
                <w:sz w:val="24"/>
                <w:szCs w:val="28"/>
                <w:lang w:val="en-US" w:eastAsia="zh-CN"/>
              </w:rPr>
            </w:pPr>
            <w:r>
              <w:rPr>
                <w:rFonts w:hint="eastAsia"/>
                <w:sz w:val="24"/>
                <w:szCs w:val="28"/>
                <w:lang w:val="en-US" w:eastAsia="zh-CN"/>
              </w:rPr>
              <w:t>材质</w:t>
            </w:r>
          </w:p>
        </w:tc>
        <w:tc>
          <w:tcPr>
            <w:tcW w:w="14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24"/>
                <w:szCs w:val="28"/>
                <w:lang w:val="en-US" w:eastAsia="zh-CN" w:bidi="ar-SA"/>
              </w:rPr>
            </w:pPr>
            <w:r>
              <w:rPr>
                <w:rFonts w:hint="eastAsia"/>
                <w:sz w:val="24"/>
                <w:szCs w:val="28"/>
                <w:lang w:val="en-US" w:eastAsia="zh-CN"/>
              </w:rPr>
              <w:t>单位</w:t>
            </w:r>
          </w:p>
        </w:tc>
        <w:tc>
          <w:tcPr>
            <w:tcW w:w="142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kern w:val="2"/>
                <w:sz w:val="24"/>
                <w:szCs w:val="28"/>
                <w:lang w:val="en-US" w:eastAsia="zh-CN" w:bidi="ar-SA"/>
              </w:rPr>
            </w:pPr>
            <w:r>
              <w:rPr>
                <w:rFonts w:hint="eastAsia"/>
                <w:sz w:val="24"/>
                <w:szCs w:val="28"/>
                <w:lang w:val="en-US" w:eastAsia="zh-CN"/>
              </w:rPr>
              <w:t>单价（元）</w:t>
            </w:r>
          </w:p>
        </w:tc>
        <w:tc>
          <w:tcPr>
            <w:tcW w:w="250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kern w:val="2"/>
                <w:sz w:val="24"/>
                <w:szCs w:val="28"/>
                <w:lang w:val="en-US" w:eastAsia="zh-CN" w:bidi="ar-SA"/>
              </w:rPr>
            </w:pPr>
            <w:r>
              <w:rPr>
                <w:rFonts w:hint="eastAsia"/>
                <w:sz w:val="24"/>
                <w:szCs w:val="28"/>
                <w:lang w:val="en-US" w:eastAsia="zh-CN"/>
              </w:rPr>
              <w:t>生产厂家或品牌</w:t>
            </w:r>
          </w:p>
        </w:tc>
        <w:tc>
          <w:tcPr>
            <w:tcW w:w="215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eastAsia"/>
                <w:sz w:val="24"/>
                <w:szCs w:val="28"/>
                <w:lang w:val="en-US" w:eastAsia="zh-CN"/>
              </w:rPr>
            </w:pPr>
            <w:r>
              <w:rPr>
                <w:rFonts w:hint="eastAsia"/>
                <w:sz w:val="24"/>
                <w:szCs w:val="28"/>
                <w:lang w:val="en-US" w:eastAsia="zh-CN"/>
              </w:rPr>
              <w:t>其他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45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eastAsia"/>
                <w:sz w:val="24"/>
                <w:szCs w:val="28"/>
              </w:rPr>
            </w:pPr>
          </w:p>
        </w:tc>
        <w:tc>
          <w:tcPr>
            <w:tcW w:w="128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eastAsia"/>
                <w:sz w:val="24"/>
                <w:szCs w:val="28"/>
              </w:rPr>
            </w:pPr>
          </w:p>
        </w:tc>
        <w:tc>
          <w:tcPr>
            <w:tcW w:w="8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eastAsia"/>
                <w:sz w:val="24"/>
                <w:szCs w:val="28"/>
              </w:rPr>
            </w:pPr>
          </w:p>
        </w:tc>
        <w:tc>
          <w:tcPr>
            <w:tcW w:w="14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eastAsia"/>
                <w:sz w:val="24"/>
                <w:szCs w:val="28"/>
              </w:rPr>
            </w:pPr>
          </w:p>
        </w:tc>
        <w:tc>
          <w:tcPr>
            <w:tcW w:w="142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eastAsia"/>
                <w:sz w:val="24"/>
                <w:szCs w:val="28"/>
              </w:rPr>
            </w:pPr>
          </w:p>
        </w:tc>
        <w:tc>
          <w:tcPr>
            <w:tcW w:w="250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eastAsia"/>
                <w:sz w:val="24"/>
                <w:szCs w:val="28"/>
              </w:rPr>
            </w:pPr>
          </w:p>
        </w:tc>
        <w:tc>
          <w:tcPr>
            <w:tcW w:w="215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eastAsia"/>
                <w:sz w:val="24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45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eastAsia"/>
                <w:sz w:val="24"/>
                <w:szCs w:val="28"/>
              </w:rPr>
            </w:pPr>
          </w:p>
        </w:tc>
        <w:tc>
          <w:tcPr>
            <w:tcW w:w="128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eastAsia"/>
                <w:sz w:val="24"/>
                <w:szCs w:val="28"/>
              </w:rPr>
            </w:pPr>
          </w:p>
        </w:tc>
        <w:tc>
          <w:tcPr>
            <w:tcW w:w="8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eastAsia"/>
                <w:sz w:val="24"/>
                <w:szCs w:val="28"/>
              </w:rPr>
            </w:pPr>
          </w:p>
        </w:tc>
        <w:tc>
          <w:tcPr>
            <w:tcW w:w="14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eastAsia"/>
                <w:sz w:val="24"/>
                <w:szCs w:val="28"/>
              </w:rPr>
            </w:pPr>
          </w:p>
        </w:tc>
        <w:tc>
          <w:tcPr>
            <w:tcW w:w="142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eastAsia"/>
                <w:sz w:val="24"/>
                <w:szCs w:val="28"/>
              </w:rPr>
            </w:pPr>
          </w:p>
        </w:tc>
        <w:tc>
          <w:tcPr>
            <w:tcW w:w="250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eastAsia"/>
                <w:sz w:val="24"/>
                <w:szCs w:val="28"/>
              </w:rPr>
            </w:pPr>
          </w:p>
        </w:tc>
        <w:tc>
          <w:tcPr>
            <w:tcW w:w="215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eastAsia"/>
                <w:sz w:val="24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45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eastAsia"/>
                <w:sz w:val="24"/>
                <w:szCs w:val="28"/>
              </w:rPr>
            </w:pPr>
          </w:p>
        </w:tc>
        <w:tc>
          <w:tcPr>
            <w:tcW w:w="128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eastAsia"/>
                <w:sz w:val="24"/>
                <w:szCs w:val="28"/>
              </w:rPr>
            </w:pPr>
          </w:p>
        </w:tc>
        <w:tc>
          <w:tcPr>
            <w:tcW w:w="8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eastAsia"/>
                <w:sz w:val="24"/>
                <w:szCs w:val="28"/>
              </w:rPr>
            </w:pPr>
          </w:p>
        </w:tc>
        <w:tc>
          <w:tcPr>
            <w:tcW w:w="14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eastAsia"/>
                <w:sz w:val="24"/>
                <w:szCs w:val="28"/>
              </w:rPr>
            </w:pPr>
          </w:p>
        </w:tc>
        <w:tc>
          <w:tcPr>
            <w:tcW w:w="142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eastAsia"/>
                <w:sz w:val="24"/>
                <w:szCs w:val="28"/>
              </w:rPr>
            </w:pPr>
          </w:p>
        </w:tc>
        <w:tc>
          <w:tcPr>
            <w:tcW w:w="250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eastAsia"/>
                <w:sz w:val="24"/>
                <w:szCs w:val="28"/>
              </w:rPr>
            </w:pPr>
          </w:p>
        </w:tc>
        <w:tc>
          <w:tcPr>
            <w:tcW w:w="215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eastAsia"/>
                <w:sz w:val="24"/>
                <w:szCs w:val="28"/>
              </w:rPr>
            </w:pPr>
          </w:p>
        </w:tc>
      </w:tr>
    </w:tbl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240" w:lineRule="auto"/>
        <w:ind w:left="0" w:leftChars="0" w:firstLine="0" w:firstLineChars="0"/>
        <w:textAlignment w:val="auto"/>
        <w:rPr>
          <w:rFonts w:hint="default" w:ascii="宋体" w:hAnsi="宋体" w:eastAsia="宋体"/>
          <w:sz w:val="24"/>
          <w:szCs w:val="24"/>
          <w:vertAlign w:val="baseline"/>
          <w:lang w:val="en-US" w:eastAsia="zh-CN"/>
        </w:rPr>
      </w:pP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0" w:num="1"/>
      <w:rtlGutter w:val="0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02C8DCE"/>
    <w:multiLevelType w:val="singleLevel"/>
    <w:tmpl w:val="D02C8DCE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GJmYTg2YjZmMDdiYmE4MzNjNDRmZTYwZTQ4NmFmMzkifQ=="/>
  </w:docVars>
  <w:rsids>
    <w:rsidRoot w:val="2EA303EF"/>
    <w:rsid w:val="2EA303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line="240" w:lineRule="exact"/>
      <w:ind w:left="420" w:firstLine="198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semiHidden/>
    <w:qFormat/>
    <w:uiPriority w:val="0"/>
  </w:style>
  <w:style w:type="table" w:default="1" w:styleId="6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basedOn w:val="3"/>
    <w:qFormat/>
    <w:uiPriority w:val="0"/>
    <w:pPr>
      <w:autoSpaceDE w:val="0"/>
      <w:autoSpaceDN w:val="0"/>
      <w:adjustRightInd w:val="0"/>
      <w:spacing w:line="360" w:lineRule="auto"/>
      <w:ind w:right="-24" w:rightChars="-10" w:firstLine="425" w:firstLineChars="225"/>
    </w:pPr>
    <w:rPr>
      <w:rFonts w:ascii="Arial" w:hAnsi="Arial" w:eastAsia="仿宋_GB2312" w:cs="Arial"/>
      <w:kern w:val="0"/>
      <w:sz w:val="24"/>
      <w:szCs w:val="32"/>
    </w:rPr>
  </w:style>
  <w:style w:type="paragraph" w:styleId="3">
    <w:name w:val="Body Text"/>
    <w:basedOn w:val="1"/>
    <w:next w:val="4"/>
    <w:qFormat/>
    <w:uiPriority w:val="99"/>
    <w:pPr>
      <w:jc w:val="left"/>
    </w:pPr>
    <w:rPr>
      <w:rFonts w:ascii="Arial" w:hAnsi="Arial" w:eastAsia="黑体"/>
      <w:b/>
      <w:sz w:val="32"/>
      <w:szCs w:val="20"/>
    </w:rPr>
  </w:style>
  <w:style w:type="paragraph" w:customStyle="1" w:styleId="4">
    <w:name w:val="style4"/>
    <w:basedOn w:val="1"/>
    <w:next w:val="5"/>
    <w:qFormat/>
    <w:uiPriority w:val="0"/>
    <w:pPr>
      <w:widowControl/>
      <w:spacing w:before="280" w:after="280"/>
    </w:pPr>
    <w:rPr>
      <w:rFonts w:ascii="宋体" w:hAnsi="Times New Roman" w:eastAsia="宋体" w:cs="Times New Roman"/>
      <w:sz w:val="18"/>
    </w:rPr>
  </w:style>
  <w:style w:type="paragraph" w:customStyle="1" w:styleId="5">
    <w:name w:val="2"/>
    <w:next w:val="1"/>
    <w:qFormat/>
    <w:uiPriority w:val="0"/>
    <w:pPr>
      <w:widowControl w:val="0"/>
      <w:jc w:val="both"/>
    </w:pPr>
    <w:rPr>
      <w:rFonts w:ascii="Calibri" w:hAnsi="Calibri" w:eastAsia="宋体" w:cs="Times New Roman"/>
      <w:sz w:val="21"/>
      <w:szCs w:val="22"/>
      <w:lang w:val="en-US" w:eastAsia="zh-CN" w:bidi="ar-SA"/>
    </w:rPr>
  </w:style>
  <w:style w:type="table" w:styleId="7">
    <w:name w:val="Table Grid"/>
    <w:basedOn w:val="6"/>
    <w:qFormat/>
    <w:uiPriority w:val="59"/>
    <w:pPr>
      <w:spacing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2024-05-17T00:29:00Z</dcterms:created>
  <dc:creator>笨鸟先飞</dc:creator>
  <cp:lastModifiedBy>笨鸟先飞</cp:lastModifiedBy>
  <dcterms:modified xsi:type="dcterms:W3CDTF">2024-05-17T00:29:39Z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EDAB17EC92AE4859A605A17FB8A8ADE9_11</vt:lpwstr>
  </property>
</Properties>
</file>