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firstLine="0" w:firstLineChars="0"/>
        <w:jc w:val="center"/>
        <w:rPr>
          <w:rFonts w:ascii="Arial" w:hAnsi="Arial" w:cs="Arial"/>
          <w:color w:val="auto"/>
          <w:sz w:val="36"/>
          <w:szCs w:val="22"/>
        </w:rPr>
      </w:pPr>
      <w:bookmarkStart w:id="0" w:name="_Toc499740421"/>
      <w:bookmarkStart w:id="1" w:name="_Toc31607"/>
      <w:bookmarkStart w:id="2" w:name="_Toc482610222"/>
      <w:bookmarkStart w:id="3" w:name="_Toc494292903"/>
      <w:bookmarkStart w:id="4" w:name="_Toc490483529"/>
      <w:bookmarkStart w:id="5" w:name="_Toc30527"/>
      <w:bookmarkStart w:id="6" w:name="_Toc30975"/>
      <w:bookmarkStart w:id="7" w:name="_Toc496021249"/>
      <w:bookmarkStart w:id="8" w:name="_Toc499740343"/>
      <w:bookmarkStart w:id="9" w:name="_Toc28287"/>
      <w:bookmarkStart w:id="10" w:name="_Toc27683"/>
      <w:bookmarkStart w:id="11" w:name="_Toc487791125"/>
      <w:bookmarkStart w:id="12" w:name="_Toc457464666"/>
      <w:bookmarkStart w:id="13" w:name="_Toc463772485"/>
    </w:p>
    <w:p>
      <w:pPr>
        <w:spacing w:beforeLines="50" w:line="240" w:lineRule="auto"/>
        <w:ind w:firstLine="0" w:firstLineChars="0"/>
        <w:jc w:val="center"/>
        <w:rPr>
          <w:rFonts w:ascii="楷体" w:hAnsi="楷体" w:eastAsia="楷体" w:cs="黑体"/>
          <w:color w:val="auto"/>
          <w:sz w:val="140"/>
          <w:szCs w:val="140"/>
        </w:rPr>
      </w:pPr>
      <w:r>
        <w:rPr>
          <w:rFonts w:hint="eastAsia" w:ascii="楷体" w:hAnsi="楷体" w:eastAsia="楷体" w:cs="黑体"/>
          <w:color w:val="auto"/>
          <w:sz w:val="140"/>
          <w:szCs w:val="140"/>
        </w:rPr>
        <w:t>政府采购</w:t>
      </w:r>
    </w:p>
    <w:p>
      <w:pPr>
        <w:spacing w:line="240" w:lineRule="auto"/>
        <w:ind w:firstLine="0" w:firstLineChars="0"/>
        <w:jc w:val="center"/>
        <w:rPr>
          <w:rFonts w:ascii="楷体" w:hAnsi="楷体" w:eastAsia="楷体" w:cs="黑体"/>
          <w:color w:val="auto"/>
          <w:sz w:val="140"/>
          <w:szCs w:val="140"/>
        </w:rPr>
      </w:pPr>
      <w:bookmarkStart w:id="14" w:name="_Toc446943624"/>
      <w:bookmarkStart w:id="15" w:name="_Toc409192623"/>
      <w:bookmarkStart w:id="16" w:name="_Toc438132321"/>
      <w:bookmarkStart w:id="17" w:name="_Toc8021"/>
      <w:bookmarkStart w:id="18" w:name="_Toc409189801"/>
      <w:bookmarkStart w:id="19" w:name="_Toc17077"/>
      <w:bookmarkStart w:id="20" w:name="_Toc451249795"/>
      <w:bookmarkStart w:id="21" w:name="_Toc409425101"/>
      <w:bookmarkStart w:id="22" w:name="_Toc409193449"/>
      <w:bookmarkStart w:id="23" w:name="_Toc413679810"/>
      <w:bookmarkStart w:id="24" w:name="_Toc469316947"/>
      <w:bookmarkStart w:id="25" w:name="_Toc463772483"/>
      <w:bookmarkStart w:id="26" w:name="_Toc456086365"/>
      <w:bookmarkStart w:id="27" w:name="_Toc29432"/>
      <w:bookmarkStart w:id="28" w:name="_Toc438131407"/>
      <w:bookmarkStart w:id="29" w:name="_Toc446944053"/>
      <w:bookmarkStart w:id="30" w:name="_Toc435625957"/>
      <w:bookmarkStart w:id="31" w:name="_Toc409193567"/>
      <w:bookmarkStart w:id="32" w:name="_Toc441071193"/>
      <w:bookmarkStart w:id="33" w:name="_Toc409192309"/>
      <w:bookmarkStart w:id="34" w:name="_Toc6605"/>
      <w:bookmarkStart w:id="35" w:name="_Toc413685992"/>
      <w:bookmarkStart w:id="36" w:name="_Toc468721588"/>
      <w:bookmarkStart w:id="37" w:name="_Toc409189910"/>
      <w:bookmarkStart w:id="38" w:name="_Toc439852594"/>
      <w:bookmarkStart w:id="39" w:name="_Toc431195362"/>
      <w:bookmarkStart w:id="40" w:name="_Toc435688983"/>
      <w:bookmarkStart w:id="41" w:name="_Toc430867917"/>
      <w:bookmarkStart w:id="42" w:name="_Toc438137159"/>
      <w:bookmarkStart w:id="43" w:name="_Toc457464664"/>
      <w:r>
        <w:rPr>
          <w:rFonts w:hint="eastAsia" w:ascii="楷体" w:hAnsi="楷体" w:eastAsia="楷体" w:cs="黑体"/>
          <w:color w:val="auto"/>
          <w:sz w:val="140"/>
          <w:szCs w:val="140"/>
        </w:rPr>
        <w:t>招标文件</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pPr>
        <w:spacing w:line="240" w:lineRule="auto"/>
        <w:ind w:firstLine="0" w:firstLineChars="0"/>
        <w:jc w:val="center"/>
        <w:rPr>
          <w:rFonts w:ascii="Arial" w:hAnsi="Arial" w:cs="Arial"/>
          <w:color w:val="auto"/>
          <w:sz w:val="36"/>
          <w:szCs w:val="22"/>
        </w:rPr>
      </w:pPr>
    </w:p>
    <w:p>
      <w:pPr>
        <w:spacing w:line="240" w:lineRule="auto"/>
        <w:ind w:firstLine="0" w:firstLineChars="0"/>
        <w:jc w:val="center"/>
        <w:rPr>
          <w:rFonts w:ascii="Arial" w:hAnsi="Arial" w:cs="Arial"/>
          <w:color w:val="auto"/>
          <w:sz w:val="36"/>
          <w:szCs w:val="22"/>
        </w:rPr>
      </w:pPr>
    </w:p>
    <w:p>
      <w:pPr>
        <w:spacing w:line="240" w:lineRule="auto"/>
        <w:ind w:firstLine="0" w:firstLineChars="0"/>
        <w:jc w:val="center"/>
        <w:rPr>
          <w:rFonts w:ascii="Arial" w:hAnsi="Arial" w:cs="Arial"/>
          <w:color w:val="auto"/>
          <w:sz w:val="36"/>
          <w:szCs w:val="22"/>
        </w:rPr>
      </w:pPr>
    </w:p>
    <w:p>
      <w:pPr>
        <w:spacing w:line="240" w:lineRule="auto"/>
        <w:ind w:left="1680" w:leftChars="700" w:right="720" w:rightChars="300" w:firstLine="0" w:firstLineChars="0"/>
        <w:rPr>
          <w:rFonts w:hint="default" w:ascii="仿宋" w:hAnsi="仿宋" w:eastAsia="仿宋" w:cs="Arial"/>
          <w:b/>
          <w:bCs/>
          <w:color w:val="auto"/>
          <w:sz w:val="32"/>
          <w:szCs w:val="21"/>
          <w:lang w:val="en-US" w:eastAsia="zh-CN"/>
        </w:rPr>
      </w:pPr>
      <w:r>
        <w:rPr>
          <w:rFonts w:hint="eastAsia" w:ascii="仿宋" w:hAnsi="仿宋" w:eastAsia="仿宋" w:cs="Arial"/>
          <w:b/>
          <w:bCs/>
          <w:color w:val="auto"/>
          <w:sz w:val="32"/>
          <w:szCs w:val="21"/>
        </w:rPr>
        <w:t>项 目 号：</w:t>
      </w:r>
      <w:bookmarkEnd w:id="0"/>
      <w:bookmarkEnd w:id="1"/>
      <w:bookmarkEnd w:id="2"/>
      <w:bookmarkEnd w:id="3"/>
      <w:bookmarkEnd w:id="4"/>
      <w:bookmarkEnd w:id="5"/>
      <w:bookmarkEnd w:id="6"/>
      <w:bookmarkEnd w:id="7"/>
      <w:bookmarkEnd w:id="8"/>
      <w:bookmarkEnd w:id="9"/>
      <w:bookmarkEnd w:id="10"/>
      <w:bookmarkEnd w:id="11"/>
      <w:bookmarkStart w:id="952" w:name="_GoBack"/>
      <w:bookmarkEnd w:id="952"/>
      <w:bookmarkStart w:id="44" w:name="_Toc431195364"/>
      <w:bookmarkStart w:id="45" w:name="_Toc409189803"/>
      <w:bookmarkStart w:id="46" w:name="_Toc409192311"/>
      <w:bookmarkStart w:id="47" w:name="_Toc430867919"/>
      <w:bookmarkStart w:id="48" w:name="_Toc435688985"/>
      <w:bookmarkStart w:id="49" w:name="_Toc409193569"/>
      <w:bookmarkStart w:id="50" w:name="_Toc446944055"/>
      <w:bookmarkStart w:id="51" w:name="_Toc438132323"/>
      <w:bookmarkStart w:id="52" w:name="_Toc30923"/>
      <w:bookmarkStart w:id="53" w:name="_Toc446943626"/>
      <w:bookmarkStart w:id="54" w:name="_Toc435625959"/>
      <w:bookmarkStart w:id="55" w:name="_Toc409425103"/>
      <w:bookmarkStart w:id="56" w:name="_Toc456086367"/>
      <w:bookmarkStart w:id="57" w:name="_Toc413679812"/>
      <w:bookmarkStart w:id="58" w:name="_Toc409192625"/>
      <w:bookmarkStart w:id="59" w:name="_Toc439852596"/>
      <w:bookmarkStart w:id="60" w:name="_Toc409189912"/>
      <w:bookmarkStart w:id="61" w:name="_Toc413685994"/>
      <w:bookmarkStart w:id="62" w:name="_Toc438131409"/>
      <w:bookmarkStart w:id="63" w:name="_Toc441071195"/>
      <w:bookmarkStart w:id="64" w:name="_Toc14433"/>
      <w:bookmarkStart w:id="65" w:name="_Toc451249797"/>
      <w:bookmarkStart w:id="66" w:name="_Toc468721590"/>
      <w:bookmarkStart w:id="67" w:name="_Toc438137161"/>
      <w:bookmarkStart w:id="68" w:name="_Toc469316949"/>
      <w:bookmarkStart w:id="69" w:name="_Toc409193451"/>
      <w:r>
        <w:rPr>
          <w:rFonts w:hint="eastAsia" w:ascii="仿宋" w:hAnsi="仿宋" w:eastAsia="仿宋" w:cs="Arial"/>
          <w:b/>
          <w:bCs/>
          <w:color w:val="auto"/>
          <w:sz w:val="32"/>
          <w:szCs w:val="21"/>
          <w:lang w:eastAsia="zh-CN"/>
        </w:rPr>
        <w:t>BNQ24A00040</w:t>
      </w:r>
    </w:p>
    <w:p>
      <w:pPr>
        <w:keepNext w:val="0"/>
        <w:keepLines w:val="0"/>
        <w:pageBreakBefore w:val="0"/>
        <w:widowControl w:val="0"/>
        <w:kinsoku/>
        <w:wordWrap/>
        <w:overflowPunct/>
        <w:topLinePunct w:val="0"/>
        <w:autoSpaceDE w:val="0"/>
        <w:autoSpaceDN w:val="0"/>
        <w:bidi w:val="0"/>
        <w:adjustRightInd/>
        <w:snapToGrid/>
        <w:spacing w:line="240" w:lineRule="auto"/>
        <w:ind w:left="3280" w:leftChars="700" w:right="720" w:rightChars="300" w:hanging="1600" w:hangingChars="500"/>
        <w:jc w:val="left"/>
        <w:textAlignment w:val="auto"/>
        <w:rPr>
          <w:rFonts w:hint="eastAsia" w:ascii="仿宋" w:hAnsi="仿宋" w:eastAsia="仿宋" w:cs="Arial"/>
          <w:b/>
          <w:bCs/>
          <w:color w:val="0000FF"/>
          <w:sz w:val="32"/>
          <w:szCs w:val="21"/>
          <w:lang w:eastAsia="zh-CN"/>
        </w:rPr>
      </w:pPr>
      <w:r>
        <w:rPr>
          <w:rFonts w:hint="eastAsia" w:ascii="仿宋" w:hAnsi="仿宋" w:eastAsia="仿宋" w:cs="Arial"/>
          <w:b/>
          <w:bCs/>
          <w:color w:val="auto"/>
          <w:sz w:val="32"/>
          <w:szCs w:val="21"/>
        </w:rPr>
        <w:t>项目名称</w:t>
      </w:r>
      <w:bookmarkEnd w:id="12"/>
      <w:bookmarkEnd w:id="1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Pr>
          <w:rFonts w:hint="eastAsia" w:ascii="仿宋" w:hAnsi="仿宋" w:eastAsia="仿宋" w:cs="Arial"/>
          <w:b/>
          <w:bCs/>
          <w:color w:val="auto"/>
          <w:sz w:val="32"/>
          <w:szCs w:val="21"/>
        </w:rPr>
        <w:t>：</w:t>
      </w:r>
      <w:r>
        <w:rPr>
          <w:rFonts w:hint="eastAsia" w:ascii="仿宋" w:hAnsi="仿宋" w:eastAsia="仿宋" w:cs="Arial"/>
          <w:b/>
          <w:bCs/>
          <w:color w:val="auto"/>
          <w:sz w:val="32"/>
          <w:szCs w:val="21"/>
          <w:lang w:eastAsia="zh-CN"/>
        </w:rPr>
        <w:t>重庆市巴南区公路事务中心国道G348鱼洞非现场执法点建设项目</w:t>
      </w:r>
    </w:p>
    <w:p>
      <w:pPr>
        <w:spacing w:line="240" w:lineRule="auto"/>
        <w:ind w:firstLine="0" w:firstLineChars="0"/>
        <w:jc w:val="center"/>
        <w:rPr>
          <w:rFonts w:ascii="Arial" w:hAnsi="Arial" w:cs="Arial"/>
          <w:color w:val="auto"/>
          <w:sz w:val="36"/>
          <w:szCs w:val="22"/>
        </w:rPr>
      </w:pPr>
      <w:bookmarkStart w:id="70" w:name="_Toc409193452"/>
      <w:bookmarkStart w:id="71" w:name="_Toc409425104"/>
      <w:bookmarkStart w:id="72" w:name="_Toc451249798"/>
      <w:bookmarkStart w:id="73" w:name="_Toc463772486"/>
      <w:bookmarkStart w:id="74" w:name="_Toc438132324"/>
      <w:bookmarkStart w:id="75" w:name="_Toc409189913"/>
      <w:bookmarkStart w:id="76" w:name="_Toc409189804"/>
      <w:bookmarkStart w:id="77" w:name="_Toc18970"/>
      <w:bookmarkStart w:id="78" w:name="_Toc441071196"/>
      <w:bookmarkStart w:id="79" w:name="_Toc446944056"/>
      <w:bookmarkStart w:id="80" w:name="_Toc457464667"/>
      <w:bookmarkStart w:id="81" w:name="_Toc413685995"/>
      <w:bookmarkStart w:id="82" w:name="_Toc468721592"/>
      <w:bookmarkStart w:id="83" w:name="_Toc469316950"/>
      <w:bookmarkStart w:id="84" w:name="_Toc438137162"/>
      <w:bookmarkStart w:id="85" w:name="_Toc409192312"/>
      <w:bookmarkStart w:id="86" w:name="_Toc456086368"/>
      <w:bookmarkStart w:id="87" w:name="_Toc409193570"/>
      <w:bookmarkStart w:id="88" w:name="_Toc446943627"/>
      <w:bookmarkStart w:id="89" w:name="_Toc430867920"/>
      <w:bookmarkStart w:id="90" w:name="_Toc24913"/>
      <w:bookmarkStart w:id="91" w:name="_Toc431195365"/>
      <w:bookmarkStart w:id="92" w:name="_Toc439852597"/>
      <w:bookmarkStart w:id="93" w:name="_Toc413679813"/>
      <w:bookmarkStart w:id="94" w:name="_Toc28553"/>
      <w:bookmarkStart w:id="95" w:name="_Toc435625960"/>
      <w:bookmarkStart w:id="96" w:name="_Toc1654"/>
      <w:bookmarkStart w:id="97" w:name="_Toc409192626"/>
      <w:bookmarkStart w:id="98" w:name="_Toc438131410"/>
      <w:bookmarkStart w:id="99" w:name="_Toc435688986"/>
    </w:p>
    <w:p>
      <w:pPr>
        <w:spacing w:line="240" w:lineRule="auto"/>
        <w:ind w:firstLine="0" w:firstLineChars="0"/>
        <w:jc w:val="center"/>
        <w:rPr>
          <w:rFonts w:ascii="Arial" w:hAnsi="Arial" w:cs="Arial"/>
          <w:color w:val="auto"/>
          <w:sz w:val="36"/>
          <w:szCs w:val="22"/>
        </w:rPr>
      </w:pPr>
    </w:p>
    <w:p>
      <w:pPr>
        <w:spacing w:line="240" w:lineRule="auto"/>
        <w:ind w:firstLine="0" w:firstLineChars="0"/>
        <w:jc w:val="center"/>
        <w:rPr>
          <w:rFonts w:ascii="Arial" w:hAnsi="Arial" w:cs="Arial"/>
          <w:color w:val="auto"/>
          <w:sz w:val="36"/>
          <w:szCs w:val="22"/>
        </w:rPr>
      </w:pPr>
    </w:p>
    <w:p>
      <w:pPr>
        <w:spacing w:line="240" w:lineRule="auto"/>
        <w:ind w:firstLine="0" w:firstLineChars="0"/>
        <w:jc w:val="center"/>
        <w:rPr>
          <w:rFonts w:ascii="Arial" w:hAnsi="Arial" w:cs="Arial"/>
          <w:color w:val="auto"/>
          <w:sz w:val="36"/>
          <w:szCs w:val="22"/>
        </w:rPr>
      </w:pPr>
    </w:p>
    <w:p>
      <w:pPr>
        <w:spacing w:line="240" w:lineRule="auto"/>
        <w:ind w:firstLine="0" w:firstLineChars="0"/>
        <w:jc w:val="center"/>
        <w:rPr>
          <w:rFonts w:ascii="Arial" w:hAnsi="Arial" w:cs="Arial"/>
          <w:color w:val="auto"/>
          <w:sz w:val="36"/>
          <w:szCs w:val="22"/>
        </w:rPr>
      </w:pPr>
    </w:p>
    <w:p>
      <w:pPr>
        <w:spacing w:line="240" w:lineRule="auto"/>
        <w:ind w:firstLine="1440" w:firstLineChars="450"/>
        <w:jc w:val="left"/>
        <w:rPr>
          <w:rFonts w:hint="eastAsia" w:ascii="仿宋" w:hAnsi="仿宋" w:eastAsia="仿宋" w:cs="Arial"/>
          <w:b/>
          <w:bCs/>
          <w:color w:val="auto"/>
          <w:sz w:val="32"/>
          <w:szCs w:val="21"/>
          <w:lang w:eastAsia="zh-CN"/>
        </w:rPr>
      </w:pPr>
      <w:r>
        <w:rPr>
          <w:rFonts w:hint="eastAsia" w:ascii="仿宋" w:hAnsi="仿宋" w:eastAsia="仿宋" w:cs="Arial"/>
          <w:b/>
          <w:bCs/>
          <w:color w:val="auto"/>
          <w:sz w:val="32"/>
          <w:szCs w:val="21"/>
        </w:rPr>
        <w:t>采   购   人：</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Pr>
          <w:rFonts w:hint="eastAsia" w:ascii="仿宋" w:hAnsi="仿宋" w:eastAsia="仿宋" w:cs="Arial"/>
          <w:b/>
          <w:bCs/>
          <w:color w:val="auto"/>
          <w:sz w:val="32"/>
          <w:szCs w:val="21"/>
          <w:lang w:eastAsia="zh-CN"/>
        </w:rPr>
        <w:t>重庆市巴南区公路事务中心</w:t>
      </w:r>
    </w:p>
    <w:p>
      <w:pPr>
        <w:spacing w:line="240" w:lineRule="auto"/>
        <w:ind w:firstLine="1440" w:firstLineChars="450"/>
        <w:jc w:val="left"/>
        <w:rPr>
          <w:rFonts w:ascii="仿宋" w:hAnsi="仿宋" w:eastAsia="仿宋" w:cs="Arial"/>
          <w:b/>
          <w:bCs/>
          <w:color w:val="auto"/>
          <w:sz w:val="32"/>
          <w:szCs w:val="21"/>
        </w:rPr>
      </w:pPr>
      <w:bookmarkStart w:id="100" w:name="_Toc430867921"/>
      <w:bookmarkStart w:id="101" w:name="_Toc8759"/>
      <w:bookmarkStart w:id="102" w:name="_Toc409189914"/>
      <w:bookmarkStart w:id="103" w:name="_Toc456086369"/>
      <w:bookmarkStart w:id="104" w:name="_Toc457464668"/>
      <w:bookmarkStart w:id="105" w:name="_Toc409189805"/>
      <w:bookmarkStart w:id="106" w:name="_Toc446944057"/>
      <w:bookmarkStart w:id="107" w:name="_Toc438137163"/>
      <w:bookmarkStart w:id="108" w:name="_Toc435625961"/>
      <w:bookmarkStart w:id="109" w:name="_Toc439852598"/>
      <w:bookmarkStart w:id="110" w:name="_Toc435688987"/>
      <w:bookmarkStart w:id="111" w:name="_Toc413685996"/>
      <w:bookmarkStart w:id="112" w:name="_Toc438131411"/>
      <w:bookmarkStart w:id="113" w:name="_Toc409193453"/>
      <w:bookmarkStart w:id="114" w:name="_Toc446943628"/>
      <w:bookmarkStart w:id="115" w:name="_Toc463772487"/>
      <w:bookmarkStart w:id="116" w:name="_Toc469316951"/>
      <w:bookmarkStart w:id="117" w:name="_Toc468721593"/>
      <w:bookmarkStart w:id="118" w:name="_Toc31383"/>
      <w:bookmarkStart w:id="119" w:name="_Toc438132325"/>
      <w:bookmarkStart w:id="120" w:name="_Toc409425105"/>
      <w:bookmarkStart w:id="121" w:name="_Toc451249799"/>
      <w:bookmarkStart w:id="122" w:name="_Toc431195366"/>
      <w:bookmarkStart w:id="123" w:name="_Toc409192627"/>
      <w:bookmarkStart w:id="124" w:name="_Toc409193571"/>
      <w:bookmarkStart w:id="125" w:name="_Toc413679814"/>
      <w:bookmarkStart w:id="126" w:name="_Toc409192313"/>
      <w:bookmarkStart w:id="127" w:name="_Toc441071197"/>
      <w:bookmarkStart w:id="128" w:name="_Toc23439"/>
      <w:r>
        <w:rPr>
          <w:rFonts w:hint="eastAsia" w:ascii="仿宋" w:hAnsi="仿宋" w:eastAsia="仿宋" w:cs="Arial"/>
          <w:b/>
          <w:bCs/>
          <w:color w:val="auto"/>
          <w:sz w:val="32"/>
          <w:szCs w:val="21"/>
        </w:rPr>
        <w:t>采购代理机构：重庆市巴南区政府采购中心</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pPr>
        <w:spacing w:line="240" w:lineRule="auto"/>
        <w:ind w:firstLine="0" w:firstLineChars="0"/>
        <w:jc w:val="center"/>
        <w:rPr>
          <w:rFonts w:ascii="仿宋" w:hAnsi="仿宋" w:eastAsia="仿宋" w:cs="Arial"/>
          <w:color w:val="auto"/>
          <w:sz w:val="20"/>
          <w:szCs w:val="13"/>
        </w:rPr>
      </w:pPr>
    </w:p>
    <w:p>
      <w:pPr>
        <w:spacing w:line="240" w:lineRule="auto"/>
        <w:ind w:firstLine="0" w:firstLineChars="0"/>
        <w:jc w:val="center"/>
        <w:rPr>
          <w:rFonts w:ascii="仿宋" w:hAnsi="仿宋" w:eastAsia="仿宋" w:cs="Arial"/>
          <w:color w:val="auto"/>
          <w:sz w:val="36"/>
          <w:szCs w:val="22"/>
        </w:rPr>
        <w:sectPr>
          <w:footerReference r:id="rId9" w:type="first"/>
          <w:headerReference r:id="rId5" w:type="default"/>
          <w:footerReference r:id="rId7" w:type="default"/>
          <w:headerReference r:id="rId6" w:type="even"/>
          <w:footerReference r:id="rId8" w:type="even"/>
          <w:pgSz w:w="11907" w:h="16840"/>
          <w:pgMar w:top="1134" w:right="1191" w:bottom="1134" w:left="1304" w:header="794" w:footer="992" w:gutter="0"/>
          <w:pgNumType w:start="1"/>
          <w:cols w:space="720" w:num="1"/>
          <w:titlePg/>
          <w:docGrid w:type="linesAndChars" w:linePitch="312" w:charSpace="0"/>
        </w:sectPr>
      </w:pPr>
      <w:r>
        <w:rPr>
          <w:rFonts w:hint="eastAsia" w:ascii="仿宋" w:hAnsi="仿宋" w:eastAsia="仿宋" w:cs="Arial"/>
          <w:color w:val="auto"/>
          <w:sz w:val="36"/>
          <w:szCs w:val="22"/>
          <w:lang w:eastAsia="zh-CN"/>
        </w:rPr>
        <w:t>二〇二四</w:t>
      </w:r>
      <w:r>
        <w:rPr>
          <w:rFonts w:hint="eastAsia" w:ascii="仿宋" w:hAnsi="仿宋" w:eastAsia="仿宋" w:cs="Arial"/>
          <w:color w:val="auto"/>
          <w:sz w:val="36"/>
          <w:szCs w:val="22"/>
        </w:rPr>
        <w:t>年</w:t>
      </w:r>
      <w:r>
        <w:rPr>
          <w:rFonts w:hint="eastAsia" w:ascii="仿宋" w:hAnsi="仿宋" w:eastAsia="仿宋" w:cs="Arial"/>
          <w:color w:val="auto"/>
          <w:sz w:val="36"/>
          <w:szCs w:val="22"/>
          <w:lang w:val="en-US" w:eastAsia="zh-CN"/>
        </w:rPr>
        <w:t>四</w:t>
      </w:r>
      <w:r>
        <w:rPr>
          <w:rFonts w:hint="eastAsia" w:ascii="仿宋" w:hAnsi="仿宋" w:eastAsia="仿宋" w:cs="Arial"/>
          <w:color w:val="auto"/>
          <w:sz w:val="36"/>
          <w:szCs w:val="22"/>
        </w:rPr>
        <w:t>月</w:t>
      </w:r>
    </w:p>
    <w:p>
      <w:pPr>
        <w:tabs>
          <w:tab w:val="right" w:leader="dot" w:pos="9412"/>
        </w:tabs>
        <w:ind w:firstLine="0" w:firstLineChars="0"/>
        <w:jc w:val="center"/>
        <w:rPr>
          <w:rStyle w:val="29"/>
          <w:b/>
          <w:bCs/>
          <w:caps/>
          <w:color w:val="auto"/>
        </w:rPr>
      </w:pPr>
      <w:r>
        <w:rPr>
          <w:rFonts w:hint="eastAsia" w:ascii="Arial" w:hAnsi="Arial" w:cs="Arial"/>
          <w:b/>
          <w:bCs/>
          <w:color w:val="auto"/>
          <w:sz w:val="44"/>
          <w:szCs w:val="22"/>
        </w:rPr>
        <w:t>目录</w:t>
      </w:r>
    </w:p>
    <w:p>
      <w:pPr>
        <w:pStyle w:val="17"/>
        <w:tabs>
          <w:tab w:val="right" w:leader="dot" w:pos="9412"/>
        </w:tabs>
      </w:pPr>
      <w:r>
        <w:rPr>
          <w:color w:val="auto"/>
        </w:rPr>
        <w:fldChar w:fldCharType="begin"/>
      </w:r>
      <w:r>
        <w:rPr>
          <w:color w:val="auto"/>
        </w:rPr>
        <w:instrText xml:space="preserve">TOC \o "1-3" \h \u </w:instrText>
      </w:r>
      <w:r>
        <w:rPr>
          <w:color w:val="auto"/>
        </w:rPr>
        <w:fldChar w:fldCharType="separate"/>
      </w:r>
      <w:r>
        <w:rPr>
          <w:color w:val="auto"/>
        </w:rPr>
        <w:fldChar w:fldCharType="begin"/>
      </w:r>
      <w:r>
        <w:instrText xml:space="preserve"> HYPERLINK \l _Toc26308 </w:instrText>
      </w:r>
      <w:r>
        <w:fldChar w:fldCharType="separate"/>
      </w:r>
      <w:r>
        <w:rPr>
          <w:rFonts w:hint="eastAsia" w:ascii="黑体" w:hAnsi="黑体" w:eastAsia="方正小标宋简体" w:cs="黑体"/>
        </w:rPr>
        <w:t xml:space="preserve">第一篇 </w:t>
      </w:r>
      <w:r>
        <w:rPr>
          <w:rFonts w:hint="eastAsia" w:ascii="方正小标宋简体" w:eastAsia="方正小标宋简体"/>
        </w:rPr>
        <w:t>投标邀请书</w:t>
      </w:r>
      <w:r>
        <w:tab/>
      </w:r>
      <w:r>
        <w:fldChar w:fldCharType="begin"/>
      </w:r>
      <w:r>
        <w:instrText xml:space="preserve"> PAGEREF _Toc26308 \h </w:instrText>
      </w:r>
      <w:r>
        <w:fldChar w:fldCharType="separate"/>
      </w:r>
      <w:r>
        <w:t>1</w:t>
      </w:r>
      <w:r>
        <w:fldChar w:fldCharType="end"/>
      </w:r>
      <w:r>
        <w:rPr>
          <w:color w:val="auto"/>
        </w:rPr>
        <w:fldChar w:fldCharType="end"/>
      </w:r>
    </w:p>
    <w:p>
      <w:pPr>
        <w:pStyle w:val="19"/>
        <w:tabs>
          <w:tab w:val="right" w:leader="dot" w:pos="9412"/>
        </w:tabs>
      </w:pPr>
      <w:r>
        <w:rPr>
          <w:color w:val="auto"/>
        </w:rPr>
        <w:fldChar w:fldCharType="begin"/>
      </w:r>
      <w:r>
        <w:instrText xml:space="preserve"> HYPERLINK \l _Toc5112 </w:instrText>
      </w:r>
      <w:r>
        <w:fldChar w:fldCharType="separate"/>
      </w:r>
      <w:r>
        <w:rPr>
          <w:rFonts w:hint="eastAsia" w:ascii="仿宋" w:hAnsi="仿宋" w:eastAsia="仿宋"/>
        </w:rPr>
        <w:t>一、招标项目内容</w:t>
      </w:r>
      <w:r>
        <w:tab/>
      </w:r>
      <w:r>
        <w:fldChar w:fldCharType="begin"/>
      </w:r>
      <w:r>
        <w:instrText xml:space="preserve"> PAGEREF _Toc5112 \h </w:instrText>
      </w:r>
      <w:r>
        <w:fldChar w:fldCharType="separate"/>
      </w:r>
      <w:r>
        <w:t>1</w:t>
      </w:r>
      <w:r>
        <w:fldChar w:fldCharType="end"/>
      </w:r>
      <w:r>
        <w:rPr>
          <w:color w:val="auto"/>
        </w:rPr>
        <w:fldChar w:fldCharType="end"/>
      </w:r>
    </w:p>
    <w:p>
      <w:pPr>
        <w:pStyle w:val="19"/>
        <w:tabs>
          <w:tab w:val="right" w:leader="dot" w:pos="9412"/>
        </w:tabs>
      </w:pPr>
      <w:r>
        <w:rPr>
          <w:color w:val="auto"/>
        </w:rPr>
        <w:fldChar w:fldCharType="begin"/>
      </w:r>
      <w:r>
        <w:instrText xml:space="preserve"> HYPERLINK \l _Toc27392 </w:instrText>
      </w:r>
      <w:r>
        <w:fldChar w:fldCharType="separate"/>
      </w:r>
      <w:r>
        <w:rPr>
          <w:rFonts w:hint="eastAsia" w:ascii="仿宋" w:hAnsi="仿宋" w:eastAsia="仿宋"/>
        </w:rPr>
        <w:t>二、资金来源</w:t>
      </w:r>
      <w:r>
        <w:tab/>
      </w:r>
      <w:r>
        <w:fldChar w:fldCharType="begin"/>
      </w:r>
      <w:r>
        <w:instrText xml:space="preserve"> PAGEREF _Toc27392 \h </w:instrText>
      </w:r>
      <w:r>
        <w:fldChar w:fldCharType="separate"/>
      </w:r>
      <w:r>
        <w:t>1</w:t>
      </w:r>
      <w:r>
        <w:fldChar w:fldCharType="end"/>
      </w:r>
      <w:r>
        <w:rPr>
          <w:color w:val="auto"/>
        </w:rPr>
        <w:fldChar w:fldCharType="end"/>
      </w:r>
    </w:p>
    <w:p>
      <w:pPr>
        <w:pStyle w:val="19"/>
        <w:tabs>
          <w:tab w:val="right" w:leader="dot" w:pos="9412"/>
        </w:tabs>
      </w:pPr>
      <w:r>
        <w:rPr>
          <w:color w:val="auto"/>
        </w:rPr>
        <w:fldChar w:fldCharType="begin"/>
      </w:r>
      <w:r>
        <w:instrText xml:space="preserve"> HYPERLINK \l _Toc29039 </w:instrText>
      </w:r>
      <w:r>
        <w:fldChar w:fldCharType="separate"/>
      </w:r>
      <w:r>
        <w:rPr>
          <w:rFonts w:hint="eastAsia" w:ascii="仿宋" w:hAnsi="仿宋" w:eastAsia="仿宋"/>
        </w:rPr>
        <w:t>三、投标人资格要求</w:t>
      </w:r>
      <w:r>
        <w:tab/>
      </w:r>
      <w:r>
        <w:fldChar w:fldCharType="begin"/>
      </w:r>
      <w:r>
        <w:instrText xml:space="preserve"> PAGEREF _Toc29039 \h </w:instrText>
      </w:r>
      <w:r>
        <w:fldChar w:fldCharType="separate"/>
      </w:r>
      <w:r>
        <w:t>1</w:t>
      </w:r>
      <w:r>
        <w:fldChar w:fldCharType="end"/>
      </w:r>
      <w:r>
        <w:rPr>
          <w:color w:val="auto"/>
        </w:rPr>
        <w:fldChar w:fldCharType="end"/>
      </w:r>
    </w:p>
    <w:p>
      <w:pPr>
        <w:pStyle w:val="19"/>
        <w:tabs>
          <w:tab w:val="right" w:leader="dot" w:pos="9412"/>
        </w:tabs>
      </w:pPr>
      <w:r>
        <w:rPr>
          <w:color w:val="auto"/>
        </w:rPr>
        <w:fldChar w:fldCharType="begin"/>
      </w:r>
      <w:r>
        <w:instrText xml:space="preserve"> HYPERLINK \l _Toc1343 </w:instrText>
      </w:r>
      <w:r>
        <w:fldChar w:fldCharType="separate"/>
      </w:r>
      <w:r>
        <w:rPr>
          <w:rFonts w:hint="eastAsia" w:ascii="仿宋" w:hAnsi="仿宋" w:eastAsia="仿宋"/>
        </w:rPr>
        <w:t>四、投标、开标有关说明</w:t>
      </w:r>
      <w:r>
        <w:tab/>
      </w:r>
      <w:r>
        <w:fldChar w:fldCharType="begin"/>
      </w:r>
      <w:r>
        <w:instrText xml:space="preserve"> PAGEREF _Toc1343 \h </w:instrText>
      </w:r>
      <w:r>
        <w:fldChar w:fldCharType="separate"/>
      </w:r>
      <w:r>
        <w:t>2</w:t>
      </w:r>
      <w:r>
        <w:fldChar w:fldCharType="end"/>
      </w:r>
      <w:r>
        <w:rPr>
          <w:color w:val="auto"/>
        </w:rPr>
        <w:fldChar w:fldCharType="end"/>
      </w:r>
    </w:p>
    <w:p>
      <w:pPr>
        <w:pStyle w:val="19"/>
        <w:tabs>
          <w:tab w:val="right" w:leader="dot" w:pos="9412"/>
        </w:tabs>
      </w:pPr>
      <w:r>
        <w:rPr>
          <w:color w:val="auto"/>
        </w:rPr>
        <w:fldChar w:fldCharType="begin"/>
      </w:r>
      <w:r>
        <w:instrText xml:space="preserve"> HYPERLINK \l _Toc14187 </w:instrText>
      </w:r>
      <w:r>
        <w:fldChar w:fldCharType="separate"/>
      </w:r>
      <w:r>
        <w:rPr>
          <w:rFonts w:hint="eastAsia" w:ascii="仿宋" w:hAnsi="仿宋" w:eastAsia="仿宋"/>
        </w:rPr>
        <w:t>五、采购项目需落实的政府采购政策</w:t>
      </w:r>
      <w:r>
        <w:tab/>
      </w:r>
      <w:r>
        <w:fldChar w:fldCharType="begin"/>
      </w:r>
      <w:r>
        <w:instrText xml:space="preserve"> PAGEREF _Toc14187 \h </w:instrText>
      </w:r>
      <w:r>
        <w:fldChar w:fldCharType="separate"/>
      </w:r>
      <w:r>
        <w:t>4</w:t>
      </w:r>
      <w:r>
        <w:fldChar w:fldCharType="end"/>
      </w:r>
      <w:r>
        <w:rPr>
          <w:color w:val="auto"/>
        </w:rPr>
        <w:fldChar w:fldCharType="end"/>
      </w:r>
    </w:p>
    <w:p>
      <w:pPr>
        <w:pStyle w:val="19"/>
        <w:tabs>
          <w:tab w:val="right" w:leader="dot" w:pos="9412"/>
        </w:tabs>
      </w:pPr>
      <w:r>
        <w:rPr>
          <w:color w:val="auto"/>
        </w:rPr>
        <w:fldChar w:fldCharType="begin"/>
      </w:r>
      <w:r>
        <w:instrText xml:space="preserve"> HYPERLINK \l _Toc28481 </w:instrText>
      </w:r>
      <w:r>
        <w:fldChar w:fldCharType="separate"/>
      </w:r>
      <w:r>
        <w:rPr>
          <w:rFonts w:hint="eastAsia" w:ascii="仿宋" w:hAnsi="仿宋" w:eastAsia="仿宋"/>
        </w:rPr>
        <w:t>六、投标有关规定</w:t>
      </w:r>
      <w:r>
        <w:tab/>
      </w:r>
      <w:r>
        <w:fldChar w:fldCharType="begin"/>
      </w:r>
      <w:r>
        <w:instrText xml:space="preserve"> PAGEREF _Toc28481 \h </w:instrText>
      </w:r>
      <w:r>
        <w:fldChar w:fldCharType="separate"/>
      </w:r>
      <w:r>
        <w:t>4</w:t>
      </w:r>
      <w:r>
        <w:fldChar w:fldCharType="end"/>
      </w:r>
      <w:r>
        <w:rPr>
          <w:color w:val="auto"/>
        </w:rPr>
        <w:fldChar w:fldCharType="end"/>
      </w:r>
    </w:p>
    <w:p>
      <w:pPr>
        <w:pStyle w:val="19"/>
        <w:tabs>
          <w:tab w:val="right" w:leader="dot" w:pos="9412"/>
        </w:tabs>
      </w:pPr>
      <w:r>
        <w:rPr>
          <w:color w:val="auto"/>
        </w:rPr>
        <w:fldChar w:fldCharType="begin"/>
      </w:r>
      <w:r>
        <w:instrText xml:space="preserve"> HYPERLINK \l _Toc22301 </w:instrText>
      </w:r>
      <w:r>
        <w:fldChar w:fldCharType="separate"/>
      </w:r>
      <w:r>
        <w:rPr>
          <w:rFonts w:hint="eastAsia" w:ascii="仿宋" w:hAnsi="仿宋" w:eastAsia="仿宋"/>
        </w:rPr>
        <w:t>七、联系方式</w:t>
      </w:r>
      <w:r>
        <w:tab/>
      </w:r>
      <w:r>
        <w:fldChar w:fldCharType="begin"/>
      </w:r>
      <w:r>
        <w:instrText xml:space="preserve"> PAGEREF _Toc22301 \h </w:instrText>
      </w:r>
      <w:r>
        <w:fldChar w:fldCharType="separate"/>
      </w:r>
      <w:r>
        <w:t>5</w:t>
      </w:r>
      <w:r>
        <w:fldChar w:fldCharType="end"/>
      </w:r>
      <w:r>
        <w:rPr>
          <w:color w:val="auto"/>
        </w:rPr>
        <w:fldChar w:fldCharType="end"/>
      </w:r>
    </w:p>
    <w:p>
      <w:pPr>
        <w:pStyle w:val="17"/>
        <w:tabs>
          <w:tab w:val="right" w:leader="dot" w:pos="9412"/>
        </w:tabs>
      </w:pPr>
      <w:r>
        <w:rPr>
          <w:color w:val="auto"/>
        </w:rPr>
        <w:fldChar w:fldCharType="begin"/>
      </w:r>
      <w:r>
        <w:instrText xml:space="preserve"> HYPERLINK \l _Toc16931 </w:instrText>
      </w:r>
      <w:r>
        <w:fldChar w:fldCharType="separate"/>
      </w:r>
      <w:r>
        <w:rPr>
          <w:rFonts w:hint="eastAsia" w:ascii="黑体" w:hAnsi="黑体" w:eastAsia="方正小标宋简体" w:cs="黑体"/>
        </w:rPr>
        <w:t xml:space="preserve">第二篇 </w:t>
      </w:r>
      <w:r>
        <w:rPr>
          <w:rFonts w:hint="eastAsia" w:ascii="方正小标宋简体" w:eastAsia="方正小标宋简体"/>
        </w:rPr>
        <w:t>项目技术（质量）需求</w:t>
      </w:r>
      <w:r>
        <w:tab/>
      </w:r>
      <w:r>
        <w:fldChar w:fldCharType="begin"/>
      </w:r>
      <w:r>
        <w:instrText xml:space="preserve"> PAGEREF _Toc16931 \h </w:instrText>
      </w:r>
      <w:r>
        <w:fldChar w:fldCharType="separate"/>
      </w:r>
      <w:r>
        <w:t>6</w:t>
      </w:r>
      <w:r>
        <w:fldChar w:fldCharType="end"/>
      </w:r>
      <w:r>
        <w:rPr>
          <w:color w:val="auto"/>
        </w:rPr>
        <w:fldChar w:fldCharType="end"/>
      </w:r>
    </w:p>
    <w:p>
      <w:pPr>
        <w:pStyle w:val="19"/>
        <w:tabs>
          <w:tab w:val="right" w:leader="dot" w:pos="9412"/>
        </w:tabs>
      </w:pPr>
      <w:r>
        <w:rPr>
          <w:color w:val="auto"/>
        </w:rPr>
        <w:fldChar w:fldCharType="begin"/>
      </w:r>
      <w:r>
        <w:instrText xml:space="preserve"> HYPERLINK \l _Toc26416 </w:instrText>
      </w:r>
      <w:r>
        <w:fldChar w:fldCharType="separate"/>
      </w:r>
      <w:r>
        <w:rPr>
          <w:rFonts w:hint="eastAsia" w:ascii="仿宋" w:hAnsi="仿宋" w:eastAsia="仿宋"/>
          <w:szCs w:val="22"/>
          <w:lang w:eastAsia="zh-CN"/>
        </w:rPr>
        <w:t>一、</w:t>
      </w:r>
      <w:r>
        <w:rPr>
          <w:rFonts w:hint="eastAsia" w:ascii="仿宋" w:hAnsi="仿宋" w:eastAsia="仿宋"/>
          <w:szCs w:val="22"/>
        </w:rPr>
        <w:t>招标项目一览表</w:t>
      </w:r>
      <w:r>
        <w:tab/>
      </w:r>
      <w:r>
        <w:fldChar w:fldCharType="begin"/>
      </w:r>
      <w:r>
        <w:instrText xml:space="preserve"> PAGEREF _Toc26416 \h </w:instrText>
      </w:r>
      <w:r>
        <w:fldChar w:fldCharType="separate"/>
      </w:r>
      <w:r>
        <w:t>6</w:t>
      </w:r>
      <w:r>
        <w:fldChar w:fldCharType="end"/>
      </w:r>
      <w:r>
        <w:rPr>
          <w:color w:val="auto"/>
        </w:rPr>
        <w:fldChar w:fldCharType="end"/>
      </w:r>
    </w:p>
    <w:p>
      <w:pPr>
        <w:pStyle w:val="19"/>
        <w:tabs>
          <w:tab w:val="right" w:leader="dot" w:pos="9412"/>
        </w:tabs>
      </w:pPr>
      <w:r>
        <w:rPr>
          <w:color w:val="auto"/>
        </w:rPr>
        <w:fldChar w:fldCharType="begin"/>
      </w:r>
      <w:r>
        <w:instrText xml:space="preserve"> HYPERLINK \l _Toc7132 </w:instrText>
      </w:r>
      <w:r>
        <w:fldChar w:fldCharType="separate"/>
      </w:r>
      <w:r>
        <w:rPr>
          <w:rFonts w:hint="eastAsia" w:ascii="仿宋" w:hAnsi="仿宋" w:eastAsia="仿宋"/>
          <w:szCs w:val="22"/>
        </w:rPr>
        <w:t>二、招标项目技术需求</w:t>
      </w:r>
      <w:r>
        <w:tab/>
      </w:r>
      <w:r>
        <w:fldChar w:fldCharType="begin"/>
      </w:r>
      <w:r>
        <w:instrText xml:space="preserve"> PAGEREF _Toc7132 \h </w:instrText>
      </w:r>
      <w:r>
        <w:fldChar w:fldCharType="separate"/>
      </w:r>
      <w:r>
        <w:t>8</w:t>
      </w:r>
      <w:r>
        <w:fldChar w:fldCharType="end"/>
      </w:r>
      <w:r>
        <w:rPr>
          <w:color w:val="auto"/>
        </w:rPr>
        <w:fldChar w:fldCharType="end"/>
      </w:r>
    </w:p>
    <w:p>
      <w:pPr>
        <w:pStyle w:val="19"/>
        <w:tabs>
          <w:tab w:val="right" w:leader="dot" w:pos="9412"/>
        </w:tabs>
      </w:pPr>
      <w:r>
        <w:rPr>
          <w:color w:val="auto"/>
        </w:rPr>
        <w:fldChar w:fldCharType="begin"/>
      </w:r>
      <w:r>
        <w:instrText xml:space="preserve"> HYPERLINK \l _Toc20437 </w:instrText>
      </w:r>
      <w:r>
        <w:fldChar w:fldCharType="separate"/>
      </w:r>
      <w:r>
        <w:rPr>
          <w:rFonts w:hint="eastAsia" w:ascii="仿宋" w:hAnsi="仿宋" w:eastAsia="仿宋"/>
          <w:szCs w:val="22"/>
          <w:lang w:eastAsia="zh-CN"/>
        </w:rPr>
        <w:t>三</w:t>
      </w:r>
      <w:r>
        <w:rPr>
          <w:rFonts w:hint="eastAsia" w:ascii="仿宋" w:hAnsi="仿宋" w:eastAsia="仿宋"/>
          <w:szCs w:val="22"/>
        </w:rPr>
        <w:t>、</w:t>
      </w:r>
      <w:r>
        <w:rPr>
          <w:rFonts w:hint="eastAsia" w:ascii="仿宋" w:hAnsi="仿宋" w:eastAsia="仿宋"/>
          <w:szCs w:val="22"/>
          <w:lang w:eastAsia="zh-CN"/>
        </w:rPr>
        <w:t>其他要求</w:t>
      </w:r>
      <w:r>
        <w:tab/>
      </w:r>
      <w:r>
        <w:fldChar w:fldCharType="begin"/>
      </w:r>
      <w:r>
        <w:instrText xml:space="preserve"> PAGEREF _Toc20437 \h </w:instrText>
      </w:r>
      <w:r>
        <w:fldChar w:fldCharType="separate"/>
      </w:r>
      <w:r>
        <w:t>20</w:t>
      </w:r>
      <w:r>
        <w:fldChar w:fldCharType="end"/>
      </w:r>
      <w:r>
        <w:rPr>
          <w:color w:val="auto"/>
        </w:rPr>
        <w:fldChar w:fldCharType="end"/>
      </w:r>
    </w:p>
    <w:p>
      <w:pPr>
        <w:pStyle w:val="17"/>
        <w:tabs>
          <w:tab w:val="right" w:leader="dot" w:pos="9412"/>
        </w:tabs>
      </w:pPr>
      <w:r>
        <w:rPr>
          <w:color w:val="auto"/>
        </w:rPr>
        <w:fldChar w:fldCharType="begin"/>
      </w:r>
      <w:r>
        <w:instrText xml:space="preserve"> HYPERLINK \l _Toc17822 </w:instrText>
      </w:r>
      <w:r>
        <w:fldChar w:fldCharType="separate"/>
      </w:r>
      <w:r>
        <w:rPr>
          <w:rFonts w:hint="eastAsia" w:ascii="黑体" w:hAnsi="黑体" w:eastAsia="方正小标宋简体" w:cs="黑体"/>
        </w:rPr>
        <w:t xml:space="preserve">第三篇 </w:t>
      </w:r>
      <w:r>
        <w:rPr>
          <w:rFonts w:hint="eastAsia" w:ascii="方正小标宋简体" w:eastAsia="方正小标宋简体"/>
        </w:rPr>
        <w:t>项目商务要求</w:t>
      </w:r>
      <w:r>
        <w:tab/>
      </w:r>
      <w:r>
        <w:fldChar w:fldCharType="begin"/>
      </w:r>
      <w:r>
        <w:instrText xml:space="preserve"> PAGEREF _Toc17822 \h </w:instrText>
      </w:r>
      <w:r>
        <w:fldChar w:fldCharType="separate"/>
      </w:r>
      <w:r>
        <w:t>21</w:t>
      </w:r>
      <w:r>
        <w:fldChar w:fldCharType="end"/>
      </w:r>
      <w:r>
        <w:rPr>
          <w:color w:val="auto"/>
        </w:rPr>
        <w:fldChar w:fldCharType="end"/>
      </w:r>
    </w:p>
    <w:p>
      <w:pPr>
        <w:pStyle w:val="19"/>
        <w:tabs>
          <w:tab w:val="right" w:leader="dot" w:pos="9412"/>
        </w:tabs>
      </w:pPr>
      <w:r>
        <w:rPr>
          <w:color w:val="auto"/>
        </w:rPr>
        <w:fldChar w:fldCharType="begin"/>
      </w:r>
      <w:r>
        <w:instrText xml:space="preserve"> HYPERLINK \l _Toc22547 </w:instrText>
      </w:r>
      <w:r>
        <w:fldChar w:fldCharType="separate"/>
      </w:r>
      <w:r>
        <w:rPr>
          <w:rFonts w:hint="eastAsia" w:ascii="仿宋" w:hAnsi="仿宋" w:eastAsia="仿宋"/>
        </w:rPr>
        <w:t>※</w:t>
      </w:r>
      <w:r>
        <w:rPr>
          <w:rFonts w:hint="eastAsia" w:ascii="仿宋" w:hAnsi="仿宋" w:eastAsia="仿宋"/>
          <w:szCs w:val="22"/>
        </w:rPr>
        <w:t>一、交货期、交货地点及验收方式</w:t>
      </w:r>
      <w:r>
        <w:tab/>
      </w:r>
      <w:r>
        <w:fldChar w:fldCharType="begin"/>
      </w:r>
      <w:r>
        <w:instrText xml:space="preserve"> PAGEREF _Toc22547 \h </w:instrText>
      </w:r>
      <w:r>
        <w:fldChar w:fldCharType="separate"/>
      </w:r>
      <w:r>
        <w:t>21</w:t>
      </w:r>
      <w:r>
        <w:fldChar w:fldCharType="end"/>
      </w:r>
      <w:r>
        <w:rPr>
          <w:color w:val="auto"/>
        </w:rPr>
        <w:fldChar w:fldCharType="end"/>
      </w:r>
    </w:p>
    <w:p>
      <w:pPr>
        <w:pStyle w:val="19"/>
        <w:tabs>
          <w:tab w:val="right" w:leader="dot" w:pos="9412"/>
        </w:tabs>
      </w:pPr>
      <w:r>
        <w:rPr>
          <w:color w:val="auto"/>
        </w:rPr>
        <w:fldChar w:fldCharType="begin"/>
      </w:r>
      <w:r>
        <w:instrText xml:space="preserve"> HYPERLINK \l _Toc2677 </w:instrText>
      </w:r>
      <w:r>
        <w:fldChar w:fldCharType="separate"/>
      </w:r>
      <w:r>
        <w:rPr>
          <w:rFonts w:hint="eastAsia" w:ascii="仿宋" w:hAnsi="仿宋" w:eastAsia="仿宋"/>
          <w:szCs w:val="22"/>
        </w:rPr>
        <w:t>※二、报价要求</w:t>
      </w:r>
      <w:r>
        <w:tab/>
      </w:r>
      <w:r>
        <w:fldChar w:fldCharType="begin"/>
      </w:r>
      <w:r>
        <w:instrText xml:space="preserve"> PAGEREF _Toc2677 \h </w:instrText>
      </w:r>
      <w:r>
        <w:fldChar w:fldCharType="separate"/>
      </w:r>
      <w:r>
        <w:t>22</w:t>
      </w:r>
      <w:r>
        <w:fldChar w:fldCharType="end"/>
      </w:r>
      <w:r>
        <w:rPr>
          <w:color w:val="auto"/>
        </w:rPr>
        <w:fldChar w:fldCharType="end"/>
      </w:r>
    </w:p>
    <w:p>
      <w:pPr>
        <w:pStyle w:val="19"/>
        <w:tabs>
          <w:tab w:val="right" w:leader="dot" w:pos="9412"/>
        </w:tabs>
      </w:pPr>
      <w:r>
        <w:rPr>
          <w:color w:val="auto"/>
        </w:rPr>
        <w:fldChar w:fldCharType="begin"/>
      </w:r>
      <w:r>
        <w:instrText xml:space="preserve"> HYPERLINK \l _Toc9853 </w:instrText>
      </w:r>
      <w:r>
        <w:fldChar w:fldCharType="separate"/>
      </w:r>
      <w:r>
        <w:rPr>
          <w:rFonts w:hint="eastAsia" w:ascii="仿宋" w:hAnsi="仿宋" w:eastAsia="仿宋"/>
          <w:szCs w:val="22"/>
        </w:rPr>
        <w:t>※三、质量保证及售后服务</w:t>
      </w:r>
      <w:r>
        <w:tab/>
      </w:r>
      <w:r>
        <w:fldChar w:fldCharType="begin"/>
      </w:r>
      <w:r>
        <w:instrText xml:space="preserve"> PAGEREF _Toc9853 \h </w:instrText>
      </w:r>
      <w:r>
        <w:fldChar w:fldCharType="separate"/>
      </w:r>
      <w:r>
        <w:t>22</w:t>
      </w:r>
      <w:r>
        <w:fldChar w:fldCharType="end"/>
      </w:r>
      <w:r>
        <w:rPr>
          <w:color w:val="auto"/>
        </w:rPr>
        <w:fldChar w:fldCharType="end"/>
      </w:r>
    </w:p>
    <w:p>
      <w:pPr>
        <w:pStyle w:val="19"/>
        <w:tabs>
          <w:tab w:val="right" w:leader="dot" w:pos="9412"/>
        </w:tabs>
      </w:pPr>
      <w:r>
        <w:rPr>
          <w:color w:val="auto"/>
        </w:rPr>
        <w:fldChar w:fldCharType="begin"/>
      </w:r>
      <w:r>
        <w:instrText xml:space="preserve"> HYPERLINK \l _Toc10128 </w:instrText>
      </w:r>
      <w:r>
        <w:fldChar w:fldCharType="separate"/>
      </w:r>
      <w:r>
        <w:rPr>
          <w:rFonts w:hint="eastAsia" w:ascii="仿宋" w:hAnsi="仿宋" w:eastAsia="仿宋"/>
          <w:szCs w:val="22"/>
        </w:rPr>
        <w:t>※四、付款方式</w:t>
      </w:r>
      <w:r>
        <w:tab/>
      </w:r>
      <w:r>
        <w:fldChar w:fldCharType="begin"/>
      </w:r>
      <w:r>
        <w:instrText xml:space="preserve"> PAGEREF _Toc10128 \h </w:instrText>
      </w:r>
      <w:r>
        <w:fldChar w:fldCharType="separate"/>
      </w:r>
      <w:r>
        <w:t>23</w:t>
      </w:r>
      <w:r>
        <w:fldChar w:fldCharType="end"/>
      </w:r>
      <w:r>
        <w:rPr>
          <w:color w:val="auto"/>
        </w:rPr>
        <w:fldChar w:fldCharType="end"/>
      </w:r>
    </w:p>
    <w:p>
      <w:pPr>
        <w:pStyle w:val="19"/>
        <w:tabs>
          <w:tab w:val="right" w:leader="dot" w:pos="9412"/>
        </w:tabs>
      </w:pPr>
      <w:r>
        <w:rPr>
          <w:color w:val="auto"/>
        </w:rPr>
        <w:fldChar w:fldCharType="begin"/>
      </w:r>
      <w:r>
        <w:instrText xml:space="preserve"> HYPERLINK \l _Toc6339 </w:instrText>
      </w:r>
      <w:r>
        <w:fldChar w:fldCharType="separate"/>
      </w:r>
      <w:r>
        <w:rPr>
          <w:rFonts w:hint="eastAsia" w:ascii="仿宋" w:hAnsi="仿宋" w:eastAsia="仿宋"/>
          <w:szCs w:val="22"/>
        </w:rPr>
        <w:t>五、知识产权</w:t>
      </w:r>
      <w:r>
        <w:tab/>
      </w:r>
      <w:r>
        <w:fldChar w:fldCharType="begin"/>
      </w:r>
      <w:r>
        <w:instrText xml:space="preserve"> PAGEREF _Toc6339 \h </w:instrText>
      </w:r>
      <w:r>
        <w:fldChar w:fldCharType="separate"/>
      </w:r>
      <w:r>
        <w:t>24</w:t>
      </w:r>
      <w:r>
        <w:fldChar w:fldCharType="end"/>
      </w:r>
      <w:r>
        <w:rPr>
          <w:color w:val="auto"/>
        </w:rPr>
        <w:fldChar w:fldCharType="end"/>
      </w:r>
    </w:p>
    <w:p>
      <w:pPr>
        <w:pStyle w:val="19"/>
        <w:tabs>
          <w:tab w:val="right" w:leader="dot" w:pos="9412"/>
        </w:tabs>
      </w:pPr>
      <w:r>
        <w:rPr>
          <w:color w:val="auto"/>
        </w:rPr>
        <w:fldChar w:fldCharType="begin"/>
      </w:r>
      <w:r>
        <w:instrText xml:space="preserve"> HYPERLINK \l _Toc19479 </w:instrText>
      </w:r>
      <w:r>
        <w:fldChar w:fldCharType="separate"/>
      </w:r>
      <w:r>
        <w:rPr>
          <w:rFonts w:hint="eastAsia" w:ascii="仿宋" w:hAnsi="仿宋" w:eastAsia="仿宋"/>
          <w:szCs w:val="22"/>
        </w:rPr>
        <w:t>六、培训</w:t>
      </w:r>
      <w:r>
        <w:tab/>
      </w:r>
      <w:r>
        <w:fldChar w:fldCharType="begin"/>
      </w:r>
      <w:r>
        <w:instrText xml:space="preserve"> PAGEREF _Toc19479 \h </w:instrText>
      </w:r>
      <w:r>
        <w:fldChar w:fldCharType="separate"/>
      </w:r>
      <w:r>
        <w:t>24</w:t>
      </w:r>
      <w:r>
        <w:fldChar w:fldCharType="end"/>
      </w:r>
      <w:r>
        <w:rPr>
          <w:color w:val="auto"/>
        </w:rPr>
        <w:fldChar w:fldCharType="end"/>
      </w:r>
    </w:p>
    <w:p>
      <w:pPr>
        <w:pStyle w:val="19"/>
        <w:tabs>
          <w:tab w:val="right" w:leader="dot" w:pos="9412"/>
        </w:tabs>
      </w:pPr>
      <w:r>
        <w:rPr>
          <w:color w:val="auto"/>
        </w:rPr>
        <w:fldChar w:fldCharType="begin"/>
      </w:r>
      <w:r>
        <w:instrText xml:space="preserve"> HYPERLINK \l _Toc12480 </w:instrText>
      </w:r>
      <w:r>
        <w:fldChar w:fldCharType="separate"/>
      </w:r>
      <w:r>
        <w:rPr>
          <w:rFonts w:hint="eastAsia" w:ascii="仿宋" w:hAnsi="仿宋" w:eastAsia="仿宋"/>
          <w:szCs w:val="22"/>
        </w:rPr>
        <w:t>七、其他</w:t>
      </w:r>
      <w:r>
        <w:tab/>
      </w:r>
      <w:r>
        <w:fldChar w:fldCharType="begin"/>
      </w:r>
      <w:r>
        <w:instrText xml:space="preserve"> PAGEREF _Toc12480 \h </w:instrText>
      </w:r>
      <w:r>
        <w:fldChar w:fldCharType="separate"/>
      </w:r>
      <w:r>
        <w:t>24</w:t>
      </w:r>
      <w:r>
        <w:fldChar w:fldCharType="end"/>
      </w:r>
      <w:r>
        <w:rPr>
          <w:color w:val="auto"/>
        </w:rPr>
        <w:fldChar w:fldCharType="end"/>
      </w:r>
    </w:p>
    <w:p>
      <w:pPr>
        <w:pStyle w:val="17"/>
        <w:tabs>
          <w:tab w:val="right" w:leader="dot" w:pos="9412"/>
        </w:tabs>
      </w:pPr>
      <w:r>
        <w:rPr>
          <w:color w:val="auto"/>
        </w:rPr>
        <w:fldChar w:fldCharType="begin"/>
      </w:r>
      <w:r>
        <w:instrText xml:space="preserve"> HYPERLINK \l _Toc3204 </w:instrText>
      </w:r>
      <w:r>
        <w:fldChar w:fldCharType="separate"/>
      </w:r>
      <w:r>
        <w:rPr>
          <w:rFonts w:hint="eastAsia" w:ascii="黑体" w:hAnsi="黑体" w:eastAsia="方正小标宋简体" w:cs="黑体"/>
        </w:rPr>
        <w:t xml:space="preserve">第四篇 </w:t>
      </w:r>
      <w:r>
        <w:rPr>
          <w:rFonts w:hint="eastAsia" w:ascii="方正小标宋简体" w:eastAsia="方正小标宋简体"/>
        </w:rPr>
        <w:t>资格审查及评标办法</w:t>
      </w:r>
      <w:r>
        <w:tab/>
      </w:r>
      <w:r>
        <w:fldChar w:fldCharType="begin"/>
      </w:r>
      <w:r>
        <w:instrText xml:space="preserve"> PAGEREF _Toc3204 \h </w:instrText>
      </w:r>
      <w:r>
        <w:fldChar w:fldCharType="separate"/>
      </w:r>
      <w:r>
        <w:t>25</w:t>
      </w:r>
      <w:r>
        <w:fldChar w:fldCharType="end"/>
      </w:r>
      <w:r>
        <w:rPr>
          <w:color w:val="auto"/>
        </w:rPr>
        <w:fldChar w:fldCharType="end"/>
      </w:r>
    </w:p>
    <w:p>
      <w:pPr>
        <w:pStyle w:val="19"/>
        <w:tabs>
          <w:tab w:val="right" w:leader="dot" w:pos="9412"/>
        </w:tabs>
      </w:pPr>
      <w:r>
        <w:rPr>
          <w:color w:val="auto"/>
        </w:rPr>
        <w:fldChar w:fldCharType="begin"/>
      </w:r>
      <w:r>
        <w:instrText xml:space="preserve"> HYPERLINK \l _Toc2796 </w:instrText>
      </w:r>
      <w:r>
        <w:fldChar w:fldCharType="separate"/>
      </w:r>
      <w:r>
        <w:rPr>
          <w:rFonts w:hint="eastAsia" w:ascii="仿宋" w:hAnsi="仿宋" w:eastAsia="仿宋"/>
          <w:szCs w:val="22"/>
        </w:rPr>
        <w:t>一、资格审查及符合性审查</w:t>
      </w:r>
      <w:r>
        <w:tab/>
      </w:r>
      <w:r>
        <w:fldChar w:fldCharType="begin"/>
      </w:r>
      <w:r>
        <w:instrText xml:space="preserve"> PAGEREF _Toc2796 \h </w:instrText>
      </w:r>
      <w:r>
        <w:fldChar w:fldCharType="separate"/>
      </w:r>
      <w:r>
        <w:t>25</w:t>
      </w:r>
      <w:r>
        <w:fldChar w:fldCharType="end"/>
      </w:r>
      <w:r>
        <w:rPr>
          <w:color w:val="auto"/>
        </w:rPr>
        <w:fldChar w:fldCharType="end"/>
      </w:r>
    </w:p>
    <w:p>
      <w:pPr>
        <w:pStyle w:val="19"/>
        <w:tabs>
          <w:tab w:val="right" w:leader="dot" w:pos="9412"/>
        </w:tabs>
      </w:pPr>
      <w:r>
        <w:rPr>
          <w:color w:val="auto"/>
        </w:rPr>
        <w:fldChar w:fldCharType="begin"/>
      </w:r>
      <w:r>
        <w:instrText xml:space="preserve"> HYPERLINK \l _Toc3532 </w:instrText>
      </w:r>
      <w:r>
        <w:fldChar w:fldCharType="separate"/>
      </w:r>
      <w:r>
        <w:rPr>
          <w:rFonts w:hint="eastAsia" w:ascii="仿宋" w:hAnsi="仿宋" w:eastAsia="仿宋"/>
          <w:szCs w:val="22"/>
        </w:rPr>
        <w:t>二、评标方法</w:t>
      </w:r>
      <w:r>
        <w:tab/>
      </w:r>
      <w:r>
        <w:fldChar w:fldCharType="begin"/>
      </w:r>
      <w:r>
        <w:instrText xml:space="preserve"> PAGEREF _Toc3532 \h </w:instrText>
      </w:r>
      <w:r>
        <w:fldChar w:fldCharType="separate"/>
      </w:r>
      <w:r>
        <w:t>27</w:t>
      </w:r>
      <w:r>
        <w:fldChar w:fldCharType="end"/>
      </w:r>
      <w:r>
        <w:rPr>
          <w:color w:val="auto"/>
        </w:rPr>
        <w:fldChar w:fldCharType="end"/>
      </w:r>
    </w:p>
    <w:p>
      <w:pPr>
        <w:pStyle w:val="19"/>
        <w:tabs>
          <w:tab w:val="right" w:leader="dot" w:pos="9412"/>
        </w:tabs>
      </w:pPr>
      <w:r>
        <w:rPr>
          <w:color w:val="auto"/>
        </w:rPr>
        <w:fldChar w:fldCharType="begin"/>
      </w:r>
      <w:r>
        <w:instrText xml:space="preserve"> HYPERLINK \l _Toc3813 </w:instrText>
      </w:r>
      <w:r>
        <w:fldChar w:fldCharType="separate"/>
      </w:r>
      <w:r>
        <w:rPr>
          <w:rFonts w:hint="eastAsia" w:ascii="仿宋" w:hAnsi="仿宋" w:eastAsia="仿宋"/>
          <w:szCs w:val="22"/>
        </w:rPr>
        <w:t>三、评标标准</w:t>
      </w:r>
      <w:r>
        <w:tab/>
      </w:r>
      <w:r>
        <w:fldChar w:fldCharType="begin"/>
      </w:r>
      <w:r>
        <w:instrText xml:space="preserve"> PAGEREF _Toc3813 \h </w:instrText>
      </w:r>
      <w:r>
        <w:fldChar w:fldCharType="separate"/>
      </w:r>
      <w:r>
        <w:t>27</w:t>
      </w:r>
      <w:r>
        <w:fldChar w:fldCharType="end"/>
      </w:r>
      <w:r>
        <w:rPr>
          <w:color w:val="auto"/>
        </w:rPr>
        <w:fldChar w:fldCharType="end"/>
      </w:r>
    </w:p>
    <w:p>
      <w:pPr>
        <w:pStyle w:val="19"/>
        <w:tabs>
          <w:tab w:val="right" w:leader="dot" w:pos="9412"/>
        </w:tabs>
      </w:pPr>
      <w:r>
        <w:rPr>
          <w:color w:val="auto"/>
        </w:rPr>
        <w:fldChar w:fldCharType="begin"/>
      </w:r>
      <w:r>
        <w:instrText xml:space="preserve"> HYPERLINK \l _Toc30624 </w:instrText>
      </w:r>
      <w:r>
        <w:fldChar w:fldCharType="separate"/>
      </w:r>
      <w:r>
        <w:rPr>
          <w:rFonts w:hint="eastAsia" w:ascii="仿宋" w:hAnsi="仿宋" w:eastAsia="仿宋"/>
          <w:szCs w:val="22"/>
        </w:rPr>
        <w:t>四、无效投标条款</w:t>
      </w:r>
      <w:r>
        <w:tab/>
      </w:r>
      <w:r>
        <w:fldChar w:fldCharType="begin"/>
      </w:r>
      <w:r>
        <w:instrText xml:space="preserve"> PAGEREF _Toc30624 \h </w:instrText>
      </w:r>
      <w:r>
        <w:fldChar w:fldCharType="separate"/>
      </w:r>
      <w:r>
        <w:t>28</w:t>
      </w:r>
      <w:r>
        <w:fldChar w:fldCharType="end"/>
      </w:r>
      <w:r>
        <w:rPr>
          <w:color w:val="auto"/>
        </w:rPr>
        <w:fldChar w:fldCharType="end"/>
      </w:r>
    </w:p>
    <w:p>
      <w:pPr>
        <w:pStyle w:val="19"/>
        <w:tabs>
          <w:tab w:val="right" w:leader="dot" w:pos="9412"/>
        </w:tabs>
      </w:pPr>
      <w:r>
        <w:rPr>
          <w:color w:val="auto"/>
        </w:rPr>
        <w:fldChar w:fldCharType="begin"/>
      </w:r>
      <w:r>
        <w:instrText xml:space="preserve"> HYPERLINK \l _Toc27499 </w:instrText>
      </w:r>
      <w:r>
        <w:fldChar w:fldCharType="separate"/>
      </w:r>
      <w:r>
        <w:rPr>
          <w:rFonts w:hint="eastAsia" w:ascii="仿宋" w:hAnsi="仿宋" w:eastAsia="仿宋"/>
          <w:szCs w:val="22"/>
        </w:rPr>
        <w:t>五、废标条款</w:t>
      </w:r>
      <w:r>
        <w:tab/>
      </w:r>
      <w:r>
        <w:fldChar w:fldCharType="begin"/>
      </w:r>
      <w:r>
        <w:instrText xml:space="preserve"> PAGEREF _Toc27499 \h </w:instrText>
      </w:r>
      <w:r>
        <w:fldChar w:fldCharType="separate"/>
      </w:r>
      <w:r>
        <w:t>28</w:t>
      </w:r>
      <w:r>
        <w:fldChar w:fldCharType="end"/>
      </w:r>
      <w:r>
        <w:rPr>
          <w:color w:val="auto"/>
        </w:rPr>
        <w:fldChar w:fldCharType="end"/>
      </w:r>
    </w:p>
    <w:p>
      <w:pPr>
        <w:pStyle w:val="17"/>
        <w:tabs>
          <w:tab w:val="right" w:leader="dot" w:pos="9412"/>
        </w:tabs>
      </w:pPr>
      <w:r>
        <w:rPr>
          <w:color w:val="auto"/>
        </w:rPr>
        <w:fldChar w:fldCharType="begin"/>
      </w:r>
      <w:r>
        <w:instrText xml:space="preserve"> HYPERLINK \l _Toc12166 </w:instrText>
      </w:r>
      <w:r>
        <w:fldChar w:fldCharType="separate"/>
      </w:r>
      <w:r>
        <w:rPr>
          <w:rFonts w:hint="eastAsia" w:ascii="黑体" w:hAnsi="黑体" w:eastAsia="方正小标宋简体" w:cs="黑体"/>
          <w:szCs w:val="22"/>
        </w:rPr>
        <w:t xml:space="preserve">第五篇 </w:t>
      </w:r>
      <w:r>
        <w:rPr>
          <w:rFonts w:hint="eastAsia" w:ascii="方正小标宋简体" w:eastAsia="方正小标宋简体"/>
          <w:szCs w:val="22"/>
        </w:rPr>
        <w:t>投标人须知</w:t>
      </w:r>
      <w:r>
        <w:tab/>
      </w:r>
      <w:r>
        <w:fldChar w:fldCharType="begin"/>
      </w:r>
      <w:r>
        <w:instrText xml:space="preserve"> PAGEREF _Toc12166 \h </w:instrText>
      </w:r>
      <w:r>
        <w:fldChar w:fldCharType="separate"/>
      </w:r>
      <w:r>
        <w:t>30</w:t>
      </w:r>
      <w:r>
        <w:fldChar w:fldCharType="end"/>
      </w:r>
      <w:r>
        <w:rPr>
          <w:color w:val="auto"/>
        </w:rPr>
        <w:fldChar w:fldCharType="end"/>
      </w:r>
    </w:p>
    <w:p>
      <w:pPr>
        <w:pStyle w:val="19"/>
        <w:tabs>
          <w:tab w:val="right" w:leader="dot" w:pos="9412"/>
        </w:tabs>
      </w:pPr>
      <w:r>
        <w:rPr>
          <w:color w:val="auto"/>
        </w:rPr>
        <w:fldChar w:fldCharType="begin"/>
      </w:r>
      <w:r>
        <w:instrText xml:space="preserve"> HYPERLINK \l _Toc18543 </w:instrText>
      </w:r>
      <w:r>
        <w:fldChar w:fldCharType="separate"/>
      </w:r>
      <w:r>
        <w:rPr>
          <w:rFonts w:hint="eastAsia" w:ascii="仿宋" w:hAnsi="仿宋" w:eastAsia="仿宋"/>
          <w:szCs w:val="22"/>
        </w:rPr>
        <w:t>一、投标人</w:t>
      </w:r>
      <w:r>
        <w:tab/>
      </w:r>
      <w:r>
        <w:fldChar w:fldCharType="begin"/>
      </w:r>
      <w:r>
        <w:instrText xml:space="preserve"> PAGEREF _Toc18543 \h </w:instrText>
      </w:r>
      <w:r>
        <w:fldChar w:fldCharType="separate"/>
      </w:r>
      <w:r>
        <w:t>30</w:t>
      </w:r>
      <w:r>
        <w:fldChar w:fldCharType="end"/>
      </w:r>
      <w:r>
        <w:rPr>
          <w:color w:val="auto"/>
        </w:rPr>
        <w:fldChar w:fldCharType="end"/>
      </w:r>
    </w:p>
    <w:p>
      <w:pPr>
        <w:pStyle w:val="19"/>
        <w:tabs>
          <w:tab w:val="right" w:leader="dot" w:pos="9412"/>
        </w:tabs>
      </w:pPr>
      <w:r>
        <w:rPr>
          <w:color w:val="auto"/>
        </w:rPr>
        <w:fldChar w:fldCharType="begin"/>
      </w:r>
      <w:r>
        <w:instrText xml:space="preserve"> HYPERLINK \l _Toc17147 </w:instrText>
      </w:r>
      <w:r>
        <w:fldChar w:fldCharType="separate"/>
      </w:r>
      <w:r>
        <w:rPr>
          <w:rFonts w:hint="eastAsia" w:ascii="仿宋" w:hAnsi="仿宋" w:eastAsia="仿宋"/>
          <w:szCs w:val="22"/>
        </w:rPr>
        <w:t>二、招标文件</w:t>
      </w:r>
      <w:r>
        <w:tab/>
      </w:r>
      <w:r>
        <w:fldChar w:fldCharType="begin"/>
      </w:r>
      <w:r>
        <w:instrText xml:space="preserve"> PAGEREF _Toc17147 \h </w:instrText>
      </w:r>
      <w:r>
        <w:fldChar w:fldCharType="separate"/>
      </w:r>
      <w:r>
        <w:t>30</w:t>
      </w:r>
      <w:r>
        <w:fldChar w:fldCharType="end"/>
      </w:r>
      <w:r>
        <w:rPr>
          <w:color w:val="auto"/>
        </w:rPr>
        <w:fldChar w:fldCharType="end"/>
      </w:r>
    </w:p>
    <w:p>
      <w:pPr>
        <w:pStyle w:val="19"/>
        <w:tabs>
          <w:tab w:val="right" w:leader="dot" w:pos="9412"/>
        </w:tabs>
      </w:pPr>
      <w:r>
        <w:rPr>
          <w:color w:val="auto"/>
        </w:rPr>
        <w:fldChar w:fldCharType="begin"/>
      </w:r>
      <w:r>
        <w:instrText xml:space="preserve"> HYPERLINK \l _Toc25778 </w:instrText>
      </w:r>
      <w:r>
        <w:fldChar w:fldCharType="separate"/>
      </w:r>
      <w:r>
        <w:rPr>
          <w:rFonts w:hint="eastAsia" w:ascii="仿宋" w:hAnsi="仿宋" w:eastAsia="仿宋"/>
          <w:szCs w:val="22"/>
        </w:rPr>
        <w:t>三、投标文件</w:t>
      </w:r>
      <w:r>
        <w:tab/>
      </w:r>
      <w:r>
        <w:fldChar w:fldCharType="begin"/>
      </w:r>
      <w:r>
        <w:instrText xml:space="preserve"> PAGEREF _Toc25778 \h </w:instrText>
      </w:r>
      <w:r>
        <w:fldChar w:fldCharType="separate"/>
      </w:r>
      <w:r>
        <w:t>31</w:t>
      </w:r>
      <w:r>
        <w:fldChar w:fldCharType="end"/>
      </w:r>
      <w:r>
        <w:rPr>
          <w:color w:val="auto"/>
        </w:rPr>
        <w:fldChar w:fldCharType="end"/>
      </w:r>
    </w:p>
    <w:p>
      <w:pPr>
        <w:pStyle w:val="19"/>
        <w:tabs>
          <w:tab w:val="right" w:leader="dot" w:pos="9412"/>
        </w:tabs>
      </w:pPr>
      <w:r>
        <w:rPr>
          <w:color w:val="auto"/>
        </w:rPr>
        <w:fldChar w:fldCharType="begin"/>
      </w:r>
      <w:r>
        <w:instrText xml:space="preserve"> HYPERLINK \l _Toc26601 </w:instrText>
      </w:r>
      <w:r>
        <w:fldChar w:fldCharType="separate"/>
      </w:r>
      <w:r>
        <w:rPr>
          <w:rFonts w:hint="eastAsia" w:ascii="仿宋" w:hAnsi="仿宋" w:eastAsia="仿宋"/>
          <w:szCs w:val="22"/>
        </w:rPr>
        <w:t>四、开标</w:t>
      </w:r>
      <w:r>
        <w:tab/>
      </w:r>
      <w:r>
        <w:fldChar w:fldCharType="begin"/>
      </w:r>
      <w:r>
        <w:instrText xml:space="preserve"> PAGEREF _Toc26601 \h </w:instrText>
      </w:r>
      <w:r>
        <w:fldChar w:fldCharType="separate"/>
      </w:r>
      <w:r>
        <w:t>33</w:t>
      </w:r>
      <w:r>
        <w:fldChar w:fldCharType="end"/>
      </w:r>
      <w:r>
        <w:rPr>
          <w:color w:val="auto"/>
        </w:rPr>
        <w:fldChar w:fldCharType="end"/>
      </w:r>
    </w:p>
    <w:p>
      <w:pPr>
        <w:pStyle w:val="19"/>
        <w:tabs>
          <w:tab w:val="right" w:leader="dot" w:pos="9412"/>
        </w:tabs>
      </w:pPr>
      <w:r>
        <w:rPr>
          <w:color w:val="auto"/>
        </w:rPr>
        <w:fldChar w:fldCharType="begin"/>
      </w:r>
      <w:r>
        <w:instrText xml:space="preserve"> HYPERLINK \l _Toc4067 </w:instrText>
      </w:r>
      <w:r>
        <w:fldChar w:fldCharType="separate"/>
      </w:r>
      <w:r>
        <w:rPr>
          <w:rFonts w:hint="eastAsia" w:ascii="仿宋" w:hAnsi="仿宋" w:eastAsia="仿宋"/>
          <w:szCs w:val="22"/>
        </w:rPr>
        <w:t>五、评标</w:t>
      </w:r>
      <w:r>
        <w:tab/>
      </w:r>
      <w:r>
        <w:fldChar w:fldCharType="begin"/>
      </w:r>
      <w:r>
        <w:instrText xml:space="preserve"> PAGEREF _Toc4067 \h </w:instrText>
      </w:r>
      <w:r>
        <w:fldChar w:fldCharType="separate"/>
      </w:r>
      <w:r>
        <w:t>33</w:t>
      </w:r>
      <w:r>
        <w:fldChar w:fldCharType="end"/>
      </w:r>
      <w:r>
        <w:rPr>
          <w:color w:val="auto"/>
        </w:rPr>
        <w:fldChar w:fldCharType="end"/>
      </w:r>
    </w:p>
    <w:p>
      <w:pPr>
        <w:pStyle w:val="19"/>
        <w:tabs>
          <w:tab w:val="right" w:leader="dot" w:pos="9412"/>
        </w:tabs>
      </w:pPr>
      <w:r>
        <w:rPr>
          <w:color w:val="auto"/>
        </w:rPr>
        <w:fldChar w:fldCharType="begin"/>
      </w:r>
      <w:r>
        <w:instrText xml:space="preserve"> HYPERLINK \l _Toc775 </w:instrText>
      </w:r>
      <w:r>
        <w:fldChar w:fldCharType="separate"/>
      </w:r>
      <w:r>
        <w:rPr>
          <w:rFonts w:hint="eastAsia" w:ascii="仿宋" w:hAnsi="仿宋" w:eastAsia="仿宋"/>
          <w:szCs w:val="22"/>
        </w:rPr>
        <w:t>六、定标</w:t>
      </w:r>
      <w:r>
        <w:tab/>
      </w:r>
      <w:r>
        <w:fldChar w:fldCharType="begin"/>
      </w:r>
      <w:r>
        <w:instrText xml:space="preserve"> PAGEREF _Toc775 \h </w:instrText>
      </w:r>
      <w:r>
        <w:fldChar w:fldCharType="separate"/>
      </w:r>
      <w:r>
        <w:t>33</w:t>
      </w:r>
      <w:r>
        <w:fldChar w:fldCharType="end"/>
      </w:r>
      <w:r>
        <w:rPr>
          <w:color w:val="auto"/>
        </w:rPr>
        <w:fldChar w:fldCharType="end"/>
      </w:r>
    </w:p>
    <w:p>
      <w:pPr>
        <w:pStyle w:val="19"/>
        <w:tabs>
          <w:tab w:val="right" w:leader="dot" w:pos="9412"/>
        </w:tabs>
      </w:pPr>
      <w:r>
        <w:rPr>
          <w:color w:val="auto"/>
        </w:rPr>
        <w:fldChar w:fldCharType="begin"/>
      </w:r>
      <w:r>
        <w:instrText xml:space="preserve"> HYPERLINK \l _Toc10388 </w:instrText>
      </w:r>
      <w:r>
        <w:fldChar w:fldCharType="separate"/>
      </w:r>
      <w:r>
        <w:rPr>
          <w:rFonts w:hint="eastAsia" w:ascii="仿宋" w:hAnsi="仿宋" w:eastAsia="仿宋"/>
          <w:szCs w:val="22"/>
        </w:rPr>
        <w:t>七、中标</w:t>
      </w:r>
      <w:r>
        <w:tab/>
      </w:r>
      <w:r>
        <w:fldChar w:fldCharType="begin"/>
      </w:r>
      <w:r>
        <w:instrText xml:space="preserve"> PAGEREF _Toc10388 \h </w:instrText>
      </w:r>
      <w:r>
        <w:fldChar w:fldCharType="separate"/>
      </w:r>
      <w:r>
        <w:t>34</w:t>
      </w:r>
      <w:r>
        <w:fldChar w:fldCharType="end"/>
      </w:r>
      <w:r>
        <w:rPr>
          <w:color w:val="auto"/>
        </w:rPr>
        <w:fldChar w:fldCharType="end"/>
      </w:r>
    </w:p>
    <w:p>
      <w:pPr>
        <w:pStyle w:val="19"/>
        <w:tabs>
          <w:tab w:val="right" w:leader="dot" w:pos="9412"/>
        </w:tabs>
      </w:pPr>
      <w:r>
        <w:rPr>
          <w:color w:val="auto"/>
        </w:rPr>
        <w:fldChar w:fldCharType="begin"/>
      </w:r>
      <w:r>
        <w:instrText xml:space="preserve"> HYPERLINK \l _Toc14960 </w:instrText>
      </w:r>
      <w:r>
        <w:fldChar w:fldCharType="separate"/>
      </w:r>
      <w:r>
        <w:rPr>
          <w:rFonts w:hint="eastAsia" w:ascii="仿宋" w:hAnsi="仿宋" w:eastAsia="仿宋"/>
          <w:szCs w:val="22"/>
        </w:rPr>
        <w:t>八、询问、质疑和投诉</w:t>
      </w:r>
      <w:r>
        <w:tab/>
      </w:r>
      <w:r>
        <w:fldChar w:fldCharType="begin"/>
      </w:r>
      <w:r>
        <w:instrText xml:space="preserve"> PAGEREF _Toc14960 \h </w:instrText>
      </w:r>
      <w:r>
        <w:fldChar w:fldCharType="separate"/>
      </w:r>
      <w:r>
        <w:t>34</w:t>
      </w:r>
      <w:r>
        <w:fldChar w:fldCharType="end"/>
      </w:r>
      <w:r>
        <w:rPr>
          <w:color w:val="auto"/>
        </w:rPr>
        <w:fldChar w:fldCharType="end"/>
      </w:r>
    </w:p>
    <w:p>
      <w:pPr>
        <w:pStyle w:val="19"/>
        <w:tabs>
          <w:tab w:val="right" w:leader="dot" w:pos="9412"/>
        </w:tabs>
      </w:pPr>
      <w:r>
        <w:rPr>
          <w:color w:val="auto"/>
        </w:rPr>
        <w:fldChar w:fldCharType="begin"/>
      </w:r>
      <w:r>
        <w:instrText xml:space="preserve"> HYPERLINK \l _Toc16127 </w:instrText>
      </w:r>
      <w:r>
        <w:fldChar w:fldCharType="separate"/>
      </w:r>
      <w:r>
        <w:rPr>
          <w:rFonts w:hint="eastAsia" w:ascii="仿宋" w:hAnsi="仿宋" w:eastAsia="仿宋"/>
          <w:szCs w:val="22"/>
        </w:rPr>
        <w:t>九、签订合同</w:t>
      </w:r>
      <w:r>
        <w:tab/>
      </w:r>
      <w:r>
        <w:fldChar w:fldCharType="begin"/>
      </w:r>
      <w:r>
        <w:instrText xml:space="preserve"> PAGEREF _Toc16127 \h </w:instrText>
      </w:r>
      <w:r>
        <w:fldChar w:fldCharType="separate"/>
      </w:r>
      <w:r>
        <w:t>36</w:t>
      </w:r>
      <w:r>
        <w:fldChar w:fldCharType="end"/>
      </w:r>
      <w:r>
        <w:rPr>
          <w:color w:val="auto"/>
        </w:rPr>
        <w:fldChar w:fldCharType="end"/>
      </w:r>
    </w:p>
    <w:p>
      <w:pPr>
        <w:pStyle w:val="19"/>
        <w:tabs>
          <w:tab w:val="right" w:leader="dot" w:pos="9412"/>
        </w:tabs>
      </w:pPr>
      <w:r>
        <w:rPr>
          <w:color w:val="auto"/>
        </w:rPr>
        <w:fldChar w:fldCharType="begin"/>
      </w:r>
      <w:r>
        <w:instrText xml:space="preserve"> HYPERLINK \l _Toc32221 </w:instrText>
      </w:r>
      <w:r>
        <w:fldChar w:fldCharType="separate"/>
      </w:r>
      <w:r>
        <w:rPr>
          <w:rFonts w:hint="eastAsia" w:ascii="仿宋" w:hAnsi="仿宋" w:eastAsia="仿宋"/>
          <w:szCs w:val="22"/>
        </w:rPr>
        <w:t>十、项目验收</w:t>
      </w:r>
      <w:r>
        <w:tab/>
      </w:r>
      <w:r>
        <w:fldChar w:fldCharType="begin"/>
      </w:r>
      <w:r>
        <w:instrText xml:space="preserve"> PAGEREF _Toc32221 \h </w:instrText>
      </w:r>
      <w:r>
        <w:fldChar w:fldCharType="separate"/>
      </w:r>
      <w:r>
        <w:t>36</w:t>
      </w:r>
      <w:r>
        <w:fldChar w:fldCharType="end"/>
      </w:r>
      <w:r>
        <w:rPr>
          <w:color w:val="auto"/>
        </w:rPr>
        <w:fldChar w:fldCharType="end"/>
      </w:r>
    </w:p>
    <w:p>
      <w:pPr>
        <w:pStyle w:val="19"/>
        <w:tabs>
          <w:tab w:val="right" w:leader="dot" w:pos="9412"/>
        </w:tabs>
      </w:pPr>
      <w:r>
        <w:rPr>
          <w:color w:val="auto"/>
        </w:rPr>
        <w:fldChar w:fldCharType="begin"/>
      </w:r>
      <w:r>
        <w:instrText xml:space="preserve"> HYPERLINK \l _Toc10964 </w:instrText>
      </w:r>
      <w:r>
        <w:fldChar w:fldCharType="separate"/>
      </w:r>
      <w:r>
        <w:rPr>
          <w:rFonts w:hint="eastAsia" w:ascii="仿宋" w:hAnsi="仿宋" w:eastAsia="仿宋"/>
          <w:szCs w:val="22"/>
        </w:rPr>
        <w:t>十一、政府采购信用融资</w:t>
      </w:r>
      <w:r>
        <w:tab/>
      </w:r>
      <w:r>
        <w:fldChar w:fldCharType="begin"/>
      </w:r>
      <w:r>
        <w:instrText xml:space="preserve"> PAGEREF _Toc10964 \h </w:instrText>
      </w:r>
      <w:r>
        <w:fldChar w:fldCharType="separate"/>
      </w:r>
      <w:r>
        <w:t>36</w:t>
      </w:r>
      <w:r>
        <w:fldChar w:fldCharType="end"/>
      </w:r>
      <w:r>
        <w:rPr>
          <w:color w:val="auto"/>
        </w:rPr>
        <w:fldChar w:fldCharType="end"/>
      </w:r>
    </w:p>
    <w:p>
      <w:pPr>
        <w:pStyle w:val="17"/>
        <w:tabs>
          <w:tab w:val="right" w:leader="dot" w:pos="9412"/>
        </w:tabs>
      </w:pPr>
      <w:r>
        <w:rPr>
          <w:color w:val="auto"/>
        </w:rPr>
        <w:fldChar w:fldCharType="begin"/>
      </w:r>
      <w:r>
        <w:instrText xml:space="preserve"> HYPERLINK \l _Toc14760 </w:instrText>
      </w:r>
      <w:r>
        <w:fldChar w:fldCharType="separate"/>
      </w:r>
      <w:r>
        <w:rPr>
          <w:rFonts w:hint="eastAsia" w:ascii="黑体" w:hAnsi="黑体" w:eastAsia="方正小标宋简体" w:cs="黑体"/>
          <w:szCs w:val="22"/>
        </w:rPr>
        <w:t xml:space="preserve">第六篇 </w:t>
      </w:r>
      <w:r>
        <w:rPr>
          <w:rFonts w:hint="eastAsia" w:ascii="方正小标宋简体" w:eastAsia="方正小标宋简体"/>
          <w:szCs w:val="22"/>
        </w:rPr>
        <w:t>合同主要条款和格式合同（样本）</w:t>
      </w:r>
      <w:r>
        <w:tab/>
      </w:r>
      <w:r>
        <w:fldChar w:fldCharType="begin"/>
      </w:r>
      <w:r>
        <w:instrText xml:space="preserve"> PAGEREF _Toc14760 \h </w:instrText>
      </w:r>
      <w:r>
        <w:fldChar w:fldCharType="separate"/>
      </w:r>
      <w:r>
        <w:t>37</w:t>
      </w:r>
      <w:r>
        <w:fldChar w:fldCharType="end"/>
      </w:r>
      <w:r>
        <w:rPr>
          <w:color w:val="auto"/>
        </w:rPr>
        <w:fldChar w:fldCharType="end"/>
      </w:r>
    </w:p>
    <w:p>
      <w:pPr>
        <w:pStyle w:val="19"/>
        <w:tabs>
          <w:tab w:val="right" w:leader="dot" w:pos="9412"/>
        </w:tabs>
      </w:pPr>
      <w:r>
        <w:rPr>
          <w:color w:val="auto"/>
        </w:rPr>
        <w:fldChar w:fldCharType="begin"/>
      </w:r>
      <w:r>
        <w:instrText xml:space="preserve"> HYPERLINK \l _Toc5293 </w:instrText>
      </w:r>
      <w:r>
        <w:fldChar w:fldCharType="separate"/>
      </w:r>
      <w:r>
        <w:rPr>
          <w:rFonts w:hint="eastAsia" w:ascii="仿宋" w:hAnsi="仿宋" w:eastAsia="仿宋"/>
          <w:szCs w:val="22"/>
        </w:rPr>
        <w:t>一、合同主要条款</w:t>
      </w:r>
      <w:r>
        <w:tab/>
      </w:r>
      <w:r>
        <w:fldChar w:fldCharType="begin"/>
      </w:r>
      <w:r>
        <w:instrText xml:space="preserve"> PAGEREF _Toc5293 \h </w:instrText>
      </w:r>
      <w:r>
        <w:fldChar w:fldCharType="separate"/>
      </w:r>
      <w:r>
        <w:t>37</w:t>
      </w:r>
      <w:r>
        <w:fldChar w:fldCharType="end"/>
      </w:r>
      <w:r>
        <w:rPr>
          <w:color w:val="auto"/>
        </w:rPr>
        <w:fldChar w:fldCharType="end"/>
      </w:r>
    </w:p>
    <w:p>
      <w:pPr>
        <w:pStyle w:val="19"/>
        <w:tabs>
          <w:tab w:val="right" w:leader="dot" w:pos="9412"/>
        </w:tabs>
      </w:pPr>
      <w:r>
        <w:rPr>
          <w:color w:val="auto"/>
        </w:rPr>
        <w:fldChar w:fldCharType="begin"/>
      </w:r>
      <w:r>
        <w:instrText xml:space="preserve"> HYPERLINK \l _Toc21261 </w:instrText>
      </w:r>
      <w:r>
        <w:fldChar w:fldCharType="separate"/>
      </w:r>
      <w:r>
        <w:rPr>
          <w:rFonts w:hint="eastAsia" w:ascii="仿宋" w:hAnsi="仿宋" w:eastAsia="仿宋"/>
          <w:szCs w:val="22"/>
        </w:rPr>
        <w:t>二、政府采购合同（格式）</w:t>
      </w:r>
      <w:r>
        <w:tab/>
      </w:r>
      <w:r>
        <w:fldChar w:fldCharType="begin"/>
      </w:r>
      <w:r>
        <w:instrText xml:space="preserve"> PAGEREF _Toc21261 \h </w:instrText>
      </w:r>
      <w:r>
        <w:fldChar w:fldCharType="separate"/>
      </w:r>
      <w:r>
        <w:t>40</w:t>
      </w:r>
      <w:r>
        <w:fldChar w:fldCharType="end"/>
      </w:r>
      <w:r>
        <w:rPr>
          <w:color w:val="auto"/>
        </w:rPr>
        <w:fldChar w:fldCharType="end"/>
      </w:r>
    </w:p>
    <w:p>
      <w:pPr>
        <w:pStyle w:val="17"/>
        <w:tabs>
          <w:tab w:val="right" w:leader="dot" w:pos="9412"/>
        </w:tabs>
      </w:pPr>
      <w:r>
        <w:rPr>
          <w:color w:val="auto"/>
        </w:rPr>
        <w:fldChar w:fldCharType="begin"/>
      </w:r>
      <w:r>
        <w:instrText xml:space="preserve"> HYPERLINK \l _Toc14291 </w:instrText>
      </w:r>
      <w:r>
        <w:fldChar w:fldCharType="separate"/>
      </w:r>
      <w:r>
        <w:rPr>
          <w:rFonts w:hint="eastAsia" w:ascii="黑体" w:hAnsi="黑体" w:eastAsia="方正小标宋简体" w:cs="黑体"/>
          <w:szCs w:val="22"/>
        </w:rPr>
        <w:t xml:space="preserve">第七篇 </w:t>
      </w:r>
      <w:r>
        <w:rPr>
          <w:rFonts w:hint="eastAsia" w:ascii="方正小标宋简体" w:eastAsia="方正小标宋简体"/>
          <w:szCs w:val="22"/>
        </w:rPr>
        <w:t>投标文件格式</w:t>
      </w:r>
      <w:r>
        <w:tab/>
      </w:r>
      <w:r>
        <w:fldChar w:fldCharType="begin"/>
      </w:r>
      <w:r>
        <w:instrText xml:space="preserve"> PAGEREF _Toc14291 \h </w:instrText>
      </w:r>
      <w:r>
        <w:fldChar w:fldCharType="separate"/>
      </w:r>
      <w:r>
        <w:t>42</w:t>
      </w:r>
      <w:r>
        <w:fldChar w:fldCharType="end"/>
      </w:r>
      <w:r>
        <w:rPr>
          <w:color w:val="auto"/>
        </w:rPr>
        <w:fldChar w:fldCharType="end"/>
      </w:r>
    </w:p>
    <w:p>
      <w:pPr>
        <w:pStyle w:val="19"/>
        <w:tabs>
          <w:tab w:val="right" w:leader="dot" w:pos="9412"/>
        </w:tabs>
      </w:pPr>
      <w:r>
        <w:rPr>
          <w:color w:val="auto"/>
        </w:rPr>
        <w:fldChar w:fldCharType="begin"/>
      </w:r>
      <w:r>
        <w:instrText xml:space="preserve"> HYPERLINK \l _Toc16189 </w:instrText>
      </w:r>
      <w:r>
        <w:fldChar w:fldCharType="separate"/>
      </w:r>
      <w:r>
        <w:rPr>
          <w:rFonts w:hint="default" w:ascii="仿宋" w:hAnsi="仿宋" w:eastAsia="仿宋"/>
        </w:rPr>
        <w:t>一、经济文件</w:t>
      </w:r>
      <w:r>
        <w:tab/>
      </w:r>
      <w:r>
        <w:fldChar w:fldCharType="begin"/>
      </w:r>
      <w:r>
        <w:instrText xml:space="preserve"> PAGEREF _Toc16189 \h </w:instrText>
      </w:r>
      <w:r>
        <w:fldChar w:fldCharType="separate"/>
      </w:r>
      <w:r>
        <w:t>44</w:t>
      </w:r>
      <w:r>
        <w:fldChar w:fldCharType="end"/>
      </w:r>
      <w:r>
        <w:rPr>
          <w:color w:val="auto"/>
        </w:rPr>
        <w:fldChar w:fldCharType="end"/>
      </w:r>
    </w:p>
    <w:p>
      <w:pPr>
        <w:pStyle w:val="19"/>
        <w:tabs>
          <w:tab w:val="right" w:leader="dot" w:pos="9412"/>
        </w:tabs>
      </w:pPr>
      <w:r>
        <w:rPr>
          <w:color w:val="auto"/>
        </w:rPr>
        <w:fldChar w:fldCharType="begin"/>
      </w:r>
      <w:r>
        <w:instrText xml:space="preserve"> HYPERLINK \l _Toc1915 </w:instrText>
      </w:r>
      <w:r>
        <w:fldChar w:fldCharType="separate"/>
      </w:r>
      <w:r>
        <w:rPr>
          <w:rFonts w:hint="eastAsia" w:ascii="仿宋" w:hAnsi="仿宋" w:eastAsia="仿宋" w:cs="Arial"/>
        </w:rPr>
        <w:t>二、技术（质量）文件</w:t>
      </w:r>
      <w:r>
        <w:tab/>
      </w:r>
      <w:r>
        <w:fldChar w:fldCharType="begin"/>
      </w:r>
      <w:r>
        <w:instrText xml:space="preserve"> PAGEREF _Toc1915 \h </w:instrText>
      </w:r>
      <w:r>
        <w:fldChar w:fldCharType="separate"/>
      </w:r>
      <w:r>
        <w:t>46</w:t>
      </w:r>
      <w:r>
        <w:fldChar w:fldCharType="end"/>
      </w:r>
      <w:r>
        <w:rPr>
          <w:color w:val="auto"/>
        </w:rPr>
        <w:fldChar w:fldCharType="end"/>
      </w:r>
    </w:p>
    <w:p>
      <w:pPr>
        <w:pStyle w:val="19"/>
        <w:tabs>
          <w:tab w:val="right" w:leader="dot" w:pos="9412"/>
        </w:tabs>
      </w:pPr>
      <w:r>
        <w:rPr>
          <w:color w:val="auto"/>
        </w:rPr>
        <w:fldChar w:fldCharType="begin"/>
      </w:r>
      <w:r>
        <w:instrText xml:space="preserve"> HYPERLINK \l _Toc21568 </w:instrText>
      </w:r>
      <w:r>
        <w:fldChar w:fldCharType="separate"/>
      </w:r>
      <w:r>
        <w:rPr>
          <w:rFonts w:hint="eastAsia" w:ascii="仿宋" w:hAnsi="仿宋" w:eastAsia="仿宋" w:cs="Arial"/>
        </w:rPr>
        <w:t>三、商务文件</w:t>
      </w:r>
      <w:r>
        <w:tab/>
      </w:r>
      <w:r>
        <w:fldChar w:fldCharType="begin"/>
      </w:r>
      <w:r>
        <w:instrText xml:space="preserve"> PAGEREF _Toc21568 \h </w:instrText>
      </w:r>
      <w:r>
        <w:fldChar w:fldCharType="separate"/>
      </w:r>
      <w:r>
        <w:t>49</w:t>
      </w:r>
      <w:r>
        <w:fldChar w:fldCharType="end"/>
      </w:r>
      <w:r>
        <w:rPr>
          <w:color w:val="auto"/>
        </w:rPr>
        <w:fldChar w:fldCharType="end"/>
      </w:r>
    </w:p>
    <w:p>
      <w:pPr>
        <w:pStyle w:val="19"/>
        <w:tabs>
          <w:tab w:val="right" w:leader="dot" w:pos="9412"/>
        </w:tabs>
      </w:pPr>
      <w:r>
        <w:rPr>
          <w:color w:val="auto"/>
        </w:rPr>
        <w:fldChar w:fldCharType="begin"/>
      </w:r>
      <w:r>
        <w:instrText xml:space="preserve"> HYPERLINK \l _Toc31399 </w:instrText>
      </w:r>
      <w:r>
        <w:fldChar w:fldCharType="separate"/>
      </w:r>
      <w:r>
        <w:rPr>
          <w:rFonts w:hint="eastAsia" w:ascii="仿宋" w:hAnsi="仿宋" w:eastAsia="仿宋"/>
        </w:rPr>
        <w:t>四、其他</w:t>
      </w:r>
      <w:r>
        <w:tab/>
      </w:r>
      <w:r>
        <w:fldChar w:fldCharType="begin"/>
      </w:r>
      <w:r>
        <w:instrText xml:space="preserve"> PAGEREF _Toc31399 \h </w:instrText>
      </w:r>
      <w:r>
        <w:fldChar w:fldCharType="separate"/>
      </w:r>
      <w:r>
        <w:t>53</w:t>
      </w:r>
      <w:r>
        <w:fldChar w:fldCharType="end"/>
      </w:r>
      <w:r>
        <w:rPr>
          <w:color w:val="auto"/>
        </w:rPr>
        <w:fldChar w:fldCharType="end"/>
      </w:r>
    </w:p>
    <w:p>
      <w:pPr>
        <w:pStyle w:val="19"/>
        <w:tabs>
          <w:tab w:val="right" w:leader="dot" w:pos="9412"/>
        </w:tabs>
      </w:pPr>
      <w:r>
        <w:rPr>
          <w:color w:val="auto"/>
        </w:rPr>
        <w:fldChar w:fldCharType="begin"/>
      </w:r>
      <w:r>
        <w:instrText xml:space="preserve"> HYPERLINK \l _Toc7243 </w:instrText>
      </w:r>
      <w:r>
        <w:fldChar w:fldCharType="separate"/>
      </w:r>
      <w:r>
        <w:rPr>
          <w:rFonts w:hint="eastAsia" w:ascii="仿宋" w:hAnsi="仿宋" w:eastAsia="仿宋"/>
        </w:rPr>
        <w:t>五、资格文件</w:t>
      </w:r>
      <w:r>
        <w:tab/>
      </w:r>
      <w:r>
        <w:fldChar w:fldCharType="begin"/>
      </w:r>
      <w:r>
        <w:instrText xml:space="preserve"> PAGEREF _Toc7243 \h </w:instrText>
      </w:r>
      <w:r>
        <w:fldChar w:fldCharType="separate"/>
      </w:r>
      <w:r>
        <w:t>59</w:t>
      </w:r>
      <w:r>
        <w:fldChar w:fldCharType="end"/>
      </w:r>
      <w:r>
        <w:rPr>
          <w:color w:val="auto"/>
        </w:rPr>
        <w:fldChar w:fldCharType="end"/>
      </w:r>
    </w:p>
    <w:p>
      <w:pPr>
        <w:pStyle w:val="2"/>
        <w:ind w:firstLine="304"/>
        <w:rPr>
          <w:rFonts w:hint="eastAsia"/>
          <w:color w:val="auto"/>
        </w:rPr>
      </w:pPr>
      <w:r>
        <w:rPr>
          <w:color w:val="auto"/>
        </w:rPr>
        <w:fldChar w:fldCharType="end"/>
      </w:r>
    </w:p>
    <w:p>
      <w:pPr>
        <w:pStyle w:val="3"/>
        <w:numPr>
          <w:ilvl w:val="0"/>
          <w:numId w:val="1"/>
        </w:numPr>
        <w:tabs>
          <w:tab w:val="clear" w:pos="3360"/>
        </w:tabs>
        <w:spacing w:before="190" w:after="190"/>
        <w:rPr>
          <w:color w:val="auto"/>
        </w:rPr>
        <w:sectPr>
          <w:footerReference r:id="rId10" w:type="default"/>
          <w:pgSz w:w="11907" w:h="16840"/>
          <w:pgMar w:top="1134" w:right="1191" w:bottom="1134" w:left="1304" w:header="794" w:footer="992" w:gutter="0"/>
          <w:pgNumType w:start="1"/>
          <w:cols w:space="720" w:num="1"/>
          <w:docGrid w:type="linesAndChars" w:linePitch="380" w:charSpace="-5735"/>
        </w:sectPr>
      </w:pPr>
      <w:bookmarkStart w:id="129" w:name="_Toc19977"/>
      <w:bookmarkStart w:id="130" w:name="_Toc26404"/>
      <w:bookmarkStart w:id="131" w:name="_Toc63600401"/>
      <w:bookmarkStart w:id="132" w:name="_Toc29382"/>
      <w:bookmarkStart w:id="133" w:name="_Toc27640"/>
      <w:bookmarkStart w:id="134" w:name="_Toc27422"/>
      <w:bookmarkStart w:id="135" w:name="_Toc14796"/>
      <w:bookmarkStart w:id="136" w:name="_Toc7334"/>
      <w:bookmarkStart w:id="137" w:name="_Toc30691"/>
      <w:bookmarkStart w:id="138" w:name="_Toc13256"/>
      <w:bookmarkStart w:id="139" w:name="_Toc14835"/>
      <w:bookmarkStart w:id="140" w:name="_Toc2320"/>
    </w:p>
    <w:p>
      <w:pPr>
        <w:pStyle w:val="3"/>
        <w:numPr>
          <w:ilvl w:val="0"/>
          <w:numId w:val="1"/>
        </w:numPr>
        <w:tabs>
          <w:tab w:val="clear" w:pos="3360"/>
        </w:tabs>
        <w:spacing w:before="190" w:after="190"/>
        <w:rPr>
          <w:rFonts w:hint="eastAsia" w:ascii="方正小标宋简体" w:eastAsia="方正小标宋简体"/>
          <w:color w:val="auto"/>
        </w:rPr>
      </w:pPr>
      <w:bookmarkStart w:id="141" w:name="_Toc26308"/>
      <w:r>
        <w:rPr>
          <w:rFonts w:hint="eastAsia" w:ascii="方正小标宋简体" w:eastAsia="方正小标宋简体"/>
          <w:color w:val="auto"/>
        </w:rPr>
        <w:t>投标邀请书</w:t>
      </w:r>
      <w:bookmarkEnd w:id="129"/>
      <w:bookmarkEnd w:id="130"/>
      <w:bookmarkEnd w:id="131"/>
      <w:bookmarkEnd w:id="132"/>
      <w:bookmarkEnd w:id="133"/>
      <w:bookmarkEnd w:id="134"/>
      <w:bookmarkEnd w:id="135"/>
      <w:bookmarkEnd w:id="136"/>
      <w:bookmarkEnd w:id="137"/>
      <w:bookmarkEnd w:id="138"/>
      <w:bookmarkEnd w:id="139"/>
      <w:bookmarkEnd w:id="140"/>
      <w:bookmarkEnd w:id="141"/>
    </w:p>
    <w:p>
      <w:pPr>
        <w:ind w:firstLine="424"/>
        <w:rPr>
          <w:rFonts w:ascii="仿宋" w:hAnsi="仿宋" w:eastAsia="仿宋"/>
          <w:color w:val="auto"/>
        </w:rPr>
      </w:pPr>
      <w:r>
        <w:rPr>
          <w:rFonts w:hint="eastAsia" w:ascii="仿宋" w:hAnsi="仿宋" w:eastAsia="仿宋" w:cs="等线"/>
          <w:color w:val="auto"/>
        </w:rPr>
        <w:t>重庆市巴南区政府采购中心（以下简称：采购代理机构）受</w:t>
      </w:r>
      <w:r>
        <w:rPr>
          <w:rFonts w:hint="eastAsia" w:ascii="仿宋" w:hAnsi="仿宋" w:eastAsia="仿宋" w:cs="等线"/>
          <w:color w:val="auto"/>
          <w:lang w:eastAsia="zh-CN"/>
        </w:rPr>
        <w:t>重庆市巴南区公路事务中心</w:t>
      </w:r>
      <w:r>
        <w:rPr>
          <w:rFonts w:hint="eastAsia" w:ascii="仿宋" w:hAnsi="仿宋" w:eastAsia="仿宋" w:cs="等线"/>
          <w:color w:val="auto"/>
        </w:rPr>
        <w:t>（以下简称：采购人）的委托，对</w:t>
      </w:r>
      <w:r>
        <w:rPr>
          <w:rFonts w:hint="eastAsia" w:ascii="仿宋" w:hAnsi="仿宋" w:eastAsia="仿宋" w:cs="等线"/>
          <w:color w:val="auto"/>
          <w:lang w:eastAsia="zh-CN"/>
        </w:rPr>
        <w:t>重庆市巴南区公路事务中心国道G348鱼洞非现场执法点建设项目</w:t>
      </w:r>
      <w:r>
        <w:rPr>
          <w:rFonts w:hint="eastAsia" w:ascii="仿宋" w:hAnsi="仿宋" w:eastAsia="仿宋" w:cs="等线"/>
          <w:color w:val="auto"/>
        </w:rPr>
        <w:t>进行公开招标，欢迎有资格的投标人参加投标。</w:t>
      </w:r>
    </w:p>
    <w:p>
      <w:pPr>
        <w:pStyle w:val="4"/>
        <w:spacing w:before="190" w:after="190"/>
        <w:ind w:firstLine="506"/>
        <w:rPr>
          <w:rFonts w:ascii="仿宋" w:hAnsi="仿宋" w:eastAsia="仿宋"/>
          <w:color w:val="auto"/>
          <w:sz w:val="24"/>
        </w:rPr>
      </w:pPr>
      <w:bookmarkStart w:id="142" w:name="_Toc21981"/>
      <w:bookmarkStart w:id="143" w:name="_Toc5112"/>
      <w:bookmarkStart w:id="144" w:name="_Toc496021253"/>
      <w:bookmarkStart w:id="145" w:name="_Toc20489863"/>
      <w:bookmarkStart w:id="146" w:name="_Toc24517"/>
      <w:bookmarkStart w:id="147" w:name="_Toc699"/>
      <w:bookmarkStart w:id="148" w:name="_Toc17044"/>
      <w:bookmarkStart w:id="149" w:name="_Toc32327"/>
      <w:bookmarkStart w:id="150" w:name="_Toc409189608"/>
      <w:bookmarkStart w:id="151" w:name="_Toc300"/>
      <w:bookmarkStart w:id="152" w:name="_Toc4151"/>
      <w:bookmarkStart w:id="153" w:name="_Toc20488307"/>
      <w:bookmarkStart w:id="154" w:name="_Toc17693"/>
      <w:bookmarkStart w:id="155" w:name="_Toc1159"/>
      <w:bookmarkStart w:id="156" w:name="_Toc27777"/>
      <w:bookmarkStart w:id="157" w:name="_Toc13459"/>
      <w:bookmarkStart w:id="158" w:name="_Toc16873"/>
      <w:bookmarkStart w:id="159" w:name="_Toc394390667"/>
      <w:bookmarkStart w:id="160" w:name="_Toc63600402"/>
      <w:bookmarkStart w:id="161" w:name="_Toc24008"/>
      <w:bookmarkStart w:id="162" w:name="_Toc25986"/>
      <w:r>
        <w:rPr>
          <w:rFonts w:hint="eastAsia" w:ascii="仿宋" w:hAnsi="仿宋" w:eastAsia="仿宋"/>
          <w:color w:val="auto"/>
        </w:rPr>
        <w:t>一、招标项目内容</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Start w:id="163" w:name="_Toc20489864"/>
      <w:bookmarkStart w:id="164" w:name="_Toc29050"/>
      <w:bookmarkStart w:id="165" w:name="_Toc21449"/>
      <w:bookmarkStart w:id="166" w:name="_Toc2270"/>
      <w:bookmarkStart w:id="167" w:name="_Toc17506"/>
      <w:bookmarkStart w:id="168" w:name="_Toc23440"/>
      <w:bookmarkStart w:id="169" w:name="_Toc11495"/>
      <w:bookmarkStart w:id="170" w:name="_Toc29997"/>
      <w:bookmarkStart w:id="171" w:name="_Toc26914"/>
      <w:bookmarkStart w:id="172" w:name="_Toc23509"/>
      <w:bookmarkStart w:id="173" w:name="_Toc394390668"/>
      <w:bookmarkStart w:id="174" w:name="_Toc20488308"/>
      <w:bookmarkStart w:id="175" w:name="_Toc1969"/>
      <w:bookmarkStart w:id="176" w:name="_Toc22093"/>
      <w:bookmarkStart w:id="177" w:name="_Toc17723"/>
      <w:bookmarkStart w:id="178" w:name="_Toc9115"/>
      <w:bookmarkStart w:id="179" w:name="_Toc409189609"/>
      <w:bookmarkStart w:id="180" w:name="_Toc8351"/>
    </w:p>
    <w:tbl>
      <w:tblPr>
        <w:tblStyle w:val="23"/>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8"/>
        <w:gridCol w:w="1663"/>
        <w:gridCol w:w="1262"/>
        <w:gridCol w:w="1525"/>
        <w:gridCol w:w="2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2108" w:type="dxa"/>
            <w:vAlign w:val="center"/>
          </w:tcPr>
          <w:p>
            <w:pPr>
              <w:spacing w:line="240" w:lineRule="atLeast"/>
              <w:ind w:firstLine="0" w:firstLineChars="0"/>
              <w:jc w:val="center"/>
              <w:rPr>
                <w:rFonts w:hint="eastAsia" w:ascii="仿宋" w:hAnsi="仿宋" w:eastAsia="仿宋"/>
                <w:b/>
                <w:color w:val="auto"/>
                <w:sz w:val="21"/>
                <w:szCs w:val="21"/>
                <w:lang w:eastAsia="zh-CN"/>
              </w:rPr>
            </w:pPr>
            <w:r>
              <w:rPr>
                <w:rFonts w:hint="eastAsia" w:ascii="仿宋" w:hAnsi="仿宋" w:eastAsia="仿宋"/>
                <w:b/>
                <w:sz w:val="21"/>
                <w:szCs w:val="21"/>
                <w:lang w:eastAsia="zh-CN"/>
              </w:rPr>
              <w:t>项目名称</w:t>
            </w:r>
          </w:p>
        </w:tc>
        <w:tc>
          <w:tcPr>
            <w:tcW w:w="1663" w:type="dxa"/>
            <w:vAlign w:val="center"/>
          </w:tcPr>
          <w:p>
            <w:pPr>
              <w:spacing w:line="240" w:lineRule="atLeast"/>
              <w:ind w:firstLine="0" w:firstLineChars="0"/>
              <w:jc w:val="center"/>
              <w:rPr>
                <w:rFonts w:ascii="仿宋" w:hAnsi="仿宋" w:eastAsia="仿宋"/>
                <w:b/>
                <w:color w:val="auto"/>
                <w:sz w:val="21"/>
                <w:szCs w:val="21"/>
              </w:rPr>
            </w:pPr>
            <w:r>
              <w:rPr>
                <w:rFonts w:hint="eastAsia" w:ascii="仿宋" w:hAnsi="仿宋" w:eastAsia="仿宋"/>
                <w:b/>
                <w:color w:val="auto"/>
                <w:sz w:val="21"/>
                <w:szCs w:val="21"/>
              </w:rPr>
              <w:t>最高限价（元）</w:t>
            </w:r>
          </w:p>
        </w:tc>
        <w:tc>
          <w:tcPr>
            <w:tcW w:w="1262" w:type="dxa"/>
            <w:vAlign w:val="center"/>
          </w:tcPr>
          <w:p>
            <w:pPr>
              <w:spacing w:line="240" w:lineRule="atLeast"/>
              <w:ind w:firstLine="0" w:firstLineChars="0"/>
              <w:jc w:val="center"/>
              <w:rPr>
                <w:rFonts w:ascii="仿宋" w:hAnsi="仿宋" w:eastAsia="仿宋"/>
                <w:b/>
                <w:color w:val="auto"/>
                <w:sz w:val="21"/>
                <w:szCs w:val="21"/>
              </w:rPr>
            </w:pPr>
            <w:r>
              <w:rPr>
                <w:rFonts w:hint="eastAsia" w:ascii="仿宋" w:hAnsi="仿宋" w:eastAsia="仿宋"/>
                <w:b/>
                <w:color w:val="auto"/>
                <w:sz w:val="21"/>
                <w:szCs w:val="21"/>
              </w:rPr>
              <w:t>中标人数量</w:t>
            </w:r>
          </w:p>
          <w:p>
            <w:pPr>
              <w:spacing w:line="240" w:lineRule="atLeast"/>
              <w:ind w:firstLine="0" w:firstLineChars="0"/>
              <w:jc w:val="center"/>
              <w:rPr>
                <w:rFonts w:ascii="仿宋" w:hAnsi="仿宋" w:eastAsia="仿宋"/>
                <w:b/>
                <w:color w:val="auto"/>
                <w:sz w:val="21"/>
                <w:szCs w:val="21"/>
              </w:rPr>
            </w:pPr>
            <w:r>
              <w:rPr>
                <w:rFonts w:hint="eastAsia" w:ascii="仿宋" w:hAnsi="仿宋" w:eastAsia="仿宋"/>
                <w:b/>
                <w:color w:val="auto"/>
                <w:sz w:val="21"/>
                <w:szCs w:val="21"/>
              </w:rPr>
              <w:t>（名）</w:t>
            </w:r>
          </w:p>
        </w:tc>
        <w:tc>
          <w:tcPr>
            <w:tcW w:w="1525" w:type="dxa"/>
            <w:vAlign w:val="center"/>
          </w:tcPr>
          <w:p>
            <w:pPr>
              <w:spacing w:line="240" w:lineRule="atLeast"/>
              <w:ind w:firstLine="0" w:firstLineChars="0"/>
              <w:jc w:val="center"/>
              <w:rPr>
                <w:rFonts w:ascii="仿宋" w:hAnsi="仿宋" w:eastAsia="仿宋"/>
                <w:b/>
                <w:color w:val="auto"/>
                <w:sz w:val="21"/>
                <w:szCs w:val="21"/>
              </w:rPr>
            </w:pPr>
            <w:r>
              <w:rPr>
                <w:rFonts w:hint="eastAsia" w:ascii="仿宋" w:hAnsi="仿宋" w:eastAsia="仿宋"/>
                <w:b/>
                <w:bCs/>
                <w:color w:val="auto"/>
                <w:sz w:val="21"/>
                <w:szCs w:val="21"/>
              </w:rPr>
              <w:t>采购标的对应的中小企业划分标准所属行业</w:t>
            </w:r>
          </w:p>
        </w:tc>
        <w:tc>
          <w:tcPr>
            <w:tcW w:w="2796" w:type="dxa"/>
            <w:vAlign w:val="center"/>
          </w:tcPr>
          <w:p>
            <w:pPr>
              <w:spacing w:line="240" w:lineRule="atLeast"/>
              <w:ind w:firstLine="0" w:firstLineChars="0"/>
              <w:jc w:val="center"/>
              <w:rPr>
                <w:rFonts w:ascii="仿宋" w:hAnsi="仿宋" w:eastAsia="仿宋"/>
                <w:b/>
                <w:bCs/>
                <w:color w:val="auto"/>
                <w:sz w:val="21"/>
                <w:szCs w:val="21"/>
              </w:rPr>
            </w:pPr>
            <w:r>
              <w:rPr>
                <w:rFonts w:hint="eastAsia" w:ascii="仿宋" w:hAnsi="仿宋" w:eastAsia="仿宋"/>
                <w:b/>
                <w:bCs/>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2108" w:type="dxa"/>
            <w:vAlign w:val="center"/>
          </w:tcPr>
          <w:p>
            <w:pPr>
              <w:adjustRightInd w:val="0"/>
              <w:snapToGrid w:val="0"/>
              <w:spacing w:line="240" w:lineRule="atLeast"/>
              <w:ind w:firstLine="0" w:firstLineChars="0"/>
              <w:jc w:val="center"/>
              <w:rPr>
                <w:rFonts w:hint="eastAsia" w:ascii="仿宋" w:hAnsi="仿宋" w:eastAsia="仿宋"/>
                <w:color w:val="auto"/>
                <w:sz w:val="21"/>
                <w:szCs w:val="21"/>
                <w:lang w:eastAsia="zh-CN"/>
              </w:rPr>
            </w:pPr>
            <w:r>
              <w:rPr>
                <w:rFonts w:hint="eastAsia" w:ascii="仿宋" w:hAnsi="仿宋" w:eastAsia="仿宋"/>
                <w:color w:val="auto"/>
                <w:sz w:val="21"/>
                <w:szCs w:val="21"/>
                <w:lang w:eastAsia="zh-CN"/>
              </w:rPr>
              <w:t>重庆市巴南区公路事务中心国道G348鱼洞非现场执法点建设项目</w:t>
            </w:r>
          </w:p>
        </w:tc>
        <w:tc>
          <w:tcPr>
            <w:tcW w:w="1663" w:type="dxa"/>
            <w:vAlign w:val="center"/>
          </w:tcPr>
          <w:p>
            <w:pPr>
              <w:spacing w:line="240" w:lineRule="atLeast"/>
              <w:ind w:firstLine="0" w:firstLineChars="0"/>
              <w:jc w:val="center"/>
              <w:rPr>
                <w:rFonts w:ascii="仿宋" w:hAnsi="仿宋" w:eastAsia="仿宋"/>
                <w:color w:val="auto"/>
                <w:sz w:val="21"/>
                <w:szCs w:val="21"/>
              </w:rPr>
            </w:pPr>
            <w:r>
              <w:rPr>
                <w:rFonts w:hint="eastAsia" w:ascii="仿宋" w:hAnsi="仿宋" w:eastAsia="仿宋"/>
                <w:color w:val="auto"/>
                <w:sz w:val="21"/>
                <w:szCs w:val="21"/>
              </w:rPr>
              <w:t>1,340,535.00</w:t>
            </w:r>
          </w:p>
        </w:tc>
        <w:tc>
          <w:tcPr>
            <w:tcW w:w="1262" w:type="dxa"/>
            <w:vAlign w:val="center"/>
          </w:tcPr>
          <w:p>
            <w:pPr>
              <w:spacing w:line="240" w:lineRule="atLeast"/>
              <w:ind w:firstLine="0" w:firstLineChars="0"/>
              <w:jc w:val="center"/>
              <w:rPr>
                <w:rFonts w:ascii="仿宋" w:hAnsi="仿宋" w:eastAsia="仿宋"/>
                <w:color w:val="auto"/>
                <w:sz w:val="21"/>
                <w:szCs w:val="21"/>
              </w:rPr>
            </w:pPr>
            <w:r>
              <w:rPr>
                <w:rFonts w:hint="eastAsia" w:ascii="仿宋" w:hAnsi="仿宋" w:eastAsia="仿宋"/>
                <w:color w:val="auto"/>
                <w:sz w:val="21"/>
                <w:szCs w:val="21"/>
              </w:rPr>
              <w:t>1</w:t>
            </w:r>
          </w:p>
        </w:tc>
        <w:tc>
          <w:tcPr>
            <w:tcW w:w="1525" w:type="dxa"/>
            <w:vAlign w:val="center"/>
          </w:tcPr>
          <w:p>
            <w:pPr>
              <w:spacing w:line="240" w:lineRule="atLeast"/>
              <w:ind w:firstLine="0" w:firstLineChars="0"/>
              <w:jc w:val="center"/>
              <w:rPr>
                <w:rFonts w:ascii="仿宋" w:hAnsi="仿宋" w:eastAsia="仿宋"/>
                <w:color w:val="auto"/>
                <w:sz w:val="21"/>
                <w:szCs w:val="21"/>
              </w:rPr>
            </w:pPr>
            <w:r>
              <w:rPr>
                <w:rFonts w:hint="eastAsia" w:ascii="仿宋" w:hAnsi="仿宋" w:eastAsia="仿宋"/>
                <w:color w:val="auto"/>
                <w:sz w:val="21"/>
                <w:szCs w:val="21"/>
              </w:rPr>
              <w:t>制造业</w:t>
            </w:r>
          </w:p>
        </w:tc>
        <w:tc>
          <w:tcPr>
            <w:tcW w:w="2796" w:type="dxa"/>
            <w:vAlign w:val="center"/>
          </w:tcPr>
          <w:p>
            <w:pPr>
              <w:spacing w:line="240" w:lineRule="atLeast"/>
              <w:ind w:firstLine="0" w:firstLineChars="0"/>
              <w:jc w:val="center"/>
              <w:rPr>
                <w:rFonts w:hint="eastAsia" w:ascii="仿宋" w:hAnsi="仿宋" w:eastAsia="仿宋"/>
                <w:b/>
                <w:color w:val="auto"/>
                <w:sz w:val="21"/>
                <w:szCs w:val="21"/>
                <w:lang w:eastAsia="zh-CN"/>
              </w:rPr>
            </w:pPr>
            <w:r>
              <w:rPr>
                <w:rFonts w:hint="eastAsia" w:ascii="仿宋" w:hAnsi="仿宋" w:eastAsia="仿宋"/>
                <w:b/>
                <w:sz w:val="21"/>
                <w:szCs w:val="21"/>
              </w:rPr>
              <w:t>本项目为巴南区</w:t>
            </w:r>
            <w:r>
              <w:rPr>
                <w:rFonts w:hint="eastAsia" w:ascii="仿宋" w:hAnsi="仿宋" w:eastAsia="仿宋"/>
                <w:b/>
                <w:bCs/>
                <w:sz w:val="21"/>
                <w:szCs w:val="21"/>
              </w:rPr>
              <w:t>政府采购全流程电子化招投标项目，</w:t>
            </w:r>
            <w:r>
              <w:rPr>
                <w:rFonts w:hint="eastAsia" w:ascii="仿宋" w:hAnsi="仿宋" w:eastAsia="仿宋"/>
                <w:b/>
                <w:bCs/>
                <w:sz w:val="21"/>
                <w:szCs w:val="21"/>
                <w:lang w:eastAsia="zh-CN"/>
              </w:rPr>
              <w:t>投标人</w:t>
            </w:r>
            <w:r>
              <w:rPr>
                <w:rFonts w:hint="eastAsia" w:ascii="仿宋" w:hAnsi="仿宋" w:eastAsia="仿宋"/>
                <w:b/>
                <w:sz w:val="21"/>
                <w:szCs w:val="21"/>
              </w:rPr>
              <w:t>按照《重庆市全流程电子招投标项目投标人办理正式CA签章流程手册》和《政府采购全程电子化采购系统供应商操作手册（CA证书签章版）》、《政府采购（CA版）供应商投标前软件安装手册》进行投标及相关操作</w:t>
            </w:r>
            <w:r>
              <w:rPr>
                <w:rFonts w:hint="eastAsia" w:ascii="仿宋" w:hAnsi="仿宋" w:eastAsia="仿宋"/>
                <w:b/>
                <w:sz w:val="21"/>
                <w:szCs w:val="21"/>
                <w:lang w:eastAsia="zh-CN"/>
              </w:rPr>
              <w:t>。</w:t>
            </w:r>
          </w:p>
        </w:tc>
      </w:tr>
    </w:tbl>
    <w:p>
      <w:pPr>
        <w:pStyle w:val="4"/>
        <w:spacing w:before="190" w:after="190"/>
        <w:ind w:firstLine="506"/>
        <w:rPr>
          <w:rFonts w:ascii="仿宋" w:hAnsi="仿宋" w:eastAsia="仿宋"/>
          <w:color w:val="auto"/>
        </w:rPr>
      </w:pPr>
      <w:bookmarkStart w:id="181" w:name="_Toc63600403"/>
      <w:bookmarkStart w:id="182" w:name="_Toc27392"/>
      <w:r>
        <w:rPr>
          <w:rFonts w:hint="eastAsia" w:ascii="仿宋" w:hAnsi="仿宋" w:eastAsia="仿宋"/>
          <w:color w:val="auto"/>
        </w:rPr>
        <w:t>二、资金来源</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Start w:id="183" w:name="_Toc409189610"/>
      <w:bookmarkStart w:id="184" w:name="_Toc394390669"/>
      <w:bookmarkStart w:id="185" w:name="_Toc1203"/>
    </w:p>
    <w:p>
      <w:pPr>
        <w:ind w:firstLine="424"/>
        <w:rPr>
          <w:rFonts w:hint="eastAsia" w:ascii="仿宋" w:hAnsi="仿宋" w:eastAsia="仿宋"/>
          <w:color w:val="auto"/>
          <w:szCs w:val="22"/>
          <w:lang w:val="en-US" w:eastAsia="zh-CN"/>
        </w:rPr>
      </w:pPr>
      <w:r>
        <w:rPr>
          <w:rFonts w:hint="eastAsia" w:ascii="仿宋" w:hAnsi="仿宋" w:eastAsia="仿宋" w:cs="仿宋"/>
          <w:szCs w:val="22"/>
          <w:lang w:eastAsia="zh-CN"/>
        </w:rPr>
        <w:t>财政预算</w:t>
      </w:r>
      <w:r>
        <w:rPr>
          <w:rFonts w:hint="eastAsia" w:ascii="仿宋" w:hAnsi="仿宋" w:eastAsia="仿宋" w:cs="仿宋"/>
          <w:szCs w:val="22"/>
        </w:rPr>
        <w:t>资金，预算金额为：1,340,535.00元。</w:t>
      </w:r>
    </w:p>
    <w:p>
      <w:pPr>
        <w:pStyle w:val="4"/>
        <w:spacing w:before="190" w:after="190"/>
        <w:ind w:firstLine="506"/>
        <w:rPr>
          <w:rFonts w:ascii="仿宋" w:hAnsi="仿宋" w:eastAsia="仿宋"/>
          <w:color w:val="auto"/>
        </w:rPr>
      </w:pPr>
      <w:bookmarkStart w:id="186" w:name="_Toc20489865"/>
      <w:bookmarkStart w:id="187" w:name="_Toc14807"/>
      <w:bookmarkStart w:id="188" w:name="_Toc16019"/>
      <w:bookmarkStart w:id="189" w:name="_Toc11539"/>
      <w:bookmarkStart w:id="190" w:name="_Toc29039"/>
      <w:bookmarkStart w:id="191" w:name="_Toc21899"/>
      <w:bookmarkStart w:id="192" w:name="_Toc16736"/>
      <w:bookmarkStart w:id="193" w:name="_Toc24430"/>
      <w:bookmarkStart w:id="194" w:name="_Toc63600404"/>
      <w:bookmarkStart w:id="195" w:name="_Toc16496"/>
      <w:bookmarkStart w:id="196" w:name="_Toc4968"/>
      <w:bookmarkStart w:id="197" w:name="_Toc20062"/>
      <w:bookmarkStart w:id="198" w:name="_Toc20488309"/>
      <w:bookmarkStart w:id="199" w:name="_Toc4484"/>
      <w:bookmarkStart w:id="200" w:name="_Toc10686"/>
      <w:bookmarkStart w:id="201" w:name="_Toc21987"/>
      <w:bookmarkStart w:id="202" w:name="_Toc17861"/>
      <w:r>
        <w:rPr>
          <w:rFonts w:hint="eastAsia" w:ascii="仿宋" w:hAnsi="仿宋" w:eastAsia="仿宋"/>
          <w:color w:val="auto"/>
        </w:rPr>
        <w:t>三、投标人资格要求</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pPr>
        <w:ind w:firstLine="424"/>
        <w:rPr>
          <w:rFonts w:ascii="仿宋" w:hAnsi="仿宋" w:eastAsia="仿宋"/>
          <w:color w:val="auto"/>
        </w:rPr>
      </w:pPr>
      <w:r>
        <w:rPr>
          <w:rFonts w:hint="eastAsia" w:ascii="仿宋" w:hAnsi="仿宋" w:eastAsia="仿宋"/>
          <w:color w:val="auto"/>
        </w:rPr>
        <w:t>合格投标人应首先符合政府采购法第二十二条规定的基本条件，同时符合根据该项目特点设置的特定资格条件。</w:t>
      </w:r>
    </w:p>
    <w:p>
      <w:pPr>
        <w:ind w:firstLine="424"/>
        <w:rPr>
          <w:rFonts w:ascii="仿宋" w:hAnsi="仿宋" w:eastAsia="仿宋"/>
          <w:color w:val="auto"/>
        </w:rPr>
      </w:pPr>
      <w:r>
        <w:rPr>
          <w:rFonts w:hint="eastAsia" w:ascii="仿宋" w:hAnsi="仿宋" w:eastAsia="仿宋"/>
          <w:color w:val="auto"/>
        </w:rPr>
        <w:t>（一）满足《中华人民共和国政府采购法》第二十二条规定；</w:t>
      </w:r>
    </w:p>
    <w:p>
      <w:pPr>
        <w:ind w:firstLine="424"/>
        <w:rPr>
          <w:rFonts w:ascii="仿宋" w:hAnsi="仿宋" w:eastAsia="仿宋"/>
          <w:color w:val="auto"/>
        </w:rPr>
      </w:pPr>
      <w:r>
        <w:rPr>
          <w:rFonts w:hint="eastAsia" w:ascii="仿宋" w:hAnsi="仿宋" w:eastAsia="仿宋"/>
          <w:color w:val="auto"/>
        </w:rPr>
        <w:t>（二）落实政府采购政策需满足的资格要求：本项目整体专门面向中型、小型、微型企业采购，服务承接单位应为中小微企业、监狱企业、残疾人福利性单位，提供《中小企业声明函》、监狱企业证明文件、《残疾人福利性单位声明函》（格式见第七篇）</w:t>
      </w:r>
      <w:r>
        <w:rPr>
          <w:rFonts w:hint="eastAsia" w:ascii="仿宋" w:hAnsi="仿宋" w:eastAsia="仿宋"/>
          <w:color w:val="auto"/>
          <w:lang w:eastAsia="zh-CN"/>
        </w:rPr>
        <w:t>。</w:t>
      </w:r>
    </w:p>
    <w:p>
      <w:pPr>
        <w:ind w:firstLine="424"/>
        <w:rPr>
          <w:rFonts w:hint="eastAsia" w:ascii="仿宋" w:hAnsi="仿宋" w:eastAsia="仿宋"/>
          <w:color w:val="auto"/>
          <w:szCs w:val="22"/>
          <w:highlight w:val="yellow"/>
          <w:lang w:eastAsia="zh-CN"/>
        </w:rPr>
      </w:pPr>
      <w:r>
        <w:rPr>
          <w:rFonts w:hint="eastAsia" w:ascii="仿宋" w:hAnsi="仿宋" w:eastAsia="仿宋"/>
          <w:color w:val="auto"/>
        </w:rPr>
        <w:t>（三）本项目的特定资格要求</w:t>
      </w:r>
      <w:bookmarkStart w:id="203" w:name="_Toc409189611"/>
      <w:r>
        <w:rPr>
          <w:rFonts w:hint="eastAsia" w:ascii="仿宋" w:hAnsi="仿宋" w:eastAsia="仿宋"/>
          <w:color w:val="auto"/>
        </w:rPr>
        <w:t>：</w:t>
      </w:r>
      <w:r>
        <w:rPr>
          <w:rFonts w:hint="eastAsia" w:ascii="仿宋" w:hAnsi="仿宋" w:eastAsia="仿宋"/>
          <w:color w:val="auto"/>
          <w:szCs w:val="22"/>
          <w:lang w:eastAsia="zh-CN"/>
        </w:rPr>
        <w:t>无</w:t>
      </w:r>
    </w:p>
    <w:p>
      <w:pPr>
        <w:ind w:firstLine="424"/>
        <w:rPr>
          <w:rFonts w:hint="eastAsia" w:ascii="仿宋" w:hAnsi="仿宋" w:eastAsia="仿宋"/>
          <w:color w:val="auto"/>
          <w:szCs w:val="22"/>
        </w:rPr>
      </w:pPr>
      <w:r>
        <w:rPr>
          <w:rFonts w:hint="eastAsia" w:ascii="仿宋" w:hAnsi="仿宋" w:eastAsia="仿宋"/>
          <w:color w:val="auto"/>
          <w:szCs w:val="22"/>
        </w:rPr>
        <w:t>以上资格条件佐证材料具体要求详见招标文件“第四篇资格审查及评标办法”。</w:t>
      </w:r>
    </w:p>
    <w:p>
      <w:pPr>
        <w:pStyle w:val="4"/>
        <w:spacing w:before="190" w:after="190"/>
        <w:ind w:firstLine="506"/>
        <w:rPr>
          <w:rFonts w:ascii="仿宋" w:hAnsi="仿宋" w:eastAsia="仿宋"/>
          <w:color w:val="auto"/>
        </w:rPr>
      </w:pPr>
      <w:bookmarkStart w:id="204" w:name="_Toc19196"/>
      <w:bookmarkStart w:id="205" w:name="_Toc18825"/>
      <w:bookmarkStart w:id="206" w:name="_Toc5787"/>
      <w:bookmarkStart w:id="207" w:name="_Toc63600405"/>
      <w:bookmarkStart w:id="208" w:name="_Toc25220"/>
      <w:bookmarkStart w:id="209" w:name="_Toc9650"/>
      <w:bookmarkStart w:id="210" w:name="_Toc19023"/>
      <w:bookmarkStart w:id="211" w:name="_Toc20488310"/>
      <w:bookmarkStart w:id="212" w:name="_Toc4375"/>
      <w:bookmarkStart w:id="213" w:name="_Toc20489866"/>
      <w:bookmarkStart w:id="214" w:name="_Toc10868"/>
      <w:bookmarkStart w:id="215" w:name="_Toc32520"/>
      <w:bookmarkStart w:id="216" w:name="_Toc21667"/>
      <w:bookmarkStart w:id="217" w:name="_Toc3449"/>
      <w:bookmarkStart w:id="218" w:name="_Toc3846"/>
      <w:bookmarkStart w:id="219" w:name="_Toc9581"/>
      <w:bookmarkStart w:id="220" w:name="_Toc28986"/>
      <w:bookmarkStart w:id="221" w:name="_Toc1343"/>
      <w:r>
        <w:rPr>
          <w:rFonts w:hint="eastAsia" w:ascii="仿宋" w:hAnsi="仿宋" w:eastAsia="仿宋"/>
          <w:color w:val="auto"/>
        </w:rPr>
        <w:t>四、投标、开标有关说明</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pPr>
        <w:ind w:firstLine="424"/>
        <w:rPr>
          <w:rFonts w:ascii="仿宋" w:hAnsi="仿宋" w:eastAsia="仿宋"/>
          <w:color w:val="auto"/>
        </w:rPr>
      </w:pPr>
      <w:r>
        <w:rPr>
          <w:rFonts w:hint="eastAsia" w:ascii="仿宋" w:hAnsi="仿宋" w:eastAsia="仿宋"/>
          <w:color w:val="auto"/>
        </w:rPr>
        <w:t>（一）</w:t>
      </w:r>
      <w:r>
        <w:rPr>
          <w:rFonts w:hint="eastAsia" w:ascii="仿宋" w:hAnsi="仿宋" w:eastAsia="仿宋"/>
          <w:color w:val="auto"/>
          <w:szCs w:val="24"/>
        </w:rPr>
        <w:t>投标人应通过重庆市政府采购网（</w:t>
      </w:r>
      <w:r>
        <w:rPr>
          <w:color w:val="auto"/>
        </w:rPr>
        <w:fldChar w:fldCharType="begin"/>
      </w:r>
      <w:r>
        <w:rPr>
          <w:color w:val="auto"/>
        </w:rPr>
        <w:instrText xml:space="preserve"> HYPERLINK "http://www.cqgp.gov.cn" </w:instrText>
      </w:r>
      <w:r>
        <w:rPr>
          <w:color w:val="auto"/>
        </w:rPr>
        <w:fldChar w:fldCharType="separate"/>
      </w:r>
      <w:r>
        <w:rPr>
          <w:rFonts w:hint="eastAsia" w:ascii="仿宋" w:hAnsi="仿宋" w:eastAsia="仿宋"/>
          <w:color w:val="auto"/>
          <w:szCs w:val="24"/>
          <w:u w:val="single"/>
        </w:rPr>
        <w:t>www.ccgp-chongqing.gov.cn</w:t>
      </w:r>
      <w:r>
        <w:rPr>
          <w:rFonts w:hint="eastAsia" w:ascii="仿宋" w:hAnsi="仿宋" w:eastAsia="仿宋"/>
          <w:color w:val="auto"/>
          <w:szCs w:val="24"/>
          <w:u w:val="single"/>
        </w:rPr>
        <w:fldChar w:fldCharType="end"/>
      </w:r>
      <w:r>
        <w:rPr>
          <w:rFonts w:hint="eastAsia" w:ascii="仿宋" w:hAnsi="仿宋" w:eastAsia="仿宋"/>
          <w:color w:val="auto"/>
          <w:szCs w:val="24"/>
        </w:rPr>
        <w:t>）登记加入“重庆市政府采购供应商库”。</w:t>
      </w:r>
    </w:p>
    <w:p>
      <w:pPr>
        <w:ind w:firstLine="424"/>
        <w:rPr>
          <w:rFonts w:ascii="仿宋" w:hAnsi="仿宋" w:eastAsia="仿宋"/>
          <w:color w:val="auto"/>
          <w:szCs w:val="22"/>
        </w:rPr>
      </w:pPr>
      <w:r>
        <w:rPr>
          <w:rFonts w:hint="eastAsia" w:ascii="仿宋" w:hAnsi="仿宋" w:eastAsia="仿宋"/>
          <w:color w:val="auto"/>
        </w:rPr>
        <w:t>（二）招标文</w:t>
      </w:r>
      <w:r>
        <w:rPr>
          <w:rFonts w:hint="eastAsia" w:ascii="仿宋" w:hAnsi="仿宋" w:eastAsia="仿宋"/>
          <w:color w:val="auto"/>
          <w:szCs w:val="22"/>
        </w:rPr>
        <w:t>件获取方式</w:t>
      </w:r>
    </w:p>
    <w:p>
      <w:pPr>
        <w:ind w:firstLine="424"/>
        <w:rPr>
          <w:rFonts w:ascii="仿宋" w:hAnsi="仿宋" w:eastAsia="仿宋"/>
          <w:color w:val="auto"/>
        </w:rPr>
      </w:pPr>
      <w:r>
        <w:rPr>
          <w:rFonts w:hint="eastAsia" w:ascii="仿宋" w:hAnsi="仿宋" w:eastAsia="仿宋"/>
          <w:color w:val="auto"/>
        </w:rPr>
        <w:t>凡有意参加投标的投标人线上获取本项目招标文件、图纸、澄清等开标前公布的所有项目资料（登录重庆市政府采购网，进入网站首页，在公告规定的获取采购文件时间范围内，打开参与项目的采购公告，点击该公告右上方的“获取采购文件”获取），无论投标人领取或下载与否，均视为已知晓所有招标内容</w:t>
      </w:r>
      <w:r>
        <w:rPr>
          <w:rFonts w:hint="eastAsia" w:ascii="仿宋" w:hAnsi="仿宋" w:eastAsia="仿宋"/>
          <w:color w:val="auto"/>
          <w:lang w:eastAsia="zh-CN"/>
        </w:rPr>
        <w:t>，</w:t>
      </w:r>
      <w:r>
        <w:rPr>
          <w:rFonts w:hint="eastAsia" w:ascii="仿宋" w:hAnsi="仿宋" w:eastAsia="仿宋"/>
          <w:color w:val="auto"/>
        </w:rPr>
        <w:t>本次招标不提供纸质版招标文件。</w:t>
      </w:r>
    </w:p>
    <w:p>
      <w:pPr>
        <w:pStyle w:val="22"/>
        <w:spacing w:after="0"/>
        <w:ind w:left="0" w:leftChars="0" w:firstLine="424"/>
        <w:rPr>
          <w:rFonts w:ascii="仿宋" w:hAnsi="仿宋" w:eastAsia="仿宋"/>
          <w:color w:val="auto"/>
          <w:szCs w:val="22"/>
        </w:rPr>
      </w:pPr>
      <w:r>
        <w:rPr>
          <w:rFonts w:hint="eastAsia" w:ascii="仿宋" w:hAnsi="仿宋" w:eastAsia="仿宋"/>
          <w:color w:val="auto"/>
        </w:rPr>
        <w:t>（三）</w:t>
      </w:r>
      <w:r>
        <w:rPr>
          <w:rFonts w:hint="eastAsia" w:ascii="仿宋" w:hAnsi="仿宋" w:eastAsia="仿宋"/>
          <w:color w:val="auto"/>
          <w:szCs w:val="22"/>
        </w:rPr>
        <w:t>招标公告所附招标文件仅供阅览使用，供应商只有登陆“重庆市政府采购网”完成网上获取采购文件才被视为合法获取了采购文件，否则其投标将被拒绝。</w:t>
      </w:r>
    </w:p>
    <w:p>
      <w:pPr>
        <w:pStyle w:val="22"/>
        <w:spacing w:after="0"/>
        <w:ind w:left="0" w:leftChars="0" w:firstLine="506"/>
        <w:rPr>
          <w:rFonts w:ascii="仿宋" w:hAnsi="仿宋" w:eastAsia="仿宋"/>
          <w:b/>
          <w:bCs/>
          <w:color w:val="auto"/>
          <w:sz w:val="28"/>
          <w:szCs w:val="24"/>
        </w:rPr>
      </w:pPr>
      <w:r>
        <w:rPr>
          <w:rFonts w:hint="eastAsia" w:ascii="仿宋" w:hAnsi="仿宋" w:eastAsia="仿宋"/>
          <w:b/>
          <w:bCs/>
          <w:color w:val="auto"/>
          <w:sz w:val="28"/>
          <w:szCs w:val="24"/>
        </w:rPr>
        <w:t>注意事项：本项目为巴南区政府采购电子招投标项目，首次参与电子招投标的投标人须申请重庆市政府采购网账号密码、办理CA证书并下载投标文件制作系统制作电子投标文件进行互联网线上响应，具体操作流程请下载项目公告附件</w:t>
      </w:r>
      <w:r>
        <w:rPr>
          <w:rFonts w:hint="eastAsia" w:ascii="仿宋" w:hAnsi="仿宋" w:eastAsia="仿宋"/>
          <w:b/>
          <w:bCs/>
          <w:sz w:val="28"/>
          <w:szCs w:val="24"/>
          <w:lang w:eastAsia="zh-CN"/>
        </w:rPr>
        <w:t>《重庆市全流程电子招投标项目投标人办理正式CA签章流程手册》和《政府采购全程电子化采购系统供应商操作手册（CA证书签章版）》、《政府采购（CA版）供应商投标前软件安装手册》</w:t>
      </w:r>
      <w:r>
        <w:rPr>
          <w:rFonts w:hint="eastAsia" w:ascii="仿宋" w:hAnsi="仿宋" w:eastAsia="仿宋"/>
          <w:b/>
          <w:bCs/>
          <w:color w:val="auto"/>
          <w:sz w:val="28"/>
          <w:szCs w:val="24"/>
        </w:rPr>
        <w:t>进行查看。因未注册重庆市政府采购网账号、未办理CA证书、操作失败等原因造成无法投标或投标失败等后果由投标人自行承担。</w:t>
      </w:r>
    </w:p>
    <w:p>
      <w:pPr>
        <w:numPr>
          <w:ilvl w:val="0"/>
          <w:numId w:val="2"/>
        </w:numPr>
        <w:ind w:firstLine="506"/>
        <w:rPr>
          <w:rFonts w:ascii="仿宋" w:hAnsi="仿宋" w:eastAsia="仿宋"/>
          <w:b/>
          <w:bCs/>
          <w:color w:val="auto"/>
          <w:sz w:val="28"/>
          <w:szCs w:val="24"/>
        </w:rPr>
      </w:pPr>
      <w:r>
        <w:rPr>
          <w:rFonts w:hint="eastAsia" w:ascii="仿宋" w:hAnsi="仿宋" w:eastAsia="仿宋"/>
          <w:b/>
          <w:bCs/>
          <w:color w:val="auto"/>
          <w:sz w:val="28"/>
          <w:szCs w:val="24"/>
        </w:rPr>
        <w:t>CA证书的办理流程：登录“重庆市政府采购网”，进入“</w:t>
      </w:r>
      <w:r>
        <w:rPr>
          <w:rFonts w:hint="eastAsia" w:ascii="仿宋" w:hAnsi="仿宋" w:eastAsia="仿宋"/>
          <w:b/>
          <w:bCs/>
          <w:sz w:val="28"/>
          <w:szCs w:val="24"/>
          <w:lang w:eastAsia="zh-CN"/>
        </w:rPr>
        <w:t>在线开评标</w:t>
      </w:r>
      <w:r>
        <w:rPr>
          <w:rFonts w:hint="eastAsia" w:ascii="仿宋" w:hAnsi="仿宋" w:eastAsia="仿宋"/>
          <w:b/>
          <w:bCs/>
          <w:color w:val="auto"/>
          <w:sz w:val="28"/>
          <w:szCs w:val="24"/>
        </w:rPr>
        <w:t>”栏目，下载《重庆市全流程电子招投标项目投标人办理正式CA签章流程手册》，并按照要求操作。</w:t>
      </w:r>
    </w:p>
    <w:p>
      <w:pPr>
        <w:ind w:firstLine="506"/>
        <w:rPr>
          <w:rFonts w:ascii="仿宋" w:hAnsi="仿宋" w:eastAsia="仿宋"/>
          <w:color w:val="auto"/>
        </w:rPr>
      </w:pPr>
      <w:r>
        <w:rPr>
          <w:rFonts w:hint="eastAsia" w:ascii="仿宋" w:hAnsi="仿宋" w:eastAsia="仿宋"/>
          <w:b/>
          <w:bCs/>
          <w:color w:val="auto"/>
          <w:sz w:val="28"/>
          <w:szCs w:val="24"/>
        </w:rPr>
        <w:t>2、投标文件的制作与上传：通过投标文件制作系统制作电子投标文件，在投标时间截止前，供应商通过投标工具使用数字证书（CA证书）对电子投标文件进行签章，然后下载加密投标文件和备份投标文件（投标文件制作系统会自动加密电子投标文件）。再将加密投标文件上传至重庆市政府采购网“在线开评标→我的投标项目→对应的投标项目”，完成加密投标文件的在线上传。</w:t>
      </w:r>
    </w:p>
    <w:p>
      <w:pPr>
        <w:ind w:firstLine="424"/>
        <w:rPr>
          <w:rFonts w:ascii="仿宋" w:hAnsi="仿宋" w:eastAsia="仿宋"/>
          <w:color w:val="auto"/>
        </w:rPr>
      </w:pPr>
      <w:r>
        <w:rPr>
          <w:rFonts w:hint="eastAsia" w:ascii="仿宋" w:hAnsi="仿宋" w:eastAsia="仿宋"/>
          <w:color w:val="auto"/>
        </w:rPr>
        <w:t>（四）招标文件公告期限：自招标公告发布之日起五个工作日。</w:t>
      </w:r>
    </w:p>
    <w:p>
      <w:pPr>
        <w:ind w:firstLine="424"/>
        <w:rPr>
          <w:rFonts w:ascii="仿宋" w:hAnsi="仿宋" w:eastAsia="仿宋"/>
          <w:color w:val="auto"/>
        </w:rPr>
      </w:pPr>
      <w:r>
        <w:rPr>
          <w:rFonts w:hint="eastAsia" w:ascii="仿宋" w:hAnsi="仿宋" w:eastAsia="仿宋"/>
          <w:color w:val="auto"/>
        </w:rPr>
        <w:t>（五）投标文件递交方式：</w:t>
      </w:r>
      <w:bookmarkStart w:id="222" w:name="_Hlk63458283"/>
    </w:p>
    <w:p>
      <w:pPr>
        <w:pStyle w:val="20"/>
        <w:widowControl/>
        <w:wordWrap w:val="0"/>
        <w:ind w:firstLine="506"/>
        <w:rPr>
          <w:rFonts w:ascii="仿宋" w:hAnsi="仿宋" w:eastAsia="仿宋"/>
          <w:b/>
          <w:bCs/>
          <w:color w:val="auto"/>
          <w:sz w:val="28"/>
        </w:rPr>
      </w:pPr>
      <w:r>
        <w:rPr>
          <w:rFonts w:ascii="仿宋" w:hAnsi="仿宋" w:eastAsia="仿宋"/>
          <w:b/>
          <w:bCs/>
          <w:color w:val="auto"/>
          <w:sz w:val="28"/>
        </w:rPr>
        <w:t>本项目采用网上递交方式，于投标截止时间前，登录“重庆市政府采购网”，进入“在线开评标”栏目，在“我的投标项目→对应的投标项目→上传投标文件”板块提交。</w:t>
      </w:r>
    </w:p>
    <w:bookmarkEnd w:id="222"/>
    <w:p>
      <w:pPr>
        <w:ind w:firstLine="424"/>
        <w:rPr>
          <w:rFonts w:ascii="仿宋" w:hAnsi="仿宋" w:eastAsia="仿宋"/>
          <w:color w:val="auto"/>
        </w:rPr>
      </w:pPr>
      <w:r>
        <w:rPr>
          <w:rFonts w:hint="eastAsia" w:ascii="仿宋" w:hAnsi="仿宋" w:eastAsia="仿宋"/>
          <w:color w:val="auto"/>
        </w:rPr>
        <w:t>（六）投标截止时间：202</w:t>
      </w:r>
      <w:r>
        <w:rPr>
          <w:rFonts w:hint="eastAsia" w:ascii="仿宋" w:hAnsi="仿宋" w:eastAsia="仿宋"/>
          <w:color w:val="auto"/>
          <w:lang w:val="en-US" w:eastAsia="zh-CN"/>
        </w:rPr>
        <w:t>4</w:t>
      </w:r>
      <w:r>
        <w:rPr>
          <w:rFonts w:hint="eastAsia" w:ascii="仿宋" w:hAnsi="仿宋" w:eastAsia="仿宋"/>
          <w:color w:val="auto"/>
        </w:rPr>
        <w:t>年</w:t>
      </w:r>
      <w:r>
        <w:rPr>
          <w:rFonts w:hint="eastAsia" w:ascii="仿宋" w:hAnsi="仿宋" w:eastAsia="仿宋"/>
          <w:color w:val="auto"/>
          <w:lang w:val="en-US" w:eastAsia="zh-CN"/>
        </w:rPr>
        <w:t>5</w:t>
      </w:r>
      <w:r>
        <w:rPr>
          <w:rFonts w:hint="eastAsia" w:ascii="仿宋" w:hAnsi="仿宋" w:eastAsia="仿宋"/>
          <w:color w:val="auto"/>
        </w:rPr>
        <w:t>月</w:t>
      </w:r>
      <w:r>
        <w:rPr>
          <w:rFonts w:hint="eastAsia" w:ascii="仿宋" w:hAnsi="仿宋" w:eastAsia="仿宋"/>
          <w:color w:val="auto"/>
          <w:lang w:val="en-US" w:eastAsia="zh-CN"/>
        </w:rPr>
        <w:t>21</w:t>
      </w:r>
      <w:r>
        <w:rPr>
          <w:rFonts w:hint="eastAsia" w:ascii="仿宋" w:hAnsi="仿宋" w:eastAsia="仿宋"/>
          <w:color w:val="auto"/>
        </w:rPr>
        <w:t>日北京时间14:00 ，以重庆市巴南区行政服务和公共资源交易中心三楼公共资源交易大厅显示屏时间为准。</w:t>
      </w:r>
    </w:p>
    <w:p>
      <w:pPr>
        <w:ind w:firstLine="424"/>
        <w:rPr>
          <w:rFonts w:ascii="仿宋" w:hAnsi="仿宋" w:eastAsia="仿宋"/>
          <w:color w:val="auto"/>
        </w:rPr>
      </w:pPr>
      <w:r>
        <w:rPr>
          <w:rFonts w:hint="eastAsia" w:ascii="仿宋" w:hAnsi="仿宋" w:eastAsia="仿宋"/>
          <w:color w:val="auto"/>
        </w:rPr>
        <w:t>（七）开标时间：202</w:t>
      </w:r>
      <w:r>
        <w:rPr>
          <w:rFonts w:hint="eastAsia" w:ascii="仿宋" w:hAnsi="仿宋" w:eastAsia="仿宋"/>
          <w:color w:val="auto"/>
          <w:lang w:val="en-US" w:eastAsia="zh-CN"/>
        </w:rPr>
        <w:t>4</w:t>
      </w:r>
      <w:r>
        <w:rPr>
          <w:rFonts w:hint="eastAsia" w:ascii="仿宋" w:hAnsi="仿宋" w:eastAsia="仿宋"/>
          <w:color w:val="auto"/>
        </w:rPr>
        <w:t>年</w:t>
      </w:r>
      <w:r>
        <w:rPr>
          <w:rFonts w:hint="eastAsia" w:ascii="仿宋" w:hAnsi="仿宋" w:eastAsia="仿宋"/>
          <w:color w:val="auto"/>
          <w:lang w:val="en-US" w:eastAsia="zh-CN"/>
        </w:rPr>
        <w:t>5</w:t>
      </w:r>
      <w:r>
        <w:rPr>
          <w:rFonts w:hint="eastAsia" w:ascii="仿宋" w:hAnsi="仿宋" w:eastAsia="仿宋"/>
          <w:color w:val="auto"/>
        </w:rPr>
        <w:t>月</w:t>
      </w:r>
      <w:r>
        <w:rPr>
          <w:rFonts w:hint="eastAsia" w:ascii="仿宋" w:hAnsi="仿宋" w:eastAsia="仿宋"/>
          <w:color w:val="auto"/>
          <w:lang w:val="en-US" w:eastAsia="zh-CN"/>
        </w:rPr>
        <w:t>21</w:t>
      </w:r>
      <w:r>
        <w:rPr>
          <w:rFonts w:hint="eastAsia" w:ascii="仿宋" w:hAnsi="仿宋" w:eastAsia="仿宋"/>
          <w:color w:val="auto"/>
        </w:rPr>
        <w:t>日北京时间14:00 。</w:t>
      </w:r>
    </w:p>
    <w:p>
      <w:pPr>
        <w:ind w:firstLine="506"/>
        <w:rPr>
          <w:rFonts w:ascii="仿宋" w:hAnsi="仿宋" w:eastAsia="仿宋"/>
          <w:color w:val="auto"/>
        </w:rPr>
      </w:pPr>
      <w:r>
        <w:rPr>
          <w:rFonts w:hint="eastAsia" w:ascii="仿宋" w:hAnsi="仿宋" w:eastAsia="仿宋"/>
          <w:b/>
          <w:bCs/>
          <w:color w:val="auto"/>
          <w:sz w:val="28"/>
          <w:szCs w:val="24"/>
        </w:rPr>
        <w:t>开标地点：</w:t>
      </w:r>
      <w:r>
        <w:rPr>
          <w:rFonts w:hint="eastAsia" w:ascii="仿宋" w:hAnsi="仿宋" w:eastAsia="仿宋"/>
          <w:b/>
          <w:bCs/>
          <w:color w:val="auto"/>
          <w:sz w:val="28"/>
          <w:szCs w:val="24"/>
          <w:lang w:eastAsia="zh-CN"/>
        </w:rPr>
        <w:t>投标人</w:t>
      </w:r>
      <w:r>
        <w:rPr>
          <w:rFonts w:hint="eastAsia" w:ascii="仿宋" w:hAnsi="仿宋" w:eastAsia="仿宋"/>
          <w:b/>
          <w:bCs/>
          <w:color w:val="auto"/>
          <w:sz w:val="28"/>
          <w:szCs w:val="24"/>
        </w:rPr>
        <w:t>的法定代表人或其授权的代表持CA证书和可以无线上网的笔记本电脑、无线网卡现场前往重庆市巴南区行政服务和公共资源交易中心三楼公共资源交易大厅（地址：重庆市巴南区龙洲湾公园北路12号）开标室参加开标。若</w:t>
      </w:r>
      <w:r>
        <w:rPr>
          <w:rFonts w:hint="eastAsia" w:ascii="仿宋" w:hAnsi="仿宋" w:eastAsia="仿宋"/>
          <w:b/>
          <w:bCs/>
          <w:color w:val="auto"/>
          <w:sz w:val="28"/>
          <w:szCs w:val="24"/>
          <w:lang w:eastAsia="zh-CN"/>
        </w:rPr>
        <w:t>投标人</w:t>
      </w:r>
      <w:r>
        <w:rPr>
          <w:rFonts w:hint="eastAsia" w:ascii="仿宋" w:hAnsi="仿宋" w:eastAsia="仿宋"/>
          <w:b/>
          <w:bCs/>
          <w:color w:val="auto"/>
          <w:sz w:val="28"/>
          <w:szCs w:val="24"/>
        </w:rPr>
        <w:t>的法定代表人或其授权的代表未按规定时间和地点抵达开标现场的，要保证正常签到或解密，否则其投标无效。</w:t>
      </w:r>
    </w:p>
    <w:p>
      <w:pPr>
        <w:pStyle w:val="22"/>
        <w:spacing w:after="0"/>
        <w:ind w:left="0" w:leftChars="0" w:firstLine="424"/>
        <w:rPr>
          <w:rFonts w:ascii="仿宋" w:hAnsi="仿宋" w:eastAsia="仿宋"/>
          <w:color w:val="auto"/>
          <w:szCs w:val="22"/>
        </w:rPr>
      </w:pPr>
      <w:r>
        <w:rPr>
          <w:rFonts w:hint="eastAsia" w:ascii="仿宋" w:hAnsi="仿宋" w:eastAsia="仿宋"/>
          <w:color w:val="auto"/>
        </w:rPr>
        <w:t>（八）</w:t>
      </w:r>
      <w:bookmarkStart w:id="223" w:name="_Toc15155"/>
      <w:bookmarkStart w:id="224" w:name="_Toc28336"/>
      <w:bookmarkStart w:id="225" w:name="_Toc22773"/>
      <w:bookmarkStart w:id="226" w:name="_Toc16219"/>
      <w:bookmarkStart w:id="227" w:name="_Toc28044"/>
      <w:bookmarkStart w:id="228" w:name="_Toc20488312"/>
      <w:bookmarkStart w:id="229" w:name="_Toc493506283"/>
      <w:bookmarkStart w:id="230" w:name="_Toc6675"/>
      <w:bookmarkStart w:id="231" w:name="_Toc7270"/>
      <w:bookmarkStart w:id="232" w:name="_Toc27060"/>
      <w:bookmarkStart w:id="233" w:name="_Toc63600407"/>
      <w:bookmarkStart w:id="234" w:name="_Toc17599"/>
      <w:bookmarkStart w:id="235" w:name="_Toc22777"/>
      <w:bookmarkStart w:id="236" w:name="_Toc21831"/>
      <w:bookmarkStart w:id="237" w:name="_Toc20128"/>
      <w:bookmarkStart w:id="238" w:name="_Toc495592637"/>
      <w:bookmarkStart w:id="239" w:name="_Toc20489868"/>
      <w:bookmarkStart w:id="240" w:name="_Toc29124"/>
      <w:bookmarkStart w:id="241" w:name="_Toc24055"/>
      <w:r>
        <w:rPr>
          <w:rFonts w:hint="eastAsia" w:ascii="仿宋" w:hAnsi="仿宋" w:eastAsia="仿宋"/>
          <w:color w:val="auto"/>
          <w:szCs w:val="22"/>
        </w:rPr>
        <w:t>其他补充事宜</w:t>
      </w:r>
    </w:p>
    <w:p>
      <w:pPr>
        <w:pStyle w:val="22"/>
        <w:spacing w:after="0"/>
        <w:ind w:left="0" w:leftChars="0" w:firstLine="424"/>
        <w:rPr>
          <w:rFonts w:ascii="仿宋" w:hAnsi="仿宋" w:eastAsia="仿宋"/>
          <w:color w:val="auto"/>
          <w:szCs w:val="22"/>
        </w:rPr>
      </w:pPr>
      <w:r>
        <w:rPr>
          <w:rFonts w:hint="eastAsia" w:ascii="仿宋" w:hAnsi="仿宋" w:eastAsia="仿宋"/>
          <w:color w:val="auto"/>
          <w:szCs w:val="22"/>
        </w:rPr>
        <w:t>开标方式：本项目采用网上开标方式，投标人登录重庆市政府采购网→</w:t>
      </w:r>
      <w:r>
        <w:rPr>
          <w:rFonts w:hint="eastAsia" w:ascii="仿宋" w:hAnsi="仿宋" w:eastAsia="仿宋"/>
          <w:color w:val="auto"/>
          <w:szCs w:val="22"/>
          <w:lang w:val="en-US" w:eastAsia="zh-CN"/>
        </w:rPr>
        <w:t>在线开评标</w:t>
      </w:r>
      <w:r>
        <w:rPr>
          <w:rFonts w:hint="eastAsia" w:ascii="仿宋" w:hAnsi="仿宋" w:eastAsia="仿宋"/>
          <w:color w:val="auto"/>
          <w:szCs w:val="22"/>
        </w:rPr>
        <w:t>→</w:t>
      </w:r>
      <w:r>
        <w:rPr>
          <w:rFonts w:hint="eastAsia" w:ascii="仿宋" w:hAnsi="仿宋" w:eastAsia="仿宋"/>
          <w:color w:val="auto"/>
          <w:szCs w:val="22"/>
          <w:lang w:val="en-US" w:eastAsia="zh-CN"/>
        </w:rPr>
        <w:t>开评标大厅</w:t>
      </w:r>
      <w:r>
        <w:rPr>
          <w:rFonts w:hint="eastAsia" w:ascii="仿宋" w:hAnsi="仿宋" w:eastAsia="仿宋"/>
          <w:color w:val="auto"/>
          <w:szCs w:val="22"/>
        </w:rPr>
        <w:t>，进入开标室完成在线签到、标书解密、确认开标结果。</w:t>
      </w:r>
    </w:p>
    <w:p>
      <w:pPr>
        <w:pStyle w:val="22"/>
        <w:spacing w:after="0"/>
        <w:ind w:left="0" w:leftChars="0" w:firstLine="424"/>
        <w:rPr>
          <w:rFonts w:ascii="仿宋" w:hAnsi="仿宋" w:eastAsia="仿宋"/>
          <w:color w:val="auto"/>
          <w:szCs w:val="22"/>
        </w:rPr>
      </w:pPr>
      <w:r>
        <w:rPr>
          <w:rFonts w:hint="eastAsia" w:ascii="仿宋" w:hAnsi="仿宋" w:eastAsia="仿宋"/>
          <w:color w:val="auto"/>
          <w:szCs w:val="22"/>
        </w:rPr>
        <w:t>注意事项：</w:t>
      </w:r>
    </w:p>
    <w:p>
      <w:pPr>
        <w:pStyle w:val="22"/>
        <w:spacing w:after="0"/>
        <w:ind w:left="0" w:leftChars="0" w:firstLine="424"/>
        <w:rPr>
          <w:rFonts w:ascii="仿宋" w:hAnsi="仿宋" w:eastAsia="仿宋"/>
          <w:color w:val="auto"/>
          <w:szCs w:val="22"/>
        </w:rPr>
      </w:pPr>
      <w:r>
        <w:rPr>
          <w:rFonts w:hint="eastAsia" w:ascii="仿宋" w:hAnsi="仿宋" w:eastAsia="仿宋"/>
          <w:color w:val="auto"/>
          <w:szCs w:val="22"/>
        </w:rPr>
        <w:t>1、投标人法定代表人或其授权的代表持CA证书和可以无线上网的笔记本电脑，前往指定开标室参加开标。</w:t>
      </w:r>
    </w:p>
    <w:p>
      <w:pPr>
        <w:pStyle w:val="22"/>
        <w:spacing w:after="0"/>
        <w:ind w:left="0" w:leftChars="0" w:firstLine="424"/>
        <w:rPr>
          <w:rFonts w:ascii="仿宋" w:hAnsi="仿宋" w:eastAsia="仿宋"/>
          <w:color w:val="auto"/>
          <w:szCs w:val="22"/>
        </w:rPr>
      </w:pPr>
      <w:r>
        <w:rPr>
          <w:rFonts w:hint="eastAsia" w:ascii="仿宋" w:hAnsi="仿宋" w:eastAsia="仿宋"/>
          <w:color w:val="auto"/>
          <w:szCs w:val="22"/>
        </w:rPr>
        <w:t>2、投标人如未在规定时间内解密电子投标文件，其投标将被拒绝。</w:t>
      </w:r>
    </w:p>
    <w:p>
      <w:pPr>
        <w:ind w:firstLine="424"/>
        <w:rPr>
          <w:rFonts w:ascii="仿宋" w:hAnsi="仿宋" w:eastAsia="仿宋"/>
          <w:color w:val="auto"/>
        </w:rPr>
      </w:pPr>
      <w:r>
        <w:rPr>
          <w:rFonts w:hint="eastAsia" w:ascii="仿宋" w:hAnsi="仿宋" w:eastAsia="仿宋"/>
          <w:color w:val="auto"/>
          <w:szCs w:val="22"/>
        </w:rPr>
        <w:t>注：本项目采用全流程电子招投标，全程以电子数据为基础。各投标人需熟悉了解整个招投开评标电子化过程。具体电子化采购规则以及操作指南请下载项目公告附件《重庆市全流程电子招投标项目投标人办理正式CA签章流程手册》和《政府采购全程电子化采购系统供应商操作手册（CA证书签章版）》、《政府采购（CA版）供应商投标前软件安装手册》</w:t>
      </w:r>
      <w:r>
        <w:rPr>
          <w:rFonts w:hint="eastAsia" w:ascii="仿宋" w:hAnsi="仿宋" w:eastAsia="仿宋"/>
          <w:color w:val="auto"/>
        </w:rPr>
        <w:t>，并按其要求操作。</w:t>
      </w:r>
    </w:p>
    <w:p>
      <w:pPr>
        <w:pStyle w:val="4"/>
        <w:spacing w:before="190" w:after="190"/>
        <w:ind w:firstLine="506"/>
        <w:rPr>
          <w:rFonts w:ascii="仿宋" w:hAnsi="仿宋" w:eastAsia="仿宋"/>
          <w:color w:val="auto"/>
        </w:rPr>
      </w:pPr>
      <w:bookmarkStart w:id="242" w:name="_Toc14187"/>
      <w:r>
        <w:rPr>
          <w:rFonts w:hint="eastAsia" w:ascii="仿宋" w:hAnsi="仿宋" w:eastAsia="仿宋"/>
          <w:color w:val="auto"/>
        </w:rPr>
        <w:t>五、采购项目需落实的政府采购政策</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p>
    <w:p>
      <w:pPr>
        <w:ind w:firstLine="424"/>
        <w:rPr>
          <w:rFonts w:ascii="仿宋" w:hAnsi="仿宋" w:eastAsia="仿宋"/>
          <w:color w:val="auto"/>
        </w:rPr>
      </w:pPr>
      <w:r>
        <w:rPr>
          <w:rFonts w:hint="eastAsia" w:ascii="仿宋" w:hAnsi="仿宋" w:eastAsia="仿宋"/>
          <w:color w:val="auto"/>
        </w:rPr>
        <w:t>（一）按照《财政部 生态环境部关于印发环境标志产品政府采购品目清单的通知》（财库〔2019〕18号）和《财政部 发展改革委关于印发节能产品政府采购品目清单的通知》（财库〔2019〕19号）的规定，落实国家节能环保政策。</w:t>
      </w:r>
    </w:p>
    <w:p>
      <w:pPr>
        <w:ind w:firstLine="424"/>
        <w:rPr>
          <w:rFonts w:ascii="仿宋" w:hAnsi="仿宋" w:eastAsia="仿宋"/>
          <w:color w:val="auto"/>
        </w:rPr>
      </w:pPr>
      <w:r>
        <w:rPr>
          <w:rFonts w:hint="eastAsia" w:ascii="仿宋" w:hAnsi="仿宋" w:eastAsia="仿宋"/>
          <w:color w:val="auto"/>
        </w:rPr>
        <w:t>（二）按照财政部、工业和信息化部关于印发《政府采购促进中小企业发展管理办法》的通知（财库〔2020〕46号）的规定，落实促进中小企业发展政策。</w:t>
      </w:r>
    </w:p>
    <w:p>
      <w:pPr>
        <w:ind w:firstLine="424"/>
        <w:rPr>
          <w:rFonts w:ascii="仿宋" w:hAnsi="仿宋" w:eastAsia="仿宋"/>
          <w:color w:val="auto"/>
        </w:rPr>
      </w:pPr>
      <w:r>
        <w:rPr>
          <w:rFonts w:hint="eastAsia" w:ascii="仿宋" w:hAnsi="仿宋" w:eastAsia="仿宋"/>
          <w:color w:val="auto"/>
        </w:rPr>
        <w:t>（三）按照《财政部、司法部关于政府采购支持监狱企业发展有关问题的通知》（财库〔2014〕68号）的规定，落实支持监狱企业发展政策。</w:t>
      </w:r>
    </w:p>
    <w:p>
      <w:pPr>
        <w:ind w:firstLine="424"/>
        <w:rPr>
          <w:rFonts w:ascii="仿宋" w:hAnsi="仿宋" w:eastAsia="仿宋"/>
          <w:color w:val="auto"/>
        </w:rPr>
      </w:pPr>
      <w:r>
        <w:rPr>
          <w:rFonts w:hint="eastAsia" w:ascii="仿宋" w:hAnsi="仿宋" w:eastAsia="仿宋"/>
          <w:color w:val="auto"/>
        </w:rPr>
        <w:t>（四）按照《三部门联合发布关于促进残疾人就业政府采购政策的通知》（财库〔2017〕 141号）的规定，落实支持残疾人福利性单位发展政策。</w:t>
      </w:r>
    </w:p>
    <w:p>
      <w:pPr>
        <w:pStyle w:val="4"/>
        <w:spacing w:before="190" w:after="190"/>
        <w:ind w:firstLine="506"/>
        <w:rPr>
          <w:rFonts w:ascii="仿宋" w:hAnsi="仿宋" w:eastAsia="仿宋"/>
          <w:color w:val="auto"/>
        </w:rPr>
      </w:pPr>
      <w:bookmarkStart w:id="243" w:name="_Toc28481"/>
      <w:bookmarkStart w:id="244" w:name="_Toc16266"/>
      <w:bookmarkStart w:id="245" w:name="_Toc22630"/>
      <w:bookmarkStart w:id="246" w:name="_Toc31457"/>
      <w:bookmarkStart w:id="247" w:name="_Toc3508"/>
      <w:bookmarkStart w:id="248" w:name="_Toc63600408"/>
      <w:bookmarkStart w:id="249" w:name="_Toc24228"/>
      <w:bookmarkStart w:id="250" w:name="_Toc24948"/>
      <w:bookmarkStart w:id="251" w:name="_Toc29217"/>
      <w:bookmarkStart w:id="252" w:name="_Toc3459"/>
      <w:bookmarkStart w:id="253" w:name="_Toc30509"/>
      <w:bookmarkStart w:id="254" w:name="_Toc495592638"/>
      <w:bookmarkStart w:id="255" w:name="_Toc20488313"/>
      <w:bookmarkStart w:id="256" w:name="_Toc13151"/>
      <w:bookmarkStart w:id="257" w:name="_Toc12057"/>
      <w:bookmarkStart w:id="258" w:name="_Toc20489869"/>
      <w:bookmarkStart w:id="259" w:name="_Toc21467"/>
      <w:bookmarkStart w:id="260" w:name="_Toc10542"/>
      <w:bookmarkStart w:id="261" w:name="_Toc28451"/>
      <w:r>
        <w:rPr>
          <w:rFonts w:hint="eastAsia" w:ascii="仿宋" w:hAnsi="仿宋" w:eastAsia="仿宋"/>
          <w:color w:val="auto"/>
        </w:rPr>
        <w:t>六、投标有关规定</w:t>
      </w:r>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p>
    <w:p>
      <w:pPr>
        <w:ind w:firstLine="424"/>
        <w:rPr>
          <w:rFonts w:ascii="仿宋" w:hAnsi="仿宋" w:eastAsia="仿宋"/>
          <w:color w:val="auto"/>
        </w:rPr>
      </w:pPr>
      <w:r>
        <w:rPr>
          <w:rFonts w:hint="eastAsia" w:ascii="仿宋" w:hAnsi="仿宋" w:eastAsia="仿宋"/>
          <w:color w:val="auto"/>
        </w:rPr>
        <w:t>（一）单位负责人为同一人或者存在直接控股、管理关系的不同投标人，不得参加同一合同项（包）下的政府采购活动。</w:t>
      </w:r>
    </w:p>
    <w:p>
      <w:pPr>
        <w:ind w:firstLine="424"/>
        <w:rPr>
          <w:rFonts w:ascii="仿宋" w:hAnsi="仿宋" w:eastAsia="仿宋"/>
          <w:color w:val="auto"/>
        </w:rPr>
      </w:pPr>
      <w:r>
        <w:rPr>
          <w:rFonts w:hint="eastAsia" w:ascii="仿宋" w:hAnsi="仿宋" w:eastAsia="仿宋"/>
          <w:color w:val="auto"/>
        </w:rPr>
        <w:t>（二）为采购项目提供整体设计、规范编制或者项目管理、监理、检测等服务的投标人，不得再参加该采购项目的其他采购活动。</w:t>
      </w:r>
    </w:p>
    <w:p>
      <w:pPr>
        <w:ind w:firstLine="424"/>
        <w:rPr>
          <w:rFonts w:ascii="仿宋" w:hAnsi="仿宋" w:eastAsia="仿宋"/>
          <w:color w:val="auto"/>
        </w:rPr>
      </w:pPr>
      <w:r>
        <w:rPr>
          <w:rFonts w:hint="eastAsia" w:ascii="仿宋" w:hAnsi="仿宋" w:eastAsia="仿宋"/>
          <w:color w:val="auto"/>
        </w:rPr>
        <w:t>（三）本项目若有更正、补遗文件一律在重庆市政府采购网（http://www.ccgp-chongqing.gov.cn）上发布，请各投标人注意下载；无论投标人下载与否，均视同投标人已知晓本项目补遗文件的内容。</w:t>
      </w:r>
    </w:p>
    <w:p>
      <w:pPr>
        <w:ind w:firstLine="424"/>
        <w:rPr>
          <w:rFonts w:ascii="仿宋" w:hAnsi="仿宋" w:eastAsia="仿宋"/>
          <w:color w:val="auto"/>
        </w:rPr>
      </w:pPr>
      <w:r>
        <w:rPr>
          <w:rFonts w:hint="eastAsia" w:ascii="仿宋" w:hAnsi="仿宋" w:eastAsia="仿宋"/>
          <w:color w:val="auto"/>
        </w:rPr>
        <w:t>（四）超过投标截止时间递交的投标文件，恕不接收。</w:t>
      </w:r>
    </w:p>
    <w:p>
      <w:pPr>
        <w:ind w:firstLine="424"/>
        <w:rPr>
          <w:rFonts w:ascii="仿宋" w:hAnsi="仿宋" w:eastAsia="仿宋"/>
          <w:color w:val="auto"/>
        </w:rPr>
      </w:pPr>
      <w:r>
        <w:rPr>
          <w:rFonts w:hint="eastAsia" w:ascii="仿宋" w:hAnsi="仿宋" w:eastAsia="仿宋"/>
          <w:color w:val="auto"/>
        </w:rPr>
        <w:t>（五）投标费用：无论投标结果如何，投标人参与本项目投标的所有费用均应由投标人自行承担。</w:t>
      </w:r>
    </w:p>
    <w:p>
      <w:pPr>
        <w:ind w:firstLine="424"/>
        <w:rPr>
          <w:rFonts w:ascii="仿宋" w:hAnsi="仿宋" w:eastAsia="仿宋"/>
          <w:color w:val="auto"/>
        </w:rPr>
      </w:pPr>
      <w:r>
        <w:rPr>
          <w:rFonts w:hint="eastAsia" w:ascii="仿宋" w:hAnsi="仿宋" w:eastAsia="仿宋"/>
          <w:color w:val="auto"/>
        </w:rPr>
        <w:t>（六）本项目不接受联合体参与投标，否则按无效投标处理，本招标文件联合体相关条款不生效。</w:t>
      </w:r>
    </w:p>
    <w:p>
      <w:pPr>
        <w:ind w:firstLine="424"/>
        <w:rPr>
          <w:rFonts w:ascii="仿宋" w:hAnsi="仿宋" w:eastAsia="仿宋"/>
          <w:bCs/>
          <w:color w:val="auto"/>
          <w:szCs w:val="22"/>
        </w:rPr>
      </w:pPr>
      <w:r>
        <w:rPr>
          <w:rFonts w:hint="eastAsia" w:ascii="仿宋" w:hAnsi="仿宋" w:eastAsia="仿宋"/>
          <w:color w:val="auto"/>
          <w:szCs w:val="22"/>
        </w:rPr>
        <w:t>（七）</w:t>
      </w:r>
      <w:r>
        <w:rPr>
          <w:rFonts w:hint="eastAsia" w:ascii="仿宋" w:hAnsi="仿宋" w:eastAsia="仿宋"/>
          <w:bCs/>
          <w:color w:val="auto"/>
          <w:szCs w:val="22"/>
        </w:rPr>
        <w:t>本项目不接受合同分包，否则按无效投标处理。</w:t>
      </w:r>
    </w:p>
    <w:p>
      <w:pPr>
        <w:ind w:firstLine="424"/>
        <w:rPr>
          <w:rFonts w:ascii="仿宋" w:hAnsi="仿宋" w:eastAsia="仿宋"/>
          <w:color w:val="auto"/>
          <w:szCs w:val="22"/>
        </w:rPr>
      </w:pPr>
      <w:r>
        <w:rPr>
          <w:rFonts w:hint="eastAsia" w:ascii="仿宋" w:hAnsi="仿宋" w:eastAsia="仿宋"/>
          <w:color w:val="auto"/>
          <w:szCs w:val="22"/>
        </w:rPr>
        <w:t>（八）按照《财政部关于在政府采购活动中查询及使用信用记录有关问题的通知》财库〔2016〕125号，投标人列入失信被执行人、重大税收违法案件当事人名单、政府采购严重违法失信行为记录名单及其他不符合《中华人民共和国政府采购法》第二十二条规定条件的投标人，将拒绝其参与政府采购活动。</w:t>
      </w:r>
    </w:p>
    <w:p>
      <w:pPr>
        <w:ind w:firstLine="424"/>
        <w:rPr>
          <w:rFonts w:ascii="仿宋" w:hAnsi="仿宋" w:eastAsia="仿宋"/>
          <w:color w:val="auto"/>
          <w:szCs w:val="22"/>
        </w:rPr>
      </w:pPr>
      <w:r>
        <w:rPr>
          <w:rFonts w:hint="eastAsia" w:ascii="仿宋" w:hAnsi="仿宋" w:eastAsia="仿宋"/>
          <w:color w:val="auto"/>
        </w:rPr>
        <w:t>（九）本项目为巴南区政府采购全流程电子化招投标项目，投标人按照《重庆市全流程电子招投标项目投标人办理正式CA签章流程手册》和《政府采购全程电子化采购系统供应商操作手册（CA证书签章版）》、《政府采购（CA版）供应商投标前软件安装手册》</w:t>
      </w:r>
      <w:r>
        <w:rPr>
          <w:rFonts w:hint="eastAsia" w:ascii="仿宋" w:hAnsi="仿宋" w:eastAsia="仿宋"/>
          <w:color w:val="auto"/>
          <w:szCs w:val="22"/>
        </w:rPr>
        <w:t>（详见公告附件）进行投标及相关操作。</w:t>
      </w:r>
    </w:p>
    <w:p>
      <w:pPr>
        <w:pStyle w:val="4"/>
        <w:spacing w:before="190" w:after="190"/>
        <w:ind w:firstLine="506"/>
        <w:rPr>
          <w:rFonts w:ascii="仿宋" w:hAnsi="仿宋" w:eastAsia="仿宋"/>
          <w:color w:val="auto"/>
        </w:rPr>
      </w:pPr>
      <w:bookmarkStart w:id="262" w:name="_Toc23841"/>
      <w:bookmarkStart w:id="263" w:name="_Toc9193"/>
      <w:bookmarkStart w:id="264" w:name="_Toc17887"/>
      <w:bookmarkStart w:id="265" w:name="_Toc20489870"/>
      <w:bookmarkStart w:id="266" w:name="_Toc409189614"/>
      <w:bookmarkStart w:id="267" w:name="_Toc20488314"/>
      <w:bookmarkStart w:id="268" w:name="_Toc16732"/>
      <w:bookmarkStart w:id="269" w:name="_Toc26420"/>
      <w:bookmarkStart w:id="270" w:name="_Toc27328"/>
      <w:bookmarkStart w:id="271" w:name="_Toc1015"/>
      <w:bookmarkStart w:id="272" w:name="_Toc18258"/>
      <w:bookmarkStart w:id="273" w:name="_Toc18472"/>
      <w:bookmarkStart w:id="274" w:name="_Toc21576"/>
      <w:bookmarkStart w:id="275" w:name="_Toc19623"/>
      <w:bookmarkStart w:id="276" w:name="_Toc1564"/>
      <w:bookmarkStart w:id="277" w:name="_Toc63600409"/>
      <w:bookmarkStart w:id="278" w:name="_Toc22301"/>
      <w:bookmarkStart w:id="279" w:name="_Toc21166"/>
      <w:bookmarkStart w:id="280" w:name="_Toc10997"/>
      <w:r>
        <w:rPr>
          <w:rFonts w:hint="eastAsia" w:ascii="仿宋" w:hAnsi="仿宋" w:eastAsia="仿宋"/>
          <w:color w:val="auto"/>
        </w:rPr>
        <w:t>七、联系方式</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p>
    <w:p>
      <w:pPr>
        <w:ind w:firstLine="424"/>
        <w:rPr>
          <w:rFonts w:ascii="仿宋" w:hAnsi="仿宋" w:eastAsia="仿宋"/>
          <w:color w:val="auto"/>
        </w:rPr>
      </w:pPr>
      <w:r>
        <w:rPr>
          <w:rFonts w:hint="eastAsia" w:ascii="仿宋" w:hAnsi="仿宋" w:eastAsia="仿宋"/>
          <w:color w:val="auto"/>
        </w:rPr>
        <w:t>（一）采购代理机构：重庆市巴南区政府采购中心</w:t>
      </w:r>
    </w:p>
    <w:p>
      <w:pPr>
        <w:ind w:firstLine="424"/>
        <w:rPr>
          <w:rFonts w:ascii="仿宋" w:hAnsi="仿宋" w:eastAsia="仿宋"/>
          <w:color w:val="auto"/>
        </w:rPr>
      </w:pPr>
      <w:r>
        <w:rPr>
          <w:rFonts w:hint="eastAsia" w:ascii="仿宋" w:hAnsi="仿宋" w:eastAsia="仿宋"/>
          <w:color w:val="auto"/>
        </w:rPr>
        <w:t>联系人：</w:t>
      </w:r>
      <w:r>
        <w:rPr>
          <w:rFonts w:hint="eastAsia" w:ascii="仿宋" w:hAnsi="仿宋" w:eastAsia="仿宋"/>
          <w:color w:val="auto"/>
          <w:lang w:eastAsia="zh-CN"/>
        </w:rPr>
        <w:t>温</w:t>
      </w:r>
      <w:r>
        <w:rPr>
          <w:rFonts w:hint="eastAsia" w:ascii="仿宋" w:hAnsi="仿宋" w:eastAsia="仿宋"/>
          <w:color w:val="auto"/>
        </w:rPr>
        <w:t xml:space="preserve">老师（文书制作）                 </w:t>
      </w:r>
      <w:r>
        <w:rPr>
          <w:rFonts w:hint="eastAsia" w:ascii="仿宋" w:hAnsi="仿宋" w:eastAsia="仿宋"/>
          <w:color w:val="auto"/>
          <w:lang w:eastAsia="zh-CN"/>
        </w:rPr>
        <w:t>张</w:t>
      </w:r>
      <w:r>
        <w:rPr>
          <w:rFonts w:hint="eastAsia" w:ascii="仿宋" w:hAnsi="仿宋" w:eastAsia="仿宋"/>
          <w:color w:val="auto"/>
        </w:rPr>
        <w:t>老师（开标及保证金事宜）</w:t>
      </w:r>
    </w:p>
    <w:p>
      <w:pPr>
        <w:ind w:firstLine="424"/>
        <w:rPr>
          <w:rFonts w:hint="default" w:ascii="仿宋" w:hAnsi="仿宋" w:eastAsia="仿宋"/>
          <w:color w:val="auto"/>
          <w:lang w:val="en-US" w:eastAsia="zh-CN"/>
        </w:rPr>
      </w:pPr>
      <w:r>
        <w:rPr>
          <w:rFonts w:hint="eastAsia" w:ascii="仿宋" w:hAnsi="仿宋" w:eastAsia="仿宋"/>
          <w:color w:val="auto"/>
        </w:rPr>
        <w:t>电话：（023）6233</w:t>
      </w:r>
      <w:r>
        <w:rPr>
          <w:rFonts w:hint="eastAsia" w:ascii="仿宋" w:hAnsi="仿宋" w:eastAsia="仿宋"/>
          <w:color w:val="auto"/>
          <w:lang w:val="en-US" w:eastAsia="zh-CN"/>
        </w:rPr>
        <w:t>0799</w:t>
      </w:r>
      <w:r>
        <w:rPr>
          <w:rFonts w:hint="eastAsia" w:ascii="仿宋" w:hAnsi="仿宋" w:eastAsia="仿宋"/>
          <w:color w:val="auto"/>
        </w:rPr>
        <w:t xml:space="preserve">                     （023）</w:t>
      </w:r>
      <w:r>
        <w:rPr>
          <w:rFonts w:hint="eastAsia" w:ascii="仿宋" w:hAnsi="仿宋" w:eastAsia="仿宋"/>
          <w:color w:val="auto"/>
          <w:lang w:val="en-US" w:eastAsia="zh-CN"/>
        </w:rPr>
        <w:t>66275565</w:t>
      </w:r>
    </w:p>
    <w:p>
      <w:pPr>
        <w:ind w:firstLine="424"/>
        <w:rPr>
          <w:rFonts w:ascii="仿宋" w:hAnsi="仿宋" w:eastAsia="仿宋"/>
          <w:color w:val="auto"/>
        </w:rPr>
      </w:pPr>
      <w:r>
        <w:rPr>
          <w:rFonts w:hint="eastAsia" w:ascii="仿宋" w:hAnsi="仿宋" w:eastAsia="仿宋"/>
          <w:color w:val="auto"/>
        </w:rPr>
        <w:t>地址：重庆市巴南区龙洲湾街道公园北路12号（重庆市巴南区行政服务和公共资源交易中心三楼）</w:t>
      </w:r>
    </w:p>
    <w:p>
      <w:pPr>
        <w:numPr>
          <w:ilvl w:val="0"/>
          <w:numId w:val="3"/>
        </w:numPr>
        <w:ind w:firstLine="424"/>
        <w:rPr>
          <w:rFonts w:ascii="仿宋" w:hAnsi="仿宋" w:eastAsia="仿宋"/>
          <w:color w:val="auto"/>
        </w:rPr>
      </w:pPr>
      <w:r>
        <w:rPr>
          <w:rFonts w:hint="eastAsia" w:ascii="仿宋" w:hAnsi="仿宋" w:eastAsia="仿宋"/>
          <w:color w:val="auto"/>
        </w:rPr>
        <w:t>采购人：</w:t>
      </w:r>
      <w:r>
        <w:rPr>
          <w:rFonts w:hint="eastAsia" w:ascii="仿宋" w:hAnsi="仿宋" w:eastAsia="仿宋"/>
          <w:color w:val="auto"/>
          <w:lang w:eastAsia="zh-CN"/>
        </w:rPr>
        <w:t>重庆市巴南区公路事务中心</w:t>
      </w:r>
    </w:p>
    <w:p>
      <w:pPr>
        <w:ind w:firstLine="424"/>
        <w:rPr>
          <w:rFonts w:ascii="仿宋" w:hAnsi="仿宋" w:eastAsia="仿宋"/>
          <w:color w:val="auto"/>
        </w:rPr>
      </w:pPr>
      <w:r>
        <w:rPr>
          <w:rFonts w:hint="eastAsia" w:ascii="仿宋" w:hAnsi="仿宋" w:eastAsia="仿宋"/>
          <w:color w:val="auto"/>
        </w:rPr>
        <w:t>联系人：</w:t>
      </w:r>
      <w:r>
        <w:rPr>
          <w:rFonts w:hint="eastAsia" w:ascii="仿宋" w:hAnsi="仿宋" w:eastAsia="仿宋"/>
          <w:color w:val="auto"/>
          <w:lang w:eastAsia="zh-CN"/>
        </w:rPr>
        <w:t>夏</w:t>
      </w:r>
      <w:r>
        <w:rPr>
          <w:rFonts w:hint="eastAsia" w:ascii="仿宋" w:hAnsi="仿宋" w:eastAsia="仿宋"/>
          <w:color w:val="auto"/>
        </w:rPr>
        <w:t>老师</w:t>
      </w:r>
    </w:p>
    <w:p>
      <w:pPr>
        <w:ind w:firstLine="424"/>
        <w:rPr>
          <w:rFonts w:hint="eastAsia" w:ascii="仿宋" w:hAnsi="仿宋" w:eastAsia="仿宋"/>
          <w:color w:val="auto"/>
          <w:lang w:eastAsia="zh-CN"/>
        </w:rPr>
      </w:pPr>
      <w:r>
        <w:rPr>
          <w:rFonts w:hint="eastAsia" w:ascii="仿宋" w:hAnsi="仿宋" w:eastAsia="仿宋"/>
          <w:color w:val="auto"/>
        </w:rPr>
        <w:t>电话：023</w:t>
      </w:r>
      <w:r>
        <w:rPr>
          <w:rFonts w:hint="eastAsia" w:ascii="仿宋" w:hAnsi="仿宋" w:eastAsia="仿宋"/>
          <w:color w:val="auto"/>
          <w:lang w:val="en-US" w:eastAsia="zh-CN"/>
        </w:rPr>
        <w:t>-62851738</w:t>
      </w:r>
    </w:p>
    <w:p>
      <w:pPr>
        <w:ind w:firstLine="424"/>
        <w:rPr>
          <w:rFonts w:ascii="仿宋" w:hAnsi="仿宋" w:eastAsia="仿宋"/>
          <w:color w:val="auto"/>
        </w:rPr>
      </w:pPr>
      <w:r>
        <w:rPr>
          <w:rFonts w:hint="eastAsia" w:ascii="仿宋" w:hAnsi="仿宋" w:eastAsia="仿宋"/>
          <w:color w:val="auto"/>
        </w:rPr>
        <w:t>地址：重庆市巴南区渝南大道45号</w:t>
      </w:r>
    </w:p>
    <w:p>
      <w:pPr>
        <w:ind w:firstLine="424"/>
        <w:rPr>
          <w:rFonts w:ascii="仿宋" w:hAnsi="仿宋" w:eastAsia="仿宋"/>
          <w:color w:val="auto"/>
        </w:rPr>
      </w:pPr>
      <w:r>
        <w:rPr>
          <w:rFonts w:hint="eastAsia" w:ascii="仿宋" w:hAnsi="仿宋" w:eastAsia="仿宋"/>
          <w:color w:val="auto"/>
        </w:rPr>
        <w:t>（三）技术指导：重庆港澳大家软件产业有限公司</w:t>
      </w:r>
    </w:p>
    <w:p>
      <w:pPr>
        <w:ind w:firstLine="424"/>
        <w:rPr>
          <w:rFonts w:ascii="仿宋" w:hAnsi="仿宋" w:eastAsia="仿宋"/>
          <w:color w:val="auto"/>
        </w:rPr>
      </w:pPr>
      <w:r>
        <w:rPr>
          <w:rFonts w:hint="eastAsia" w:ascii="仿宋" w:hAnsi="仿宋" w:eastAsia="仿宋"/>
          <w:color w:val="auto"/>
        </w:rPr>
        <w:t>联系人：</w:t>
      </w:r>
      <w:r>
        <w:rPr>
          <w:rFonts w:hint="eastAsia" w:ascii="仿宋" w:hAnsi="仿宋" w:eastAsia="仿宋"/>
          <w:color w:val="auto"/>
          <w:szCs w:val="22"/>
        </w:rPr>
        <w:t>吴老师</w:t>
      </w:r>
    </w:p>
    <w:p>
      <w:pPr>
        <w:ind w:firstLine="424"/>
        <w:rPr>
          <w:rFonts w:hint="default" w:ascii="仿宋" w:hAnsi="仿宋" w:eastAsia="仿宋"/>
          <w:color w:val="auto"/>
          <w:lang w:val="en-US" w:eastAsia="zh-CN"/>
        </w:rPr>
      </w:pPr>
      <w:r>
        <w:rPr>
          <w:rFonts w:hint="eastAsia" w:ascii="仿宋" w:hAnsi="仿宋" w:eastAsia="仿宋"/>
          <w:color w:val="auto"/>
        </w:rPr>
        <w:t>电话：023-63782216转8050</w:t>
      </w:r>
      <w:r>
        <w:rPr>
          <w:rFonts w:hint="eastAsia" w:ascii="仿宋" w:hAnsi="仿宋" w:eastAsia="仿宋"/>
          <w:color w:val="auto"/>
          <w:lang w:eastAsia="zh-CN"/>
        </w:rPr>
        <w:t>、</w:t>
      </w:r>
      <w:r>
        <w:rPr>
          <w:rFonts w:hint="eastAsia" w:ascii="仿宋" w:hAnsi="仿宋" w:eastAsia="仿宋"/>
          <w:color w:val="auto"/>
          <w:lang w:val="en-US" w:eastAsia="zh-CN"/>
        </w:rPr>
        <w:t>8130</w:t>
      </w:r>
    </w:p>
    <w:p>
      <w:pPr>
        <w:ind w:firstLine="424"/>
        <w:rPr>
          <w:rFonts w:ascii="仿宋" w:hAnsi="仿宋" w:eastAsia="仿宋"/>
          <w:color w:val="auto"/>
        </w:rPr>
      </w:pPr>
      <w:r>
        <w:rPr>
          <w:rFonts w:hint="eastAsia" w:ascii="仿宋" w:hAnsi="仿宋" w:eastAsia="仿宋"/>
          <w:color w:val="auto"/>
        </w:rPr>
        <w:t>（四）数字证书：东方中讯数字证书认证有限公司</w:t>
      </w:r>
    </w:p>
    <w:p>
      <w:pPr>
        <w:ind w:firstLine="424"/>
        <w:rPr>
          <w:rFonts w:ascii="仿宋" w:hAnsi="仿宋" w:eastAsia="仿宋"/>
          <w:color w:val="auto"/>
        </w:rPr>
      </w:pPr>
      <w:r>
        <w:rPr>
          <w:rFonts w:hint="eastAsia" w:ascii="仿宋" w:hAnsi="仿宋" w:eastAsia="仿宋"/>
          <w:color w:val="auto"/>
        </w:rPr>
        <w:t>联系人：何晓伦</w:t>
      </w:r>
    </w:p>
    <w:p>
      <w:pPr>
        <w:ind w:firstLine="424"/>
        <w:rPr>
          <w:color w:val="auto"/>
        </w:rPr>
        <w:sectPr>
          <w:footerReference r:id="rId11" w:type="default"/>
          <w:pgSz w:w="11907" w:h="16840"/>
          <w:pgMar w:top="1134" w:right="1191" w:bottom="1134" w:left="1304" w:header="794" w:footer="992" w:gutter="0"/>
          <w:pgNumType w:start="1"/>
          <w:cols w:space="720" w:num="1"/>
          <w:docGrid w:type="linesAndChars" w:linePitch="380" w:charSpace="-5735"/>
        </w:sectPr>
      </w:pPr>
      <w:r>
        <w:rPr>
          <w:rFonts w:hint="eastAsia" w:ascii="仿宋" w:hAnsi="仿宋" w:eastAsia="仿宋"/>
          <w:color w:val="auto"/>
        </w:rPr>
        <w:t>电话：13983787460</w:t>
      </w:r>
    </w:p>
    <w:p>
      <w:pPr>
        <w:pStyle w:val="3"/>
        <w:numPr>
          <w:ilvl w:val="0"/>
          <w:numId w:val="1"/>
        </w:numPr>
        <w:tabs>
          <w:tab w:val="clear" w:pos="3360"/>
        </w:tabs>
        <w:spacing w:before="196" w:after="196"/>
        <w:rPr>
          <w:rFonts w:hint="eastAsia" w:ascii="方正小标宋简体" w:eastAsia="方正小标宋简体"/>
          <w:color w:val="auto"/>
        </w:rPr>
      </w:pPr>
      <w:bookmarkStart w:id="281" w:name="_Toc16931"/>
      <w:r>
        <w:rPr>
          <w:rFonts w:hint="eastAsia" w:ascii="方正小标宋简体" w:eastAsia="方正小标宋简体"/>
          <w:color w:val="auto"/>
        </w:rPr>
        <w:t>项目技术（质量）需求</w:t>
      </w:r>
      <w:bookmarkEnd w:id="281"/>
    </w:p>
    <w:p>
      <w:pPr>
        <w:pStyle w:val="4"/>
        <w:keepNext/>
        <w:keepLines/>
        <w:pageBreakBefore w:val="0"/>
        <w:widowControl w:val="0"/>
        <w:numPr>
          <w:ilvl w:val="0"/>
          <w:numId w:val="0"/>
        </w:numPr>
        <w:kinsoku/>
        <w:wordWrap/>
        <w:overflowPunct/>
        <w:topLinePunct w:val="0"/>
        <w:autoSpaceDE/>
        <w:autoSpaceDN/>
        <w:bidi w:val="0"/>
        <w:adjustRightInd w:val="0"/>
        <w:snapToGrid w:val="0"/>
        <w:spacing w:before="196" w:after="196"/>
        <w:ind w:firstLine="518" w:firstLineChars="200"/>
        <w:textAlignment w:val="auto"/>
        <w:rPr>
          <w:rFonts w:ascii="仿宋" w:hAnsi="仿宋" w:eastAsia="仿宋"/>
          <w:color w:val="auto"/>
          <w:szCs w:val="22"/>
        </w:rPr>
      </w:pPr>
      <w:bookmarkStart w:id="282" w:name="_Toc18120"/>
      <w:bookmarkStart w:id="283" w:name="_Toc32296"/>
      <w:bookmarkStart w:id="284" w:name="_Toc17671"/>
      <w:bookmarkStart w:id="285" w:name="_Toc18005"/>
      <w:bookmarkStart w:id="286" w:name="_Toc12033"/>
      <w:bookmarkStart w:id="287" w:name="_Toc12941"/>
      <w:bookmarkStart w:id="288" w:name="_Toc14411"/>
      <w:bookmarkStart w:id="289" w:name="_Toc14086"/>
      <w:bookmarkStart w:id="290" w:name="_Toc32261"/>
      <w:bookmarkStart w:id="291" w:name="_Toc7756"/>
      <w:bookmarkStart w:id="292" w:name="_Toc27754"/>
      <w:bookmarkStart w:id="293" w:name="_Toc63600411"/>
      <w:bookmarkStart w:id="294" w:name="_Toc26416"/>
      <w:bookmarkStart w:id="295" w:name="_Toc20488320"/>
      <w:bookmarkStart w:id="296" w:name="_Toc421783196"/>
      <w:bookmarkStart w:id="297" w:name="_Toc20489876"/>
      <w:r>
        <w:rPr>
          <w:rFonts w:hint="eastAsia" w:ascii="仿宋" w:hAnsi="仿宋" w:eastAsia="仿宋"/>
          <w:color w:val="auto"/>
          <w:szCs w:val="22"/>
          <w:lang w:eastAsia="zh-CN"/>
        </w:rPr>
        <w:t>一、</w:t>
      </w:r>
      <w:r>
        <w:rPr>
          <w:rFonts w:hint="eastAsia" w:ascii="仿宋" w:hAnsi="仿宋" w:eastAsia="仿宋"/>
          <w:color w:val="auto"/>
          <w:szCs w:val="22"/>
        </w:rPr>
        <w:t>招标项目一览表</w:t>
      </w:r>
      <w:bookmarkEnd w:id="282"/>
      <w:bookmarkEnd w:id="283"/>
      <w:bookmarkEnd w:id="284"/>
      <w:bookmarkEnd w:id="285"/>
      <w:bookmarkEnd w:id="286"/>
      <w:bookmarkEnd w:id="287"/>
      <w:bookmarkEnd w:id="288"/>
      <w:bookmarkEnd w:id="289"/>
      <w:bookmarkEnd w:id="290"/>
      <w:bookmarkEnd w:id="291"/>
      <w:bookmarkEnd w:id="292"/>
      <w:bookmarkEnd w:id="293"/>
      <w:bookmarkEnd w:id="294"/>
      <w:bookmarkStart w:id="298" w:name="_Toc11243"/>
      <w:bookmarkStart w:id="299" w:name="_Toc29064"/>
      <w:bookmarkStart w:id="300" w:name="_Toc13336"/>
      <w:bookmarkStart w:id="301" w:name="_Toc25457"/>
      <w:bookmarkStart w:id="302" w:name="_Toc29187"/>
    </w:p>
    <w:tbl>
      <w:tblPr>
        <w:tblStyle w:val="23"/>
        <w:tblW w:w="9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8"/>
        <w:gridCol w:w="1338"/>
        <w:gridCol w:w="2989"/>
        <w:gridCol w:w="1013"/>
        <w:gridCol w:w="1021"/>
        <w:gridCol w:w="1182"/>
        <w:gridCol w:w="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628" w:type="dxa"/>
            <w:noWrap w:val="0"/>
            <w:tcMar>
              <w:top w:w="15" w:type="dxa"/>
              <w:left w:w="15" w:type="dxa"/>
              <w:right w:w="15" w:type="dxa"/>
            </w:tcMar>
            <w:vAlign w:val="center"/>
          </w:tcPr>
          <w:p>
            <w:pPr>
              <w:pStyle w:val="10"/>
              <w:ind w:left="0" w:leftChars="0" w:firstLine="0" w:firstLineChars="0"/>
              <w:jc w:val="center"/>
              <w:rPr>
                <w:rFonts w:hint="eastAsia" w:ascii="仿宋" w:hAnsi="仿宋" w:eastAsia="仿宋" w:cs="仿宋"/>
                <w:b/>
                <w:bCs/>
                <w:sz w:val="21"/>
                <w:szCs w:val="21"/>
                <w:lang w:val="en-US" w:eastAsia="zh-CN"/>
              </w:rPr>
            </w:pPr>
            <w:r>
              <w:rPr>
                <w:rFonts w:hint="eastAsia" w:ascii="仿宋" w:hAnsi="仿宋" w:eastAsia="仿宋" w:cs="仿宋"/>
                <w:b/>
                <w:bCs/>
                <w:i w:val="0"/>
                <w:color w:val="000000"/>
                <w:kern w:val="0"/>
                <w:sz w:val="21"/>
                <w:szCs w:val="21"/>
                <w:highlight w:val="none"/>
                <w:u w:val="none"/>
                <w:lang w:val="en-US" w:eastAsia="zh-CN" w:bidi="ar"/>
              </w:rPr>
              <w:t>序号</w:t>
            </w:r>
          </w:p>
        </w:tc>
        <w:tc>
          <w:tcPr>
            <w:tcW w:w="1338"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b/>
                <w:bCs/>
                <w:i w:val="0"/>
                <w:color w:val="000000"/>
                <w:kern w:val="0"/>
                <w:sz w:val="21"/>
                <w:szCs w:val="21"/>
                <w:highlight w:val="none"/>
                <w:u w:val="none"/>
                <w:lang w:val="en-US" w:eastAsia="zh-CN" w:bidi="ar"/>
              </w:rPr>
            </w:pPr>
            <w:r>
              <w:rPr>
                <w:rFonts w:hint="eastAsia" w:ascii="仿宋" w:hAnsi="仿宋" w:eastAsia="仿宋" w:cs="仿宋"/>
                <w:b/>
                <w:bCs/>
                <w:i w:val="0"/>
                <w:color w:val="000000"/>
                <w:kern w:val="0"/>
                <w:sz w:val="21"/>
                <w:szCs w:val="21"/>
                <w:highlight w:val="none"/>
                <w:u w:val="none"/>
                <w:lang w:val="en-US" w:eastAsia="zh-CN" w:bidi="ar"/>
              </w:rPr>
              <w:t>产品名称</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b/>
                <w:bCs/>
                <w:i w:val="0"/>
                <w:color w:val="000000"/>
                <w:sz w:val="21"/>
                <w:szCs w:val="21"/>
                <w:highlight w:val="none"/>
                <w:u w:val="none"/>
                <w:lang w:val="en-US"/>
              </w:rPr>
            </w:pPr>
            <w:r>
              <w:rPr>
                <w:rFonts w:hint="eastAsia" w:ascii="仿宋" w:hAnsi="仿宋" w:eastAsia="仿宋" w:cs="仿宋"/>
                <w:b/>
                <w:bCs/>
                <w:i w:val="0"/>
                <w:color w:val="000000"/>
                <w:kern w:val="0"/>
                <w:sz w:val="21"/>
                <w:szCs w:val="21"/>
                <w:highlight w:val="none"/>
                <w:u w:val="none"/>
                <w:lang w:val="en-US" w:eastAsia="zh-CN" w:bidi="ar"/>
              </w:rPr>
              <w:t>（设备名称）</w:t>
            </w:r>
          </w:p>
        </w:tc>
        <w:tc>
          <w:tcPr>
            <w:tcW w:w="298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b/>
                <w:bCs/>
                <w:i w:val="0"/>
                <w:color w:val="000000"/>
                <w:sz w:val="21"/>
                <w:szCs w:val="21"/>
                <w:highlight w:val="none"/>
                <w:u w:val="none"/>
              </w:rPr>
            </w:pPr>
            <w:r>
              <w:rPr>
                <w:rFonts w:hint="eastAsia" w:ascii="仿宋" w:hAnsi="仿宋" w:eastAsia="仿宋" w:cs="仿宋"/>
                <w:b/>
                <w:bCs/>
                <w:i w:val="0"/>
                <w:color w:val="000000"/>
                <w:kern w:val="0"/>
                <w:sz w:val="21"/>
                <w:szCs w:val="21"/>
                <w:highlight w:val="none"/>
                <w:u w:val="none"/>
                <w:lang w:val="en-US" w:eastAsia="zh-CN" w:bidi="ar"/>
              </w:rPr>
              <w:t>采购内容</w:t>
            </w:r>
          </w:p>
        </w:tc>
        <w:tc>
          <w:tcPr>
            <w:tcW w:w="1013"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b/>
                <w:bCs/>
                <w:i w:val="0"/>
                <w:color w:val="000000"/>
                <w:kern w:val="0"/>
                <w:sz w:val="21"/>
                <w:szCs w:val="21"/>
                <w:highlight w:val="none"/>
                <w:u w:val="none"/>
                <w:lang w:val="en-US" w:eastAsia="zh-CN" w:bidi="ar"/>
              </w:rPr>
            </w:pPr>
            <w:r>
              <w:rPr>
                <w:rFonts w:hint="eastAsia" w:ascii="仿宋" w:hAnsi="仿宋" w:eastAsia="仿宋" w:cs="仿宋"/>
                <w:b/>
                <w:bCs/>
                <w:i w:val="0"/>
                <w:color w:val="000000"/>
                <w:kern w:val="0"/>
                <w:sz w:val="21"/>
                <w:szCs w:val="21"/>
                <w:highlight w:val="none"/>
                <w:u w:val="none"/>
                <w:lang w:val="en-US" w:eastAsia="zh-CN" w:bidi="ar"/>
              </w:rPr>
              <w:t>单位</w:t>
            </w:r>
          </w:p>
        </w:tc>
        <w:tc>
          <w:tcPr>
            <w:tcW w:w="1021"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b/>
                <w:bCs/>
                <w:i w:val="0"/>
                <w:color w:val="000000"/>
                <w:kern w:val="0"/>
                <w:sz w:val="21"/>
                <w:szCs w:val="21"/>
                <w:highlight w:val="none"/>
                <w:u w:val="none"/>
                <w:lang w:val="en-US" w:eastAsia="zh-CN" w:bidi="ar"/>
              </w:rPr>
            </w:pPr>
            <w:r>
              <w:rPr>
                <w:rFonts w:hint="eastAsia" w:ascii="仿宋" w:hAnsi="仿宋" w:eastAsia="仿宋" w:cs="仿宋"/>
                <w:b/>
                <w:bCs/>
                <w:i w:val="0"/>
                <w:color w:val="000000"/>
                <w:kern w:val="0"/>
                <w:sz w:val="21"/>
                <w:szCs w:val="21"/>
                <w:highlight w:val="none"/>
                <w:u w:val="none"/>
                <w:lang w:val="en-US" w:eastAsia="zh-CN" w:bidi="ar"/>
              </w:rPr>
              <w:t>数量</w:t>
            </w:r>
          </w:p>
        </w:tc>
        <w:tc>
          <w:tcPr>
            <w:tcW w:w="1182"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b/>
                <w:bCs/>
                <w:i w:val="0"/>
                <w:color w:val="000000"/>
                <w:kern w:val="0"/>
                <w:sz w:val="21"/>
                <w:szCs w:val="21"/>
                <w:highlight w:val="none"/>
                <w:u w:val="none"/>
                <w:lang w:val="en-US" w:eastAsia="zh-CN" w:bidi="ar"/>
              </w:rPr>
            </w:pPr>
            <w:r>
              <w:rPr>
                <w:rFonts w:hint="eastAsia" w:ascii="仿宋" w:hAnsi="仿宋" w:eastAsia="仿宋" w:cs="仿宋"/>
                <w:b/>
                <w:bCs/>
                <w:i w:val="0"/>
                <w:color w:val="000000"/>
                <w:kern w:val="0"/>
                <w:sz w:val="21"/>
                <w:szCs w:val="21"/>
                <w:highlight w:val="none"/>
                <w:u w:val="none"/>
                <w:lang w:val="en-US" w:eastAsia="zh-CN" w:bidi="ar"/>
              </w:rPr>
              <w:t>最高限价（元）</w:t>
            </w:r>
          </w:p>
        </w:tc>
        <w:tc>
          <w:tcPr>
            <w:tcW w:w="1200"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b/>
                <w:bCs/>
                <w:i w:val="0"/>
                <w:color w:val="000000"/>
                <w:kern w:val="0"/>
                <w:sz w:val="21"/>
                <w:szCs w:val="21"/>
                <w:highlight w:val="none"/>
                <w:u w:val="none"/>
                <w:lang w:val="en-US" w:eastAsia="zh-CN" w:bidi="ar"/>
              </w:rPr>
            </w:pPr>
            <w:r>
              <w:rPr>
                <w:rFonts w:hint="eastAsia" w:ascii="仿宋" w:hAnsi="仿宋" w:eastAsia="仿宋" w:cs="仿宋"/>
                <w:b/>
                <w:bCs/>
                <w:i w:val="0"/>
                <w:color w:val="000000"/>
                <w:kern w:val="0"/>
                <w:sz w:val="21"/>
                <w:szCs w:val="21"/>
                <w:highlight w:val="none"/>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628" w:type="dxa"/>
            <w:vMerge w:val="restart"/>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1</w:t>
            </w:r>
          </w:p>
        </w:tc>
        <w:tc>
          <w:tcPr>
            <w:tcW w:w="1338" w:type="dxa"/>
            <w:vMerge w:val="restart"/>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color w:val="auto"/>
                <w:sz w:val="21"/>
                <w:szCs w:val="21"/>
                <w:lang w:val="en-US" w:eastAsia="zh-CN" w:bidi="ar-SA"/>
              </w:rPr>
              <w:t>石英式动态汽车衡</w:t>
            </w:r>
          </w:p>
        </w:tc>
        <w:tc>
          <w:tcPr>
            <w:tcW w:w="2989" w:type="dxa"/>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color w:val="auto"/>
                <w:sz w:val="21"/>
                <w:szCs w:val="21"/>
              </w:rPr>
              <w:t>野外机柜基础及配套设施</w:t>
            </w:r>
          </w:p>
        </w:tc>
        <w:tc>
          <w:tcPr>
            <w:tcW w:w="1013" w:type="dxa"/>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color w:val="auto"/>
                <w:sz w:val="21"/>
                <w:szCs w:val="21"/>
                <w:lang w:val="en-US" w:eastAsia="zh-CN" w:bidi="ar-SA"/>
              </w:rPr>
              <w:t>套</w:t>
            </w:r>
          </w:p>
        </w:tc>
        <w:tc>
          <w:tcPr>
            <w:tcW w:w="1021" w:type="dxa"/>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color w:val="auto"/>
                <w:sz w:val="21"/>
                <w:szCs w:val="21"/>
                <w:lang w:val="en-US" w:eastAsia="zh-CN" w:bidi="ar-SA"/>
              </w:rPr>
              <w:t>1</w:t>
            </w:r>
          </w:p>
        </w:tc>
        <w:tc>
          <w:tcPr>
            <w:tcW w:w="1182" w:type="dxa"/>
            <w:vMerge w:val="restart"/>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1,340,535.00</w:t>
            </w:r>
          </w:p>
        </w:tc>
        <w:tc>
          <w:tcPr>
            <w:tcW w:w="1200" w:type="dxa"/>
            <w:vMerge w:val="restart"/>
            <w:noWrap w:val="0"/>
            <w:tcMar>
              <w:top w:w="15" w:type="dxa"/>
              <w:left w:w="15" w:type="dxa"/>
              <w:right w:w="15" w:type="dxa"/>
            </w:tcMar>
            <w:vAlign w:val="center"/>
          </w:tcPr>
          <w:p>
            <w:pPr>
              <w:widowControl/>
              <w:spacing w:line="240" w:lineRule="auto"/>
              <w:ind w:firstLine="0" w:firstLineChars="0"/>
              <w:jc w:val="left"/>
              <w:textAlignment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1.</w:t>
            </w:r>
            <w:r>
              <w:rPr>
                <w:rFonts w:hint="eastAsia" w:ascii="仿宋" w:hAnsi="仿宋" w:eastAsia="仿宋" w:cs="仿宋"/>
                <w:b/>
                <w:bCs/>
                <w:color w:val="auto"/>
                <w:sz w:val="21"/>
                <w:szCs w:val="21"/>
                <w:u w:val="single"/>
                <w:lang w:val="en-US" w:eastAsia="zh-CN"/>
              </w:rPr>
              <w:t>石英称重传感器</w:t>
            </w:r>
            <w:r>
              <w:rPr>
                <w:rFonts w:hint="eastAsia" w:ascii="仿宋" w:hAnsi="仿宋" w:eastAsia="仿宋" w:cs="仿宋"/>
                <w:i w:val="0"/>
                <w:color w:val="000000"/>
                <w:sz w:val="21"/>
                <w:szCs w:val="21"/>
                <w:highlight w:val="none"/>
                <w:u w:val="none"/>
                <w:lang w:val="en-US" w:eastAsia="zh-CN"/>
              </w:rPr>
              <w:t>为</w:t>
            </w:r>
            <w:r>
              <w:rPr>
                <w:rFonts w:hint="eastAsia" w:ascii="仿宋" w:hAnsi="仿宋" w:eastAsia="仿宋" w:cs="仿宋"/>
                <w:color w:val="auto"/>
                <w:sz w:val="21"/>
                <w:szCs w:val="21"/>
              </w:rPr>
              <w:t>核心产品；</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2.</w:t>
            </w:r>
            <w:r>
              <w:rPr>
                <w:rFonts w:hint="eastAsia" w:ascii="仿宋" w:hAnsi="仿宋" w:eastAsia="仿宋" w:cs="仿宋"/>
                <w:color w:val="auto"/>
                <w:sz w:val="21"/>
                <w:szCs w:val="21"/>
              </w:rPr>
              <w:t>本项目所提供产品必须为中国关境内生产，若为进口产品按无效报价处理。</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628" w:type="dxa"/>
            <w:vMerge w:val="continue"/>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i w:val="0"/>
                <w:color w:val="000000"/>
                <w:kern w:val="0"/>
                <w:sz w:val="21"/>
                <w:szCs w:val="21"/>
                <w:highlight w:val="none"/>
                <w:u w:val="none"/>
                <w:lang w:val="en-US" w:eastAsia="zh-CN" w:bidi="ar"/>
              </w:rPr>
            </w:pPr>
          </w:p>
        </w:tc>
        <w:tc>
          <w:tcPr>
            <w:tcW w:w="1338" w:type="dxa"/>
            <w:vMerge w:val="continue"/>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i w:val="0"/>
                <w:color w:val="000000"/>
                <w:kern w:val="0"/>
                <w:sz w:val="21"/>
                <w:szCs w:val="21"/>
                <w:highlight w:val="none"/>
                <w:u w:val="none"/>
                <w:lang w:val="en-US" w:eastAsia="zh-CN" w:bidi="ar"/>
              </w:rPr>
            </w:pPr>
          </w:p>
        </w:tc>
        <w:tc>
          <w:tcPr>
            <w:tcW w:w="2989" w:type="dxa"/>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color w:val="auto"/>
                <w:sz w:val="21"/>
                <w:szCs w:val="21"/>
              </w:rPr>
              <w:t>石英称重传感器</w:t>
            </w:r>
          </w:p>
        </w:tc>
        <w:tc>
          <w:tcPr>
            <w:tcW w:w="1013" w:type="dxa"/>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color w:val="auto"/>
                <w:sz w:val="21"/>
                <w:szCs w:val="21"/>
                <w:lang w:val="en-US" w:eastAsia="zh-CN" w:bidi="ar-SA"/>
              </w:rPr>
              <w:t>道</w:t>
            </w:r>
          </w:p>
        </w:tc>
        <w:tc>
          <w:tcPr>
            <w:tcW w:w="1021" w:type="dxa"/>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color w:val="auto"/>
                <w:sz w:val="21"/>
                <w:szCs w:val="21"/>
                <w:lang w:val="en-US" w:eastAsia="zh-CN" w:bidi="ar-SA"/>
              </w:rPr>
              <w:t>3</w:t>
            </w:r>
          </w:p>
        </w:tc>
        <w:tc>
          <w:tcPr>
            <w:tcW w:w="1182" w:type="dxa"/>
            <w:vMerge w:val="continue"/>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1"/>
                <w:szCs w:val="21"/>
                <w:lang w:val="en-US" w:eastAsia="zh-CN" w:bidi="ar-SA"/>
              </w:rPr>
            </w:pPr>
          </w:p>
        </w:tc>
        <w:tc>
          <w:tcPr>
            <w:tcW w:w="1200" w:type="dxa"/>
            <w:vMerge w:val="continue"/>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i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628" w:type="dxa"/>
            <w:vMerge w:val="continue"/>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i w:val="0"/>
                <w:color w:val="000000"/>
                <w:kern w:val="0"/>
                <w:sz w:val="21"/>
                <w:szCs w:val="21"/>
                <w:highlight w:val="none"/>
                <w:u w:val="none"/>
                <w:lang w:val="en-US" w:eastAsia="zh-CN" w:bidi="ar"/>
              </w:rPr>
            </w:pPr>
          </w:p>
        </w:tc>
        <w:tc>
          <w:tcPr>
            <w:tcW w:w="1338" w:type="dxa"/>
            <w:vMerge w:val="continue"/>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i w:val="0"/>
                <w:color w:val="000000"/>
                <w:kern w:val="0"/>
                <w:sz w:val="21"/>
                <w:szCs w:val="21"/>
                <w:highlight w:val="none"/>
                <w:u w:val="none"/>
                <w:lang w:val="en-US" w:eastAsia="zh-CN" w:bidi="ar"/>
              </w:rPr>
            </w:pPr>
          </w:p>
        </w:tc>
        <w:tc>
          <w:tcPr>
            <w:tcW w:w="2989" w:type="dxa"/>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color w:val="auto"/>
                <w:sz w:val="21"/>
                <w:szCs w:val="21"/>
              </w:rPr>
              <w:t>轨迹传感器</w:t>
            </w:r>
          </w:p>
        </w:tc>
        <w:tc>
          <w:tcPr>
            <w:tcW w:w="1013" w:type="dxa"/>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color w:val="auto"/>
                <w:sz w:val="21"/>
                <w:szCs w:val="21"/>
                <w:lang w:val="en-US" w:eastAsia="zh-CN" w:bidi="ar-SA"/>
              </w:rPr>
              <w:t>道</w:t>
            </w:r>
          </w:p>
        </w:tc>
        <w:tc>
          <w:tcPr>
            <w:tcW w:w="1021" w:type="dxa"/>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color w:val="auto"/>
                <w:sz w:val="21"/>
                <w:szCs w:val="21"/>
                <w:lang w:val="en-US" w:eastAsia="zh-CN" w:bidi="ar-SA"/>
              </w:rPr>
              <w:t>3</w:t>
            </w:r>
          </w:p>
        </w:tc>
        <w:tc>
          <w:tcPr>
            <w:tcW w:w="1182" w:type="dxa"/>
            <w:vMerge w:val="continue"/>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1"/>
                <w:szCs w:val="21"/>
                <w:lang w:val="en-US" w:eastAsia="zh-CN" w:bidi="ar-SA"/>
              </w:rPr>
            </w:pPr>
          </w:p>
        </w:tc>
        <w:tc>
          <w:tcPr>
            <w:tcW w:w="1200" w:type="dxa"/>
            <w:vMerge w:val="continue"/>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i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628" w:type="dxa"/>
            <w:vMerge w:val="restart"/>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2</w:t>
            </w:r>
          </w:p>
        </w:tc>
        <w:tc>
          <w:tcPr>
            <w:tcW w:w="1338" w:type="dxa"/>
            <w:vMerge w:val="restart"/>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color w:val="auto"/>
                <w:sz w:val="21"/>
                <w:szCs w:val="21"/>
                <w:lang w:val="en-US" w:eastAsia="zh-CN" w:bidi="ar-SA"/>
              </w:rPr>
              <w:t>车牌自动识别子系统</w:t>
            </w:r>
          </w:p>
        </w:tc>
        <w:tc>
          <w:tcPr>
            <w:tcW w:w="2989" w:type="dxa"/>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bidi="ar-SA"/>
              </w:rPr>
              <w:t>L型立杆</w:t>
            </w:r>
          </w:p>
        </w:tc>
        <w:tc>
          <w:tcPr>
            <w:tcW w:w="1013" w:type="dxa"/>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color w:val="auto"/>
                <w:sz w:val="21"/>
                <w:szCs w:val="21"/>
                <w:lang w:val="en-US" w:eastAsia="zh-CN" w:bidi="ar-SA"/>
              </w:rPr>
              <w:t>根</w:t>
            </w:r>
          </w:p>
        </w:tc>
        <w:tc>
          <w:tcPr>
            <w:tcW w:w="1021" w:type="dxa"/>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color w:val="auto"/>
                <w:sz w:val="21"/>
                <w:szCs w:val="21"/>
                <w:lang w:val="en-US" w:eastAsia="zh-CN" w:bidi="ar-SA"/>
              </w:rPr>
              <w:t>1</w:t>
            </w:r>
          </w:p>
        </w:tc>
        <w:tc>
          <w:tcPr>
            <w:tcW w:w="1182" w:type="dxa"/>
            <w:vMerge w:val="continue"/>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1"/>
                <w:szCs w:val="21"/>
                <w:lang w:val="en-US" w:eastAsia="zh-CN" w:bidi="ar-SA"/>
              </w:rPr>
            </w:pPr>
          </w:p>
        </w:tc>
        <w:tc>
          <w:tcPr>
            <w:tcW w:w="1200" w:type="dxa"/>
            <w:vMerge w:val="continue"/>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i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628" w:type="dxa"/>
            <w:vMerge w:val="continue"/>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i w:val="0"/>
                <w:color w:val="000000"/>
                <w:kern w:val="0"/>
                <w:sz w:val="21"/>
                <w:szCs w:val="21"/>
                <w:highlight w:val="none"/>
                <w:u w:val="none"/>
                <w:lang w:val="en-US" w:eastAsia="zh-CN" w:bidi="ar"/>
              </w:rPr>
            </w:pPr>
          </w:p>
        </w:tc>
        <w:tc>
          <w:tcPr>
            <w:tcW w:w="1338" w:type="dxa"/>
            <w:vMerge w:val="continue"/>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i w:val="0"/>
                <w:color w:val="000000"/>
                <w:kern w:val="0"/>
                <w:sz w:val="21"/>
                <w:szCs w:val="21"/>
                <w:highlight w:val="none"/>
                <w:u w:val="none"/>
                <w:lang w:val="en-US" w:eastAsia="zh-CN" w:bidi="ar"/>
              </w:rPr>
            </w:pPr>
          </w:p>
        </w:tc>
        <w:tc>
          <w:tcPr>
            <w:tcW w:w="2989" w:type="dxa"/>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bidi="ar-SA"/>
              </w:rPr>
              <w:t>L型立杆基础</w:t>
            </w:r>
          </w:p>
        </w:tc>
        <w:tc>
          <w:tcPr>
            <w:tcW w:w="1013" w:type="dxa"/>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color w:val="auto"/>
                <w:sz w:val="21"/>
                <w:szCs w:val="21"/>
                <w:lang w:val="en-US" w:eastAsia="zh-CN" w:bidi="ar-SA"/>
              </w:rPr>
              <w:t>个</w:t>
            </w:r>
          </w:p>
        </w:tc>
        <w:tc>
          <w:tcPr>
            <w:tcW w:w="1021" w:type="dxa"/>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color w:val="auto"/>
                <w:sz w:val="21"/>
                <w:szCs w:val="21"/>
                <w:lang w:val="en-US" w:eastAsia="zh-CN" w:bidi="ar-SA"/>
              </w:rPr>
              <w:t>2</w:t>
            </w:r>
          </w:p>
        </w:tc>
        <w:tc>
          <w:tcPr>
            <w:tcW w:w="1182" w:type="dxa"/>
            <w:vMerge w:val="continue"/>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1"/>
                <w:szCs w:val="21"/>
                <w:lang w:val="en-US" w:eastAsia="zh-CN" w:bidi="ar-SA"/>
              </w:rPr>
            </w:pPr>
          </w:p>
        </w:tc>
        <w:tc>
          <w:tcPr>
            <w:tcW w:w="1200" w:type="dxa"/>
            <w:vMerge w:val="continue"/>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i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628" w:type="dxa"/>
            <w:vMerge w:val="continue"/>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i w:val="0"/>
                <w:color w:val="000000"/>
                <w:kern w:val="0"/>
                <w:sz w:val="21"/>
                <w:szCs w:val="21"/>
                <w:highlight w:val="none"/>
                <w:u w:val="none"/>
                <w:lang w:val="en-US" w:eastAsia="zh-CN" w:bidi="ar"/>
              </w:rPr>
            </w:pPr>
          </w:p>
        </w:tc>
        <w:tc>
          <w:tcPr>
            <w:tcW w:w="1338" w:type="dxa"/>
            <w:vMerge w:val="continue"/>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i w:val="0"/>
                <w:color w:val="000000"/>
                <w:kern w:val="0"/>
                <w:sz w:val="21"/>
                <w:szCs w:val="21"/>
                <w:highlight w:val="none"/>
                <w:u w:val="none"/>
                <w:lang w:val="en-US" w:eastAsia="zh-CN" w:bidi="ar"/>
              </w:rPr>
            </w:pPr>
          </w:p>
        </w:tc>
        <w:tc>
          <w:tcPr>
            <w:tcW w:w="2989" w:type="dxa"/>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bidi="ar-SA"/>
              </w:rPr>
              <w:t>车轴抓拍立杆基础</w:t>
            </w:r>
          </w:p>
        </w:tc>
        <w:tc>
          <w:tcPr>
            <w:tcW w:w="1013" w:type="dxa"/>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color w:val="auto"/>
                <w:sz w:val="21"/>
                <w:szCs w:val="21"/>
                <w:lang w:val="en-US" w:eastAsia="zh-CN" w:bidi="ar-SA"/>
              </w:rPr>
              <w:t>个</w:t>
            </w:r>
          </w:p>
        </w:tc>
        <w:tc>
          <w:tcPr>
            <w:tcW w:w="1021" w:type="dxa"/>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color w:val="auto"/>
                <w:sz w:val="21"/>
                <w:szCs w:val="21"/>
                <w:lang w:val="en-US" w:eastAsia="zh-CN" w:bidi="ar-SA"/>
              </w:rPr>
              <w:t>1</w:t>
            </w:r>
          </w:p>
        </w:tc>
        <w:tc>
          <w:tcPr>
            <w:tcW w:w="1182" w:type="dxa"/>
            <w:vMerge w:val="continue"/>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1"/>
                <w:szCs w:val="21"/>
                <w:lang w:val="en-US" w:eastAsia="zh-CN" w:bidi="ar-SA"/>
              </w:rPr>
            </w:pPr>
          </w:p>
        </w:tc>
        <w:tc>
          <w:tcPr>
            <w:tcW w:w="1200" w:type="dxa"/>
            <w:vMerge w:val="continue"/>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i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628"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3</w:t>
            </w:r>
          </w:p>
        </w:tc>
        <w:tc>
          <w:tcPr>
            <w:tcW w:w="1338"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color w:val="auto"/>
                <w:sz w:val="21"/>
                <w:szCs w:val="21"/>
                <w:lang w:val="en-US" w:eastAsia="zh-CN" w:bidi="ar-SA"/>
              </w:rPr>
              <w:t>信息诱导子系统</w:t>
            </w:r>
          </w:p>
        </w:tc>
        <w:tc>
          <w:tcPr>
            <w:tcW w:w="2989" w:type="dxa"/>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情报板大型F架基础</w:t>
            </w:r>
          </w:p>
        </w:tc>
        <w:tc>
          <w:tcPr>
            <w:tcW w:w="1013" w:type="dxa"/>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个</w:t>
            </w:r>
          </w:p>
        </w:tc>
        <w:tc>
          <w:tcPr>
            <w:tcW w:w="1021" w:type="dxa"/>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1</w:t>
            </w:r>
          </w:p>
        </w:tc>
        <w:tc>
          <w:tcPr>
            <w:tcW w:w="1182" w:type="dxa"/>
            <w:vMerge w:val="continue"/>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1"/>
                <w:szCs w:val="21"/>
                <w:lang w:val="en-US" w:eastAsia="zh-CN" w:bidi="ar-SA"/>
              </w:rPr>
            </w:pPr>
          </w:p>
        </w:tc>
        <w:tc>
          <w:tcPr>
            <w:tcW w:w="1200" w:type="dxa"/>
            <w:vMerge w:val="continue"/>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i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628" w:type="dxa"/>
            <w:vMerge w:val="restart"/>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4</w:t>
            </w:r>
          </w:p>
        </w:tc>
        <w:tc>
          <w:tcPr>
            <w:tcW w:w="1338" w:type="dxa"/>
            <w:vMerge w:val="restart"/>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color w:val="auto"/>
                <w:sz w:val="21"/>
                <w:szCs w:val="21"/>
                <w:lang w:val="en-US" w:eastAsia="zh-CN" w:bidi="ar-SA"/>
              </w:rPr>
              <w:t>计算机系统及其他设备</w:t>
            </w:r>
          </w:p>
        </w:tc>
        <w:tc>
          <w:tcPr>
            <w:tcW w:w="2989" w:type="dxa"/>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工业计算机安装调试</w:t>
            </w:r>
          </w:p>
        </w:tc>
        <w:tc>
          <w:tcPr>
            <w:tcW w:w="1013" w:type="dxa"/>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台</w:t>
            </w:r>
          </w:p>
        </w:tc>
        <w:tc>
          <w:tcPr>
            <w:tcW w:w="1021" w:type="dxa"/>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1</w:t>
            </w:r>
          </w:p>
        </w:tc>
        <w:tc>
          <w:tcPr>
            <w:tcW w:w="1182" w:type="dxa"/>
            <w:vMerge w:val="continue"/>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1"/>
                <w:szCs w:val="21"/>
                <w:lang w:val="en-US" w:eastAsia="zh-CN" w:bidi="ar-SA"/>
              </w:rPr>
            </w:pPr>
          </w:p>
        </w:tc>
        <w:tc>
          <w:tcPr>
            <w:tcW w:w="1200" w:type="dxa"/>
            <w:vMerge w:val="continue"/>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i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628" w:type="dxa"/>
            <w:vMerge w:val="continue"/>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i w:val="0"/>
                <w:color w:val="000000"/>
                <w:kern w:val="0"/>
                <w:sz w:val="21"/>
                <w:szCs w:val="21"/>
                <w:highlight w:val="none"/>
                <w:u w:val="none"/>
                <w:lang w:val="en-US" w:eastAsia="zh-CN" w:bidi="ar"/>
              </w:rPr>
            </w:pPr>
          </w:p>
        </w:tc>
        <w:tc>
          <w:tcPr>
            <w:tcW w:w="1338" w:type="dxa"/>
            <w:vMerge w:val="continue"/>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i w:val="0"/>
                <w:color w:val="000000"/>
                <w:kern w:val="0"/>
                <w:sz w:val="21"/>
                <w:szCs w:val="21"/>
                <w:highlight w:val="none"/>
                <w:u w:val="none"/>
                <w:lang w:val="en-US" w:eastAsia="zh-CN" w:bidi="ar"/>
              </w:rPr>
            </w:pPr>
          </w:p>
        </w:tc>
        <w:tc>
          <w:tcPr>
            <w:tcW w:w="2989" w:type="dxa"/>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工业级以太网交换机安装调试</w:t>
            </w:r>
          </w:p>
        </w:tc>
        <w:tc>
          <w:tcPr>
            <w:tcW w:w="1013" w:type="dxa"/>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台</w:t>
            </w:r>
          </w:p>
        </w:tc>
        <w:tc>
          <w:tcPr>
            <w:tcW w:w="1021" w:type="dxa"/>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1</w:t>
            </w:r>
          </w:p>
        </w:tc>
        <w:tc>
          <w:tcPr>
            <w:tcW w:w="1182" w:type="dxa"/>
            <w:vMerge w:val="continue"/>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1"/>
                <w:szCs w:val="21"/>
                <w:lang w:val="en-US" w:eastAsia="zh-CN" w:bidi="ar-SA"/>
              </w:rPr>
            </w:pPr>
          </w:p>
        </w:tc>
        <w:tc>
          <w:tcPr>
            <w:tcW w:w="1200" w:type="dxa"/>
            <w:vMerge w:val="continue"/>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i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628" w:type="dxa"/>
            <w:vMerge w:val="continue"/>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i w:val="0"/>
                <w:color w:val="000000"/>
                <w:kern w:val="0"/>
                <w:sz w:val="21"/>
                <w:szCs w:val="21"/>
                <w:highlight w:val="none"/>
                <w:u w:val="none"/>
                <w:lang w:val="en-US" w:eastAsia="zh-CN" w:bidi="ar"/>
              </w:rPr>
            </w:pPr>
          </w:p>
        </w:tc>
        <w:tc>
          <w:tcPr>
            <w:tcW w:w="1338" w:type="dxa"/>
            <w:vMerge w:val="continue"/>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i w:val="0"/>
                <w:color w:val="000000"/>
                <w:kern w:val="0"/>
                <w:sz w:val="21"/>
                <w:szCs w:val="21"/>
                <w:highlight w:val="none"/>
                <w:u w:val="none"/>
                <w:lang w:val="en-US" w:eastAsia="zh-CN" w:bidi="ar"/>
              </w:rPr>
            </w:pPr>
          </w:p>
        </w:tc>
        <w:tc>
          <w:tcPr>
            <w:tcW w:w="2989" w:type="dxa"/>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IO控制卡安装调试</w:t>
            </w:r>
          </w:p>
        </w:tc>
        <w:tc>
          <w:tcPr>
            <w:tcW w:w="1013" w:type="dxa"/>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块</w:t>
            </w:r>
          </w:p>
        </w:tc>
        <w:tc>
          <w:tcPr>
            <w:tcW w:w="1021" w:type="dxa"/>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1</w:t>
            </w:r>
          </w:p>
        </w:tc>
        <w:tc>
          <w:tcPr>
            <w:tcW w:w="1182" w:type="dxa"/>
            <w:vMerge w:val="continue"/>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1"/>
                <w:szCs w:val="21"/>
                <w:lang w:val="en-US" w:eastAsia="zh-CN" w:bidi="ar-SA"/>
              </w:rPr>
            </w:pPr>
          </w:p>
        </w:tc>
        <w:tc>
          <w:tcPr>
            <w:tcW w:w="1200" w:type="dxa"/>
            <w:vMerge w:val="continue"/>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i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628" w:type="dxa"/>
            <w:vMerge w:val="restart"/>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5</w:t>
            </w:r>
          </w:p>
        </w:tc>
        <w:tc>
          <w:tcPr>
            <w:tcW w:w="1338" w:type="dxa"/>
            <w:vMerge w:val="restart"/>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color w:val="auto"/>
                <w:sz w:val="21"/>
                <w:szCs w:val="21"/>
                <w:lang w:val="en-US" w:eastAsia="zh-CN" w:bidi="ar-SA"/>
              </w:rPr>
              <w:t>电源设备</w:t>
            </w:r>
          </w:p>
        </w:tc>
        <w:tc>
          <w:tcPr>
            <w:tcW w:w="2989" w:type="dxa"/>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远程智能控制器安装调试</w:t>
            </w:r>
          </w:p>
        </w:tc>
        <w:tc>
          <w:tcPr>
            <w:tcW w:w="1013" w:type="dxa"/>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台</w:t>
            </w:r>
          </w:p>
        </w:tc>
        <w:tc>
          <w:tcPr>
            <w:tcW w:w="1021" w:type="dxa"/>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1</w:t>
            </w:r>
          </w:p>
        </w:tc>
        <w:tc>
          <w:tcPr>
            <w:tcW w:w="1182" w:type="dxa"/>
            <w:vMerge w:val="continue"/>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1"/>
                <w:szCs w:val="21"/>
                <w:lang w:val="en-US" w:eastAsia="zh-CN" w:bidi="ar-SA"/>
              </w:rPr>
            </w:pPr>
          </w:p>
        </w:tc>
        <w:tc>
          <w:tcPr>
            <w:tcW w:w="1200" w:type="dxa"/>
            <w:vMerge w:val="continue"/>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i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628" w:type="dxa"/>
            <w:vMerge w:val="continue"/>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i w:val="0"/>
                <w:color w:val="000000"/>
                <w:kern w:val="0"/>
                <w:sz w:val="21"/>
                <w:szCs w:val="21"/>
                <w:highlight w:val="none"/>
                <w:u w:val="none"/>
                <w:lang w:val="en-US" w:eastAsia="zh-CN" w:bidi="ar"/>
              </w:rPr>
            </w:pPr>
          </w:p>
        </w:tc>
        <w:tc>
          <w:tcPr>
            <w:tcW w:w="1338" w:type="dxa"/>
            <w:vMerge w:val="continue"/>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i w:val="0"/>
                <w:color w:val="000000"/>
                <w:kern w:val="0"/>
                <w:sz w:val="21"/>
                <w:szCs w:val="21"/>
                <w:highlight w:val="none"/>
                <w:u w:val="none"/>
                <w:lang w:val="en-US" w:eastAsia="zh-CN" w:bidi="ar"/>
              </w:rPr>
            </w:pPr>
          </w:p>
        </w:tc>
        <w:tc>
          <w:tcPr>
            <w:tcW w:w="2989" w:type="dxa"/>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远程智能控制系统</w:t>
            </w:r>
          </w:p>
        </w:tc>
        <w:tc>
          <w:tcPr>
            <w:tcW w:w="1013" w:type="dxa"/>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套</w:t>
            </w:r>
          </w:p>
        </w:tc>
        <w:tc>
          <w:tcPr>
            <w:tcW w:w="1021" w:type="dxa"/>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1</w:t>
            </w:r>
          </w:p>
        </w:tc>
        <w:tc>
          <w:tcPr>
            <w:tcW w:w="1182" w:type="dxa"/>
            <w:vMerge w:val="continue"/>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1"/>
                <w:szCs w:val="21"/>
                <w:lang w:val="en-US" w:eastAsia="zh-CN" w:bidi="ar-SA"/>
              </w:rPr>
            </w:pPr>
          </w:p>
        </w:tc>
        <w:tc>
          <w:tcPr>
            <w:tcW w:w="1200" w:type="dxa"/>
            <w:vMerge w:val="continue"/>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i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628" w:type="dxa"/>
            <w:vMerge w:val="continue"/>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i w:val="0"/>
                <w:color w:val="000000"/>
                <w:kern w:val="0"/>
                <w:sz w:val="21"/>
                <w:szCs w:val="21"/>
                <w:highlight w:val="none"/>
                <w:u w:val="none"/>
                <w:lang w:val="en-US" w:eastAsia="zh-CN" w:bidi="ar"/>
              </w:rPr>
            </w:pPr>
          </w:p>
        </w:tc>
        <w:tc>
          <w:tcPr>
            <w:tcW w:w="1338" w:type="dxa"/>
            <w:vMerge w:val="continue"/>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i w:val="0"/>
                <w:color w:val="000000"/>
                <w:kern w:val="0"/>
                <w:sz w:val="21"/>
                <w:szCs w:val="21"/>
                <w:highlight w:val="none"/>
                <w:u w:val="none"/>
                <w:lang w:val="en-US" w:eastAsia="zh-CN" w:bidi="ar"/>
              </w:rPr>
            </w:pPr>
          </w:p>
        </w:tc>
        <w:tc>
          <w:tcPr>
            <w:tcW w:w="2989" w:type="dxa"/>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UPS电源安装调试</w:t>
            </w:r>
          </w:p>
        </w:tc>
        <w:tc>
          <w:tcPr>
            <w:tcW w:w="1013" w:type="dxa"/>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台</w:t>
            </w:r>
          </w:p>
        </w:tc>
        <w:tc>
          <w:tcPr>
            <w:tcW w:w="1021" w:type="dxa"/>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1</w:t>
            </w:r>
          </w:p>
        </w:tc>
        <w:tc>
          <w:tcPr>
            <w:tcW w:w="1182" w:type="dxa"/>
            <w:vMerge w:val="continue"/>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1"/>
                <w:szCs w:val="21"/>
                <w:lang w:val="en-US" w:eastAsia="zh-CN" w:bidi="ar-SA"/>
              </w:rPr>
            </w:pPr>
          </w:p>
        </w:tc>
        <w:tc>
          <w:tcPr>
            <w:tcW w:w="1200" w:type="dxa"/>
            <w:vMerge w:val="continue"/>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i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628" w:type="dxa"/>
            <w:vMerge w:val="restart"/>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6</w:t>
            </w:r>
          </w:p>
        </w:tc>
        <w:tc>
          <w:tcPr>
            <w:tcW w:w="1338" w:type="dxa"/>
            <w:vMerge w:val="restart"/>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color w:val="auto"/>
                <w:sz w:val="21"/>
                <w:szCs w:val="21"/>
                <w:lang w:val="en-US" w:eastAsia="zh-CN" w:bidi="ar-SA"/>
              </w:rPr>
              <w:t>软件</w:t>
            </w:r>
          </w:p>
        </w:tc>
        <w:tc>
          <w:tcPr>
            <w:tcW w:w="2989" w:type="dxa"/>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多图抓拍控制软件</w:t>
            </w:r>
          </w:p>
        </w:tc>
        <w:tc>
          <w:tcPr>
            <w:tcW w:w="1013" w:type="dxa"/>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套</w:t>
            </w:r>
          </w:p>
        </w:tc>
        <w:tc>
          <w:tcPr>
            <w:tcW w:w="1021" w:type="dxa"/>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1</w:t>
            </w:r>
          </w:p>
        </w:tc>
        <w:tc>
          <w:tcPr>
            <w:tcW w:w="1182" w:type="dxa"/>
            <w:vMerge w:val="continue"/>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1"/>
                <w:szCs w:val="21"/>
                <w:lang w:val="en-US" w:eastAsia="zh-CN" w:bidi="ar-SA"/>
              </w:rPr>
            </w:pPr>
          </w:p>
        </w:tc>
        <w:tc>
          <w:tcPr>
            <w:tcW w:w="1200" w:type="dxa"/>
            <w:vMerge w:val="continue"/>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i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628" w:type="dxa"/>
            <w:vMerge w:val="continue"/>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i w:val="0"/>
                <w:color w:val="000000"/>
                <w:kern w:val="0"/>
                <w:sz w:val="21"/>
                <w:szCs w:val="21"/>
                <w:highlight w:val="none"/>
                <w:u w:val="none"/>
                <w:lang w:val="en-US" w:eastAsia="zh-CN" w:bidi="ar"/>
              </w:rPr>
            </w:pPr>
          </w:p>
        </w:tc>
        <w:tc>
          <w:tcPr>
            <w:tcW w:w="1338" w:type="dxa"/>
            <w:vMerge w:val="continue"/>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i w:val="0"/>
                <w:color w:val="000000"/>
                <w:kern w:val="0"/>
                <w:sz w:val="21"/>
                <w:szCs w:val="21"/>
                <w:highlight w:val="none"/>
                <w:u w:val="none"/>
                <w:lang w:val="en-US" w:eastAsia="zh-CN" w:bidi="ar"/>
              </w:rPr>
            </w:pPr>
          </w:p>
        </w:tc>
        <w:tc>
          <w:tcPr>
            <w:tcW w:w="2989" w:type="dxa"/>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动态称重智能管理系统软件</w:t>
            </w:r>
          </w:p>
        </w:tc>
        <w:tc>
          <w:tcPr>
            <w:tcW w:w="1013" w:type="dxa"/>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套</w:t>
            </w:r>
          </w:p>
        </w:tc>
        <w:tc>
          <w:tcPr>
            <w:tcW w:w="1021" w:type="dxa"/>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1</w:t>
            </w:r>
          </w:p>
        </w:tc>
        <w:tc>
          <w:tcPr>
            <w:tcW w:w="1182" w:type="dxa"/>
            <w:vMerge w:val="continue"/>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1"/>
                <w:szCs w:val="21"/>
                <w:lang w:val="en-US" w:eastAsia="zh-CN" w:bidi="ar-SA"/>
              </w:rPr>
            </w:pPr>
          </w:p>
        </w:tc>
        <w:tc>
          <w:tcPr>
            <w:tcW w:w="1200" w:type="dxa"/>
            <w:vMerge w:val="continue"/>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i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28" w:type="dxa"/>
            <w:vMerge w:val="continue"/>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i w:val="0"/>
                <w:color w:val="000000"/>
                <w:kern w:val="0"/>
                <w:sz w:val="21"/>
                <w:szCs w:val="21"/>
                <w:highlight w:val="none"/>
                <w:u w:val="none"/>
                <w:lang w:val="en-US" w:eastAsia="zh-CN" w:bidi="ar"/>
              </w:rPr>
            </w:pPr>
          </w:p>
        </w:tc>
        <w:tc>
          <w:tcPr>
            <w:tcW w:w="1338" w:type="dxa"/>
            <w:vMerge w:val="continue"/>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i w:val="0"/>
                <w:color w:val="000000"/>
                <w:kern w:val="0"/>
                <w:sz w:val="21"/>
                <w:szCs w:val="21"/>
                <w:highlight w:val="none"/>
                <w:u w:val="none"/>
                <w:lang w:val="en-US" w:eastAsia="zh-CN" w:bidi="ar"/>
              </w:rPr>
            </w:pPr>
          </w:p>
        </w:tc>
        <w:tc>
          <w:tcPr>
            <w:tcW w:w="2989" w:type="dxa"/>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本地平台接入（定制）</w:t>
            </w:r>
          </w:p>
        </w:tc>
        <w:tc>
          <w:tcPr>
            <w:tcW w:w="1013" w:type="dxa"/>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项</w:t>
            </w:r>
          </w:p>
        </w:tc>
        <w:tc>
          <w:tcPr>
            <w:tcW w:w="1021" w:type="dxa"/>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1</w:t>
            </w:r>
          </w:p>
        </w:tc>
        <w:tc>
          <w:tcPr>
            <w:tcW w:w="1182" w:type="dxa"/>
            <w:vMerge w:val="continue"/>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1"/>
                <w:szCs w:val="21"/>
                <w:lang w:val="en-US" w:eastAsia="zh-CN" w:bidi="ar-SA"/>
              </w:rPr>
            </w:pPr>
          </w:p>
        </w:tc>
        <w:tc>
          <w:tcPr>
            <w:tcW w:w="1200" w:type="dxa"/>
            <w:vMerge w:val="continue"/>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i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628" w:type="dxa"/>
            <w:vMerge w:val="continue"/>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i w:val="0"/>
                <w:color w:val="000000"/>
                <w:kern w:val="0"/>
                <w:sz w:val="21"/>
                <w:szCs w:val="21"/>
                <w:highlight w:val="none"/>
                <w:u w:val="none"/>
                <w:lang w:val="en-US" w:eastAsia="zh-CN" w:bidi="ar"/>
              </w:rPr>
            </w:pPr>
          </w:p>
        </w:tc>
        <w:tc>
          <w:tcPr>
            <w:tcW w:w="1338" w:type="dxa"/>
            <w:vMerge w:val="continue"/>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i w:val="0"/>
                <w:color w:val="000000"/>
                <w:kern w:val="0"/>
                <w:sz w:val="21"/>
                <w:szCs w:val="21"/>
                <w:highlight w:val="none"/>
                <w:u w:val="none"/>
                <w:lang w:val="en-US" w:eastAsia="zh-CN" w:bidi="ar"/>
              </w:rPr>
            </w:pPr>
          </w:p>
        </w:tc>
        <w:tc>
          <w:tcPr>
            <w:tcW w:w="2989" w:type="dxa"/>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上级平台接入（定制）</w:t>
            </w:r>
          </w:p>
        </w:tc>
        <w:tc>
          <w:tcPr>
            <w:tcW w:w="1013" w:type="dxa"/>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项</w:t>
            </w:r>
          </w:p>
        </w:tc>
        <w:tc>
          <w:tcPr>
            <w:tcW w:w="1021" w:type="dxa"/>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1</w:t>
            </w:r>
          </w:p>
        </w:tc>
        <w:tc>
          <w:tcPr>
            <w:tcW w:w="1182" w:type="dxa"/>
            <w:vMerge w:val="continue"/>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1"/>
                <w:szCs w:val="21"/>
                <w:lang w:val="en-US" w:eastAsia="zh-CN" w:bidi="ar-SA"/>
              </w:rPr>
            </w:pPr>
          </w:p>
        </w:tc>
        <w:tc>
          <w:tcPr>
            <w:tcW w:w="1200" w:type="dxa"/>
            <w:vMerge w:val="continue"/>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i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628" w:type="dxa"/>
            <w:vMerge w:val="restart"/>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7</w:t>
            </w:r>
          </w:p>
        </w:tc>
        <w:tc>
          <w:tcPr>
            <w:tcW w:w="1338" w:type="dxa"/>
            <w:vMerge w:val="restart"/>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color w:val="auto"/>
                <w:sz w:val="21"/>
                <w:szCs w:val="21"/>
                <w:lang w:val="en-US" w:eastAsia="zh-CN" w:bidi="ar-SA"/>
              </w:rPr>
              <w:t>路面改造</w:t>
            </w:r>
          </w:p>
        </w:tc>
        <w:tc>
          <w:tcPr>
            <w:tcW w:w="2989" w:type="dxa"/>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路面开挖</w:t>
            </w:r>
          </w:p>
        </w:tc>
        <w:tc>
          <w:tcPr>
            <w:tcW w:w="1013" w:type="dxa"/>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项</w:t>
            </w:r>
          </w:p>
        </w:tc>
        <w:tc>
          <w:tcPr>
            <w:tcW w:w="1021" w:type="dxa"/>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1</w:t>
            </w:r>
          </w:p>
        </w:tc>
        <w:tc>
          <w:tcPr>
            <w:tcW w:w="1182" w:type="dxa"/>
            <w:vMerge w:val="continue"/>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1"/>
                <w:szCs w:val="21"/>
                <w:lang w:val="en-US" w:eastAsia="zh-CN" w:bidi="ar-SA"/>
              </w:rPr>
            </w:pPr>
          </w:p>
        </w:tc>
        <w:tc>
          <w:tcPr>
            <w:tcW w:w="1200" w:type="dxa"/>
            <w:vMerge w:val="continue"/>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i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628" w:type="dxa"/>
            <w:vMerge w:val="continue"/>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i w:val="0"/>
                <w:color w:val="000000"/>
                <w:kern w:val="0"/>
                <w:sz w:val="21"/>
                <w:szCs w:val="21"/>
                <w:highlight w:val="none"/>
                <w:u w:val="none"/>
                <w:lang w:val="en-US" w:eastAsia="zh-CN" w:bidi="ar"/>
              </w:rPr>
            </w:pPr>
          </w:p>
        </w:tc>
        <w:tc>
          <w:tcPr>
            <w:tcW w:w="1338" w:type="dxa"/>
            <w:vMerge w:val="continue"/>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i w:val="0"/>
                <w:color w:val="000000"/>
                <w:kern w:val="0"/>
                <w:sz w:val="21"/>
                <w:szCs w:val="21"/>
                <w:highlight w:val="none"/>
                <w:u w:val="none"/>
                <w:lang w:val="en-US" w:eastAsia="zh-CN" w:bidi="ar"/>
              </w:rPr>
            </w:pPr>
          </w:p>
        </w:tc>
        <w:tc>
          <w:tcPr>
            <w:tcW w:w="2989" w:type="dxa"/>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除渣</w:t>
            </w:r>
          </w:p>
        </w:tc>
        <w:tc>
          <w:tcPr>
            <w:tcW w:w="1013" w:type="dxa"/>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项</w:t>
            </w:r>
          </w:p>
        </w:tc>
        <w:tc>
          <w:tcPr>
            <w:tcW w:w="1021" w:type="dxa"/>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1</w:t>
            </w:r>
          </w:p>
        </w:tc>
        <w:tc>
          <w:tcPr>
            <w:tcW w:w="1182" w:type="dxa"/>
            <w:vMerge w:val="continue"/>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1"/>
                <w:szCs w:val="21"/>
                <w:lang w:val="en-US" w:eastAsia="zh-CN" w:bidi="ar-SA"/>
              </w:rPr>
            </w:pPr>
          </w:p>
        </w:tc>
        <w:tc>
          <w:tcPr>
            <w:tcW w:w="1200" w:type="dxa"/>
            <w:vMerge w:val="continue"/>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i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628" w:type="dxa"/>
            <w:vMerge w:val="continue"/>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i w:val="0"/>
                <w:color w:val="000000"/>
                <w:kern w:val="0"/>
                <w:sz w:val="21"/>
                <w:szCs w:val="21"/>
                <w:highlight w:val="none"/>
                <w:u w:val="none"/>
                <w:lang w:val="en-US" w:eastAsia="zh-CN" w:bidi="ar"/>
              </w:rPr>
            </w:pPr>
          </w:p>
        </w:tc>
        <w:tc>
          <w:tcPr>
            <w:tcW w:w="1338" w:type="dxa"/>
            <w:vMerge w:val="continue"/>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i w:val="0"/>
                <w:color w:val="000000"/>
                <w:kern w:val="0"/>
                <w:sz w:val="21"/>
                <w:szCs w:val="21"/>
                <w:highlight w:val="none"/>
                <w:u w:val="none"/>
                <w:lang w:val="en-US" w:eastAsia="zh-CN" w:bidi="ar"/>
              </w:rPr>
            </w:pPr>
          </w:p>
        </w:tc>
        <w:tc>
          <w:tcPr>
            <w:tcW w:w="2989" w:type="dxa"/>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混凝土浇筑（C40）</w:t>
            </w:r>
          </w:p>
        </w:tc>
        <w:tc>
          <w:tcPr>
            <w:tcW w:w="1013" w:type="dxa"/>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m³</w:t>
            </w:r>
          </w:p>
        </w:tc>
        <w:tc>
          <w:tcPr>
            <w:tcW w:w="1021" w:type="dxa"/>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108</w:t>
            </w:r>
          </w:p>
        </w:tc>
        <w:tc>
          <w:tcPr>
            <w:tcW w:w="1182" w:type="dxa"/>
            <w:vMerge w:val="continue"/>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1"/>
                <w:szCs w:val="21"/>
                <w:lang w:val="en-US" w:eastAsia="zh-CN" w:bidi="ar-SA"/>
              </w:rPr>
            </w:pPr>
          </w:p>
        </w:tc>
        <w:tc>
          <w:tcPr>
            <w:tcW w:w="1200" w:type="dxa"/>
            <w:vMerge w:val="continue"/>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i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628" w:type="dxa"/>
            <w:vMerge w:val="continue"/>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i w:val="0"/>
                <w:color w:val="000000"/>
                <w:kern w:val="0"/>
                <w:sz w:val="21"/>
                <w:szCs w:val="21"/>
                <w:highlight w:val="none"/>
                <w:u w:val="none"/>
                <w:lang w:val="en-US" w:eastAsia="zh-CN" w:bidi="ar"/>
              </w:rPr>
            </w:pPr>
          </w:p>
        </w:tc>
        <w:tc>
          <w:tcPr>
            <w:tcW w:w="1338" w:type="dxa"/>
            <w:vMerge w:val="continue"/>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i w:val="0"/>
                <w:color w:val="000000"/>
                <w:kern w:val="0"/>
                <w:sz w:val="21"/>
                <w:szCs w:val="21"/>
                <w:highlight w:val="none"/>
                <w:u w:val="none"/>
                <w:lang w:val="en-US" w:eastAsia="zh-CN" w:bidi="ar"/>
              </w:rPr>
            </w:pPr>
          </w:p>
        </w:tc>
        <w:tc>
          <w:tcPr>
            <w:tcW w:w="2989" w:type="dxa"/>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钢筋铺设</w:t>
            </w:r>
          </w:p>
        </w:tc>
        <w:tc>
          <w:tcPr>
            <w:tcW w:w="1013" w:type="dxa"/>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项</w:t>
            </w:r>
          </w:p>
        </w:tc>
        <w:tc>
          <w:tcPr>
            <w:tcW w:w="1021" w:type="dxa"/>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1</w:t>
            </w:r>
          </w:p>
        </w:tc>
        <w:tc>
          <w:tcPr>
            <w:tcW w:w="1182" w:type="dxa"/>
            <w:vMerge w:val="continue"/>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1"/>
                <w:szCs w:val="21"/>
                <w:lang w:val="en-US" w:eastAsia="zh-CN" w:bidi="ar-SA"/>
              </w:rPr>
            </w:pPr>
          </w:p>
        </w:tc>
        <w:tc>
          <w:tcPr>
            <w:tcW w:w="1200" w:type="dxa"/>
            <w:vMerge w:val="continue"/>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i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628" w:type="dxa"/>
            <w:vMerge w:val="continue"/>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i w:val="0"/>
                <w:color w:val="000000"/>
                <w:kern w:val="0"/>
                <w:sz w:val="21"/>
                <w:szCs w:val="21"/>
                <w:highlight w:val="none"/>
                <w:u w:val="none"/>
                <w:lang w:val="en-US" w:eastAsia="zh-CN" w:bidi="ar"/>
              </w:rPr>
            </w:pPr>
          </w:p>
        </w:tc>
        <w:tc>
          <w:tcPr>
            <w:tcW w:w="1338" w:type="dxa"/>
            <w:vMerge w:val="continue"/>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i w:val="0"/>
                <w:color w:val="000000"/>
                <w:kern w:val="0"/>
                <w:sz w:val="21"/>
                <w:szCs w:val="21"/>
                <w:highlight w:val="none"/>
                <w:u w:val="none"/>
                <w:lang w:val="en-US" w:eastAsia="zh-CN" w:bidi="ar"/>
              </w:rPr>
            </w:pPr>
          </w:p>
        </w:tc>
        <w:tc>
          <w:tcPr>
            <w:tcW w:w="2989" w:type="dxa"/>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管道预埋</w:t>
            </w:r>
          </w:p>
        </w:tc>
        <w:tc>
          <w:tcPr>
            <w:tcW w:w="1013" w:type="dxa"/>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米</w:t>
            </w:r>
          </w:p>
        </w:tc>
        <w:tc>
          <w:tcPr>
            <w:tcW w:w="1021" w:type="dxa"/>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45</w:t>
            </w:r>
          </w:p>
        </w:tc>
        <w:tc>
          <w:tcPr>
            <w:tcW w:w="1182" w:type="dxa"/>
            <w:vMerge w:val="continue"/>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1"/>
                <w:szCs w:val="21"/>
                <w:lang w:val="en-US" w:eastAsia="zh-CN" w:bidi="ar-SA"/>
              </w:rPr>
            </w:pPr>
          </w:p>
        </w:tc>
        <w:tc>
          <w:tcPr>
            <w:tcW w:w="1200" w:type="dxa"/>
            <w:vMerge w:val="continue"/>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i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628" w:type="dxa"/>
            <w:vMerge w:val="continue"/>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i w:val="0"/>
                <w:color w:val="000000"/>
                <w:kern w:val="0"/>
                <w:sz w:val="21"/>
                <w:szCs w:val="21"/>
                <w:highlight w:val="none"/>
                <w:u w:val="none"/>
                <w:lang w:val="en-US" w:eastAsia="zh-CN" w:bidi="ar"/>
              </w:rPr>
            </w:pPr>
          </w:p>
        </w:tc>
        <w:tc>
          <w:tcPr>
            <w:tcW w:w="1338" w:type="dxa"/>
            <w:vMerge w:val="continue"/>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i w:val="0"/>
                <w:color w:val="000000"/>
                <w:kern w:val="0"/>
                <w:sz w:val="21"/>
                <w:szCs w:val="21"/>
                <w:highlight w:val="none"/>
                <w:u w:val="none"/>
                <w:lang w:val="en-US" w:eastAsia="zh-CN" w:bidi="ar"/>
              </w:rPr>
            </w:pPr>
          </w:p>
        </w:tc>
        <w:tc>
          <w:tcPr>
            <w:tcW w:w="2989" w:type="dxa"/>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线缆井</w:t>
            </w:r>
          </w:p>
        </w:tc>
        <w:tc>
          <w:tcPr>
            <w:tcW w:w="1013" w:type="dxa"/>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孔</w:t>
            </w:r>
          </w:p>
        </w:tc>
        <w:tc>
          <w:tcPr>
            <w:tcW w:w="1021" w:type="dxa"/>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2</w:t>
            </w:r>
          </w:p>
        </w:tc>
        <w:tc>
          <w:tcPr>
            <w:tcW w:w="1182" w:type="dxa"/>
            <w:vMerge w:val="continue"/>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1"/>
                <w:szCs w:val="21"/>
                <w:lang w:val="en-US" w:eastAsia="zh-CN" w:bidi="ar-SA"/>
              </w:rPr>
            </w:pPr>
          </w:p>
        </w:tc>
        <w:tc>
          <w:tcPr>
            <w:tcW w:w="1200" w:type="dxa"/>
            <w:vMerge w:val="continue"/>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i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628" w:type="dxa"/>
            <w:vMerge w:val="continue"/>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i w:val="0"/>
                <w:color w:val="000000"/>
                <w:kern w:val="0"/>
                <w:sz w:val="21"/>
                <w:szCs w:val="21"/>
                <w:highlight w:val="none"/>
                <w:u w:val="none"/>
                <w:lang w:val="en-US" w:eastAsia="zh-CN" w:bidi="ar"/>
              </w:rPr>
            </w:pPr>
          </w:p>
        </w:tc>
        <w:tc>
          <w:tcPr>
            <w:tcW w:w="1338" w:type="dxa"/>
            <w:vMerge w:val="continue"/>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i w:val="0"/>
                <w:color w:val="000000"/>
                <w:kern w:val="0"/>
                <w:sz w:val="21"/>
                <w:szCs w:val="21"/>
                <w:highlight w:val="none"/>
                <w:u w:val="none"/>
                <w:lang w:val="en-US" w:eastAsia="zh-CN" w:bidi="ar"/>
              </w:rPr>
            </w:pPr>
          </w:p>
        </w:tc>
        <w:tc>
          <w:tcPr>
            <w:tcW w:w="2989" w:type="dxa"/>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蓝白相间水马（1.2米规格）</w:t>
            </w:r>
          </w:p>
        </w:tc>
        <w:tc>
          <w:tcPr>
            <w:tcW w:w="1013" w:type="dxa"/>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个</w:t>
            </w:r>
          </w:p>
        </w:tc>
        <w:tc>
          <w:tcPr>
            <w:tcW w:w="1021" w:type="dxa"/>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30</w:t>
            </w:r>
          </w:p>
        </w:tc>
        <w:tc>
          <w:tcPr>
            <w:tcW w:w="1182" w:type="dxa"/>
            <w:vMerge w:val="continue"/>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1"/>
                <w:szCs w:val="21"/>
                <w:lang w:val="en-US" w:eastAsia="zh-CN" w:bidi="ar-SA"/>
              </w:rPr>
            </w:pPr>
          </w:p>
        </w:tc>
        <w:tc>
          <w:tcPr>
            <w:tcW w:w="1200" w:type="dxa"/>
            <w:vMerge w:val="continue"/>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i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628" w:type="dxa"/>
            <w:vMerge w:val="continue"/>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i w:val="0"/>
                <w:color w:val="000000"/>
                <w:kern w:val="0"/>
                <w:sz w:val="21"/>
                <w:szCs w:val="21"/>
                <w:highlight w:val="none"/>
                <w:u w:val="none"/>
                <w:lang w:val="en-US" w:eastAsia="zh-CN" w:bidi="ar"/>
              </w:rPr>
            </w:pPr>
          </w:p>
        </w:tc>
        <w:tc>
          <w:tcPr>
            <w:tcW w:w="1338" w:type="dxa"/>
            <w:vMerge w:val="continue"/>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i w:val="0"/>
                <w:color w:val="000000"/>
                <w:kern w:val="0"/>
                <w:sz w:val="21"/>
                <w:szCs w:val="21"/>
                <w:highlight w:val="none"/>
                <w:u w:val="none"/>
                <w:lang w:val="en-US" w:eastAsia="zh-CN" w:bidi="ar"/>
              </w:rPr>
            </w:pPr>
          </w:p>
        </w:tc>
        <w:tc>
          <w:tcPr>
            <w:tcW w:w="2989" w:type="dxa"/>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安全警示灯（含支架）</w:t>
            </w:r>
          </w:p>
        </w:tc>
        <w:tc>
          <w:tcPr>
            <w:tcW w:w="1013" w:type="dxa"/>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个</w:t>
            </w:r>
          </w:p>
        </w:tc>
        <w:tc>
          <w:tcPr>
            <w:tcW w:w="1021" w:type="dxa"/>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6</w:t>
            </w:r>
          </w:p>
        </w:tc>
        <w:tc>
          <w:tcPr>
            <w:tcW w:w="1182" w:type="dxa"/>
            <w:vMerge w:val="continue"/>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1"/>
                <w:szCs w:val="21"/>
                <w:lang w:val="en-US" w:eastAsia="zh-CN" w:bidi="ar-SA"/>
              </w:rPr>
            </w:pPr>
          </w:p>
        </w:tc>
        <w:tc>
          <w:tcPr>
            <w:tcW w:w="1200" w:type="dxa"/>
            <w:vMerge w:val="continue"/>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i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628"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i w:val="0"/>
                <w:color w:val="000000"/>
                <w:kern w:val="0"/>
                <w:sz w:val="21"/>
                <w:szCs w:val="21"/>
                <w:highlight w:val="none"/>
                <w:u w:val="none"/>
                <w:lang w:val="en-US" w:eastAsia="zh-CN" w:bidi="ar"/>
              </w:rPr>
            </w:pPr>
          </w:p>
        </w:tc>
        <w:tc>
          <w:tcPr>
            <w:tcW w:w="1338"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i w:val="0"/>
                <w:color w:val="000000"/>
                <w:kern w:val="0"/>
                <w:sz w:val="21"/>
                <w:szCs w:val="21"/>
                <w:highlight w:val="none"/>
                <w:u w:val="none"/>
                <w:lang w:val="en-US" w:eastAsia="zh-CN" w:bidi="ar"/>
              </w:rPr>
            </w:pPr>
          </w:p>
        </w:tc>
        <w:tc>
          <w:tcPr>
            <w:tcW w:w="2989" w:type="dxa"/>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施工标志警示牌</w:t>
            </w:r>
          </w:p>
        </w:tc>
        <w:tc>
          <w:tcPr>
            <w:tcW w:w="1013" w:type="dxa"/>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个</w:t>
            </w:r>
          </w:p>
        </w:tc>
        <w:tc>
          <w:tcPr>
            <w:tcW w:w="1021" w:type="dxa"/>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10</w:t>
            </w:r>
          </w:p>
        </w:tc>
        <w:tc>
          <w:tcPr>
            <w:tcW w:w="1182" w:type="dxa"/>
            <w:vMerge w:val="continue"/>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1"/>
                <w:szCs w:val="21"/>
                <w:lang w:val="en-US" w:eastAsia="zh-CN" w:bidi="ar-SA"/>
              </w:rPr>
            </w:pPr>
          </w:p>
        </w:tc>
        <w:tc>
          <w:tcPr>
            <w:tcW w:w="1200" w:type="dxa"/>
            <w:vMerge w:val="continue"/>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i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628"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i w:val="0"/>
                <w:color w:val="000000"/>
                <w:kern w:val="0"/>
                <w:sz w:val="21"/>
                <w:szCs w:val="21"/>
                <w:highlight w:val="none"/>
                <w:u w:val="none"/>
                <w:lang w:val="en-US" w:eastAsia="zh-CN" w:bidi="ar"/>
              </w:rPr>
            </w:pPr>
          </w:p>
        </w:tc>
        <w:tc>
          <w:tcPr>
            <w:tcW w:w="1338"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i w:val="0"/>
                <w:color w:val="000000"/>
                <w:kern w:val="0"/>
                <w:sz w:val="21"/>
                <w:szCs w:val="21"/>
                <w:highlight w:val="none"/>
                <w:u w:val="none"/>
                <w:lang w:val="en-US" w:eastAsia="zh-CN" w:bidi="ar"/>
              </w:rPr>
            </w:pPr>
          </w:p>
        </w:tc>
        <w:tc>
          <w:tcPr>
            <w:tcW w:w="2989" w:type="dxa"/>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锥形桶</w:t>
            </w:r>
          </w:p>
        </w:tc>
        <w:tc>
          <w:tcPr>
            <w:tcW w:w="1013" w:type="dxa"/>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个</w:t>
            </w:r>
          </w:p>
        </w:tc>
        <w:tc>
          <w:tcPr>
            <w:tcW w:w="1021" w:type="dxa"/>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100</w:t>
            </w:r>
          </w:p>
        </w:tc>
        <w:tc>
          <w:tcPr>
            <w:tcW w:w="1182" w:type="dxa"/>
            <w:vMerge w:val="continue"/>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1"/>
                <w:szCs w:val="21"/>
                <w:lang w:val="en-US" w:eastAsia="zh-CN" w:bidi="ar-SA"/>
              </w:rPr>
            </w:pPr>
          </w:p>
        </w:tc>
        <w:tc>
          <w:tcPr>
            <w:tcW w:w="1200" w:type="dxa"/>
            <w:vMerge w:val="continue"/>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i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628"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i w:val="0"/>
                <w:color w:val="000000"/>
                <w:kern w:val="0"/>
                <w:sz w:val="21"/>
                <w:szCs w:val="21"/>
                <w:highlight w:val="none"/>
                <w:u w:val="none"/>
                <w:lang w:val="en-US" w:eastAsia="zh-CN" w:bidi="ar"/>
              </w:rPr>
            </w:pPr>
          </w:p>
        </w:tc>
        <w:tc>
          <w:tcPr>
            <w:tcW w:w="1338"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i w:val="0"/>
                <w:color w:val="000000"/>
                <w:kern w:val="0"/>
                <w:sz w:val="21"/>
                <w:szCs w:val="21"/>
                <w:highlight w:val="none"/>
                <w:u w:val="none"/>
                <w:lang w:val="en-US" w:eastAsia="zh-CN" w:bidi="ar"/>
              </w:rPr>
            </w:pPr>
          </w:p>
        </w:tc>
        <w:tc>
          <w:tcPr>
            <w:tcW w:w="2989" w:type="dxa"/>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路面打磨</w:t>
            </w:r>
          </w:p>
        </w:tc>
        <w:tc>
          <w:tcPr>
            <w:tcW w:w="1013" w:type="dxa"/>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项</w:t>
            </w:r>
          </w:p>
        </w:tc>
        <w:tc>
          <w:tcPr>
            <w:tcW w:w="1021" w:type="dxa"/>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1</w:t>
            </w:r>
          </w:p>
        </w:tc>
        <w:tc>
          <w:tcPr>
            <w:tcW w:w="1182" w:type="dxa"/>
            <w:vMerge w:val="continue"/>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1"/>
                <w:szCs w:val="21"/>
                <w:lang w:val="en-US" w:eastAsia="zh-CN" w:bidi="ar-SA"/>
              </w:rPr>
            </w:pPr>
          </w:p>
        </w:tc>
        <w:tc>
          <w:tcPr>
            <w:tcW w:w="1200" w:type="dxa"/>
            <w:vMerge w:val="continue"/>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i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628" w:type="dxa"/>
            <w:vMerge w:val="restart"/>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8</w:t>
            </w:r>
          </w:p>
        </w:tc>
        <w:tc>
          <w:tcPr>
            <w:tcW w:w="1338" w:type="dxa"/>
            <w:vMerge w:val="restart"/>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color w:val="auto"/>
                <w:sz w:val="21"/>
                <w:szCs w:val="21"/>
                <w:lang w:val="en-US" w:eastAsia="zh-CN" w:bidi="ar-SA"/>
              </w:rPr>
              <w:t>标志标牌</w:t>
            </w:r>
          </w:p>
        </w:tc>
        <w:tc>
          <w:tcPr>
            <w:tcW w:w="2989" w:type="dxa"/>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超限检测提示牌安装</w:t>
            </w:r>
          </w:p>
        </w:tc>
        <w:tc>
          <w:tcPr>
            <w:tcW w:w="1013" w:type="dxa"/>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根</w:t>
            </w:r>
          </w:p>
        </w:tc>
        <w:tc>
          <w:tcPr>
            <w:tcW w:w="1021" w:type="dxa"/>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1</w:t>
            </w:r>
          </w:p>
        </w:tc>
        <w:tc>
          <w:tcPr>
            <w:tcW w:w="1182" w:type="dxa"/>
            <w:vMerge w:val="continue"/>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1"/>
                <w:szCs w:val="21"/>
                <w:lang w:val="en-US" w:eastAsia="zh-CN" w:bidi="ar-SA"/>
              </w:rPr>
            </w:pPr>
          </w:p>
        </w:tc>
        <w:tc>
          <w:tcPr>
            <w:tcW w:w="1200" w:type="dxa"/>
            <w:vMerge w:val="continue"/>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i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628" w:type="dxa"/>
            <w:vMerge w:val="continue"/>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i w:val="0"/>
                <w:color w:val="000000"/>
                <w:kern w:val="0"/>
                <w:sz w:val="21"/>
                <w:szCs w:val="21"/>
                <w:highlight w:val="none"/>
                <w:u w:val="none"/>
                <w:lang w:val="en-US" w:eastAsia="zh-CN" w:bidi="ar"/>
              </w:rPr>
            </w:pPr>
          </w:p>
        </w:tc>
        <w:tc>
          <w:tcPr>
            <w:tcW w:w="1338" w:type="dxa"/>
            <w:vMerge w:val="continue"/>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i w:val="0"/>
                <w:color w:val="000000"/>
                <w:kern w:val="0"/>
                <w:sz w:val="21"/>
                <w:szCs w:val="21"/>
                <w:highlight w:val="none"/>
                <w:u w:val="none"/>
                <w:lang w:val="en-US" w:eastAsia="zh-CN" w:bidi="ar"/>
              </w:rPr>
            </w:pPr>
          </w:p>
        </w:tc>
        <w:tc>
          <w:tcPr>
            <w:tcW w:w="2989" w:type="dxa"/>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限高标志牌安装</w:t>
            </w:r>
          </w:p>
        </w:tc>
        <w:tc>
          <w:tcPr>
            <w:tcW w:w="1013" w:type="dxa"/>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块</w:t>
            </w:r>
          </w:p>
        </w:tc>
        <w:tc>
          <w:tcPr>
            <w:tcW w:w="1021" w:type="dxa"/>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1</w:t>
            </w:r>
          </w:p>
        </w:tc>
        <w:tc>
          <w:tcPr>
            <w:tcW w:w="1182" w:type="dxa"/>
            <w:vMerge w:val="continue"/>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1"/>
                <w:szCs w:val="21"/>
                <w:lang w:val="en-US" w:eastAsia="zh-CN" w:bidi="ar-SA"/>
              </w:rPr>
            </w:pPr>
          </w:p>
        </w:tc>
        <w:tc>
          <w:tcPr>
            <w:tcW w:w="1200" w:type="dxa"/>
            <w:vMerge w:val="continue"/>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i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628" w:type="dxa"/>
            <w:vMerge w:val="continue"/>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i w:val="0"/>
                <w:color w:val="000000"/>
                <w:kern w:val="0"/>
                <w:sz w:val="21"/>
                <w:szCs w:val="21"/>
                <w:highlight w:val="none"/>
                <w:u w:val="none"/>
                <w:lang w:val="en-US" w:eastAsia="zh-CN" w:bidi="ar"/>
              </w:rPr>
            </w:pPr>
          </w:p>
        </w:tc>
        <w:tc>
          <w:tcPr>
            <w:tcW w:w="1338" w:type="dxa"/>
            <w:vMerge w:val="continue"/>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i w:val="0"/>
                <w:color w:val="000000"/>
                <w:kern w:val="0"/>
                <w:sz w:val="21"/>
                <w:szCs w:val="21"/>
                <w:highlight w:val="none"/>
                <w:u w:val="none"/>
                <w:lang w:val="en-US" w:eastAsia="zh-CN" w:bidi="ar"/>
              </w:rPr>
            </w:pPr>
          </w:p>
        </w:tc>
        <w:tc>
          <w:tcPr>
            <w:tcW w:w="2989" w:type="dxa"/>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超限动态检测区提示牌安装</w:t>
            </w:r>
          </w:p>
        </w:tc>
        <w:tc>
          <w:tcPr>
            <w:tcW w:w="1013" w:type="dxa"/>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块</w:t>
            </w:r>
          </w:p>
        </w:tc>
        <w:tc>
          <w:tcPr>
            <w:tcW w:w="1021" w:type="dxa"/>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1</w:t>
            </w:r>
          </w:p>
        </w:tc>
        <w:tc>
          <w:tcPr>
            <w:tcW w:w="1182" w:type="dxa"/>
            <w:vMerge w:val="continue"/>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1"/>
                <w:szCs w:val="21"/>
                <w:lang w:val="en-US" w:eastAsia="zh-CN" w:bidi="ar-SA"/>
              </w:rPr>
            </w:pPr>
          </w:p>
        </w:tc>
        <w:tc>
          <w:tcPr>
            <w:tcW w:w="1200" w:type="dxa"/>
            <w:vMerge w:val="continue"/>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i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628" w:type="dxa"/>
            <w:vMerge w:val="continue"/>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i w:val="0"/>
                <w:color w:val="000000"/>
                <w:kern w:val="0"/>
                <w:sz w:val="21"/>
                <w:szCs w:val="21"/>
                <w:highlight w:val="none"/>
                <w:u w:val="none"/>
                <w:lang w:val="en-US" w:eastAsia="zh-CN" w:bidi="ar"/>
              </w:rPr>
            </w:pPr>
          </w:p>
        </w:tc>
        <w:tc>
          <w:tcPr>
            <w:tcW w:w="1338" w:type="dxa"/>
            <w:vMerge w:val="continue"/>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i w:val="0"/>
                <w:color w:val="000000"/>
                <w:kern w:val="0"/>
                <w:sz w:val="21"/>
                <w:szCs w:val="21"/>
                <w:highlight w:val="none"/>
                <w:u w:val="none"/>
                <w:lang w:val="en-US" w:eastAsia="zh-CN" w:bidi="ar"/>
              </w:rPr>
            </w:pPr>
          </w:p>
        </w:tc>
        <w:tc>
          <w:tcPr>
            <w:tcW w:w="2989" w:type="dxa"/>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匀速行驶提示牌安装</w:t>
            </w:r>
          </w:p>
        </w:tc>
        <w:tc>
          <w:tcPr>
            <w:tcW w:w="1013" w:type="dxa"/>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块</w:t>
            </w:r>
          </w:p>
        </w:tc>
        <w:tc>
          <w:tcPr>
            <w:tcW w:w="1021" w:type="dxa"/>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1</w:t>
            </w:r>
          </w:p>
        </w:tc>
        <w:tc>
          <w:tcPr>
            <w:tcW w:w="1182" w:type="dxa"/>
            <w:vMerge w:val="continue"/>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1"/>
                <w:szCs w:val="21"/>
                <w:lang w:val="en-US" w:eastAsia="zh-CN" w:bidi="ar-SA"/>
              </w:rPr>
            </w:pPr>
          </w:p>
        </w:tc>
        <w:tc>
          <w:tcPr>
            <w:tcW w:w="1200" w:type="dxa"/>
            <w:vMerge w:val="continue"/>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i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628" w:type="dxa"/>
            <w:vMerge w:val="continue"/>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i w:val="0"/>
                <w:color w:val="000000"/>
                <w:kern w:val="0"/>
                <w:sz w:val="21"/>
                <w:szCs w:val="21"/>
                <w:highlight w:val="none"/>
                <w:u w:val="none"/>
                <w:lang w:val="en-US" w:eastAsia="zh-CN" w:bidi="ar"/>
              </w:rPr>
            </w:pPr>
          </w:p>
        </w:tc>
        <w:tc>
          <w:tcPr>
            <w:tcW w:w="1338" w:type="dxa"/>
            <w:vMerge w:val="continue"/>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i w:val="0"/>
                <w:color w:val="000000"/>
                <w:kern w:val="0"/>
                <w:sz w:val="21"/>
                <w:szCs w:val="21"/>
                <w:highlight w:val="none"/>
                <w:u w:val="none"/>
                <w:lang w:val="en-US" w:eastAsia="zh-CN" w:bidi="ar"/>
              </w:rPr>
            </w:pPr>
          </w:p>
        </w:tc>
        <w:tc>
          <w:tcPr>
            <w:tcW w:w="2989" w:type="dxa"/>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禁止变道车提示牌安装</w:t>
            </w:r>
          </w:p>
        </w:tc>
        <w:tc>
          <w:tcPr>
            <w:tcW w:w="1013" w:type="dxa"/>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块</w:t>
            </w:r>
          </w:p>
        </w:tc>
        <w:tc>
          <w:tcPr>
            <w:tcW w:w="1021" w:type="dxa"/>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1</w:t>
            </w:r>
          </w:p>
        </w:tc>
        <w:tc>
          <w:tcPr>
            <w:tcW w:w="1182" w:type="dxa"/>
            <w:vMerge w:val="continue"/>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1"/>
                <w:szCs w:val="21"/>
                <w:lang w:val="en-US" w:eastAsia="zh-CN" w:bidi="ar-SA"/>
              </w:rPr>
            </w:pPr>
          </w:p>
        </w:tc>
        <w:tc>
          <w:tcPr>
            <w:tcW w:w="1200" w:type="dxa"/>
            <w:vMerge w:val="continue"/>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i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628" w:type="dxa"/>
            <w:vMerge w:val="continue"/>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i w:val="0"/>
                <w:color w:val="000000"/>
                <w:kern w:val="0"/>
                <w:sz w:val="21"/>
                <w:szCs w:val="21"/>
                <w:highlight w:val="none"/>
                <w:u w:val="none"/>
                <w:lang w:val="en-US" w:eastAsia="zh-CN" w:bidi="ar"/>
              </w:rPr>
            </w:pPr>
          </w:p>
        </w:tc>
        <w:tc>
          <w:tcPr>
            <w:tcW w:w="1338" w:type="dxa"/>
            <w:vMerge w:val="continue"/>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i w:val="0"/>
                <w:color w:val="000000"/>
                <w:kern w:val="0"/>
                <w:sz w:val="21"/>
                <w:szCs w:val="21"/>
                <w:highlight w:val="none"/>
                <w:u w:val="none"/>
                <w:lang w:val="en-US" w:eastAsia="zh-CN" w:bidi="ar"/>
              </w:rPr>
            </w:pPr>
          </w:p>
        </w:tc>
        <w:tc>
          <w:tcPr>
            <w:tcW w:w="2989" w:type="dxa"/>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限速提示牌安装</w:t>
            </w:r>
          </w:p>
        </w:tc>
        <w:tc>
          <w:tcPr>
            <w:tcW w:w="1013" w:type="dxa"/>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块</w:t>
            </w:r>
          </w:p>
        </w:tc>
        <w:tc>
          <w:tcPr>
            <w:tcW w:w="1021" w:type="dxa"/>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1</w:t>
            </w:r>
          </w:p>
        </w:tc>
        <w:tc>
          <w:tcPr>
            <w:tcW w:w="1182" w:type="dxa"/>
            <w:vMerge w:val="continue"/>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1"/>
                <w:szCs w:val="21"/>
                <w:lang w:val="en-US" w:eastAsia="zh-CN" w:bidi="ar-SA"/>
              </w:rPr>
            </w:pPr>
          </w:p>
        </w:tc>
        <w:tc>
          <w:tcPr>
            <w:tcW w:w="1200" w:type="dxa"/>
            <w:vMerge w:val="continue"/>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i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628" w:type="dxa"/>
            <w:vMerge w:val="continue"/>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i w:val="0"/>
                <w:color w:val="000000"/>
                <w:kern w:val="0"/>
                <w:sz w:val="21"/>
                <w:szCs w:val="21"/>
                <w:highlight w:val="none"/>
                <w:u w:val="none"/>
                <w:lang w:val="en-US" w:eastAsia="zh-CN" w:bidi="ar"/>
              </w:rPr>
            </w:pPr>
          </w:p>
        </w:tc>
        <w:tc>
          <w:tcPr>
            <w:tcW w:w="1338" w:type="dxa"/>
            <w:vMerge w:val="continue"/>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i w:val="0"/>
                <w:color w:val="000000"/>
                <w:kern w:val="0"/>
                <w:sz w:val="21"/>
                <w:szCs w:val="21"/>
                <w:highlight w:val="none"/>
                <w:u w:val="none"/>
                <w:lang w:val="en-US" w:eastAsia="zh-CN" w:bidi="ar"/>
              </w:rPr>
            </w:pPr>
          </w:p>
        </w:tc>
        <w:tc>
          <w:tcPr>
            <w:tcW w:w="2989" w:type="dxa"/>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路面标线</w:t>
            </w:r>
          </w:p>
        </w:tc>
        <w:tc>
          <w:tcPr>
            <w:tcW w:w="1013" w:type="dxa"/>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w:t>
            </w:r>
          </w:p>
        </w:tc>
        <w:tc>
          <w:tcPr>
            <w:tcW w:w="1021" w:type="dxa"/>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16.2</w:t>
            </w:r>
          </w:p>
        </w:tc>
        <w:tc>
          <w:tcPr>
            <w:tcW w:w="1182" w:type="dxa"/>
            <w:vMerge w:val="continue"/>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1"/>
                <w:szCs w:val="21"/>
                <w:lang w:val="en-US" w:eastAsia="zh-CN" w:bidi="ar-SA"/>
              </w:rPr>
            </w:pPr>
          </w:p>
        </w:tc>
        <w:tc>
          <w:tcPr>
            <w:tcW w:w="1200" w:type="dxa"/>
            <w:vMerge w:val="continue"/>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i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628" w:type="dxa"/>
            <w:vMerge w:val="restart"/>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9</w:t>
            </w:r>
          </w:p>
        </w:tc>
        <w:tc>
          <w:tcPr>
            <w:tcW w:w="1338" w:type="dxa"/>
            <w:vMerge w:val="restart"/>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color w:val="auto"/>
                <w:sz w:val="21"/>
                <w:szCs w:val="21"/>
                <w:lang w:val="en-US" w:eastAsia="zh-CN" w:bidi="ar-SA"/>
              </w:rPr>
              <w:t>线缆沟开挖、埋设</w:t>
            </w:r>
          </w:p>
        </w:tc>
        <w:tc>
          <w:tcPr>
            <w:tcW w:w="2989" w:type="dxa"/>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电缆沟开挖</w:t>
            </w:r>
          </w:p>
        </w:tc>
        <w:tc>
          <w:tcPr>
            <w:tcW w:w="1013" w:type="dxa"/>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米</w:t>
            </w:r>
          </w:p>
        </w:tc>
        <w:tc>
          <w:tcPr>
            <w:tcW w:w="1021" w:type="dxa"/>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150</w:t>
            </w:r>
          </w:p>
        </w:tc>
        <w:tc>
          <w:tcPr>
            <w:tcW w:w="1182" w:type="dxa"/>
            <w:vMerge w:val="continue"/>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1"/>
                <w:szCs w:val="21"/>
                <w:lang w:val="en-US" w:eastAsia="zh-CN" w:bidi="ar-SA"/>
              </w:rPr>
            </w:pPr>
          </w:p>
        </w:tc>
        <w:tc>
          <w:tcPr>
            <w:tcW w:w="1200" w:type="dxa"/>
            <w:vMerge w:val="continue"/>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i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628" w:type="dxa"/>
            <w:vMerge w:val="continue"/>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i w:val="0"/>
                <w:color w:val="000000"/>
                <w:kern w:val="0"/>
                <w:sz w:val="21"/>
                <w:szCs w:val="21"/>
                <w:highlight w:val="none"/>
                <w:u w:val="none"/>
                <w:lang w:val="en-US" w:eastAsia="zh-CN" w:bidi="ar"/>
              </w:rPr>
            </w:pPr>
          </w:p>
        </w:tc>
        <w:tc>
          <w:tcPr>
            <w:tcW w:w="1338" w:type="dxa"/>
            <w:vMerge w:val="continue"/>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i w:val="0"/>
                <w:color w:val="000000"/>
                <w:kern w:val="0"/>
                <w:sz w:val="21"/>
                <w:szCs w:val="21"/>
                <w:highlight w:val="none"/>
                <w:u w:val="none"/>
                <w:lang w:val="en-US" w:eastAsia="zh-CN" w:bidi="ar"/>
              </w:rPr>
            </w:pPr>
          </w:p>
        </w:tc>
        <w:tc>
          <w:tcPr>
            <w:tcW w:w="2989" w:type="dxa"/>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电缆</w:t>
            </w:r>
          </w:p>
        </w:tc>
        <w:tc>
          <w:tcPr>
            <w:tcW w:w="1013" w:type="dxa"/>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米</w:t>
            </w:r>
          </w:p>
        </w:tc>
        <w:tc>
          <w:tcPr>
            <w:tcW w:w="1021" w:type="dxa"/>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150</w:t>
            </w:r>
          </w:p>
        </w:tc>
        <w:tc>
          <w:tcPr>
            <w:tcW w:w="1182" w:type="dxa"/>
            <w:vMerge w:val="continue"/>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1"/>
                <w:szCs w:val="21"/>
                <w:lang w:val="en-US" w:eastAsia="zh-CN" w:bidi="ar-SA"/>
              </w:rPr>
            </w:pPr>
          </w:p>
        </w:tc>
        <w:tc>
          <w:tcPr>
            <w:tcW w:w="1200" w:type="dxa"/>
            <w:vMerge w:val="continue"/>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i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628" w:type="dxa"/>
            <w:vMerge w:val="continue"/>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i w:val="0"/>
                <w:color w:val="000000"/>
                <w:kern w:val="0"/>
                <w:sz w:val="21"/>
                <w:szCs w:val="21"/>
                <w:highlight w:val="none"/>
                <w:u w:val="none"/>
                <w:lang w:val="en-US" w:eastAsia="zh-CN" w:bidi="ar"/>
              </w:rPr>
            </w:pPr>
          </w:p>
        </w:tc>
        <w:tc>
          <w:tcPr>
            <w:tcW w:w="1338" w:type="dxa"/>
            <w:vMerge w:val="continue"/>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i w:val="0"/>
                <w:color w:val="000000"/>
                <w:kern w:val="0"/>
                <w:sz w:val="21"/>
                <w:szCs w:val="21"/>
                <w:highlight w:val="none"/>
                <w:u w:val="none"/>
                <w:lang w:val="en-US" w:eastAsia="zh-CN" w:bidi="ar"/>
              </w:rPr>
            </w:pPr>
          </w:p>
        </w:tc>
        <w:tc>
          <w:tcPr>
            <w:tcW w:w="2989" w:type="dxa"/>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PE管</w:t>
            </w:r>
          </w:p>
        </w:tc>
        <w:tc>
          <w:tcPr>
            <w:tcW w:w="1013" w:type="dxa"/>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米</w:t>
            </w:r>
          </w:p>
        </w:tc>
        <w:tc>
          <w:tcPr>
            <w:tcW w:w="1021" w:type="dxa"/>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150</w:t>
            </w:r>
          </w:p>
        </w:tc>
        <w:tc>
          <w:tcPr>
            <w:tcW w:w="1182" w:type="dxa"/>
            <w:vMerge w:val="continue"/>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1"/>
                <w:szCs w:val="21"/>
                <w:lang w:val="en-US" w:eastAsia="zh-CN" w:bidi="ar-SA"/>
              </w:rPr>
            </w:pPr>
          </w:p>
        </w:tc>
        <w:tc>
          <w:tcPr>
            <w:tcW w:w="1200" w:type="dxa"/>
            <w:vMerge w:val="continue"/>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i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628" w:type="dxa"/>
            <w:vMerge w:val="continue"/>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i w:val="0"/>
                <w:color w:val="000000"/>
                <w:kern w:val="0"/>
                <w:sz w:val="21"/>
                <w:szCs w:val="21"/>
                <w:highlight w:val="none"/>
                <w:u w:val="none"/>
                <w:lang w:val="en-US" w:eastAsia="zh-CN" w:bidi="ar"/>
              </w:rPr>
            </w:pPr>
          </w:p>
        </w:tc>
        <w:tc>
          <w:tcPr>
            <w:tcW w:w="1338" w:type="dxa"/>
            <w:vMerge w:val="continue"/>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i w:val="0"/>
                <w:color w:val="000000"/>
                <w:kern w:val="0"/>
                <w:sz w:val="21"/>
                <w:szCs w:val="21"/>
                <w:highlight w:val="none"/>
                <w:u w:val="none"/>
                <w:lang w:val="en-US" w:eastAsia="zh-CN" w:bidi="ar"/>
              </w:rPr>
            </w:pPr>
          </w:p>
        </w:tc>
        <w:tc>
          <w:tcPr>
            <w:tcW w:w="2989" w:type="dxa"/>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电缆敷设</w:t>
            </w:r>
          </w:p>
        </w:tc>
        <w:tc>
          <w:tcPr>
            <w:tcW w:w="1013" w:type="dxa"/>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米</w:t>
            </w:r>
          </w:p>
        </w:tc>
        <w:tc>
          <w:tcPr>
            <w:tcW w:w="1021" w:type="dxa"/>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150</w:t>
            </w:r>
          </w:p>
        </w:tc>
        <w:tc>
          <w:tcPr>
            <w:tcW w:w="1182" w:type="dxa"/>
            <w:vMerge w:val="continue"/>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1"/>
                <w:szCs w:val="21"/>
                <w:lang w:val="en-US" w:eastAsia="zh-CN" w:bidi="ar-SA"/>
              </w:rPr>
            </w:pPr>
          </w:p>
        </w:tc>
        <w:tc>
          <w:tcPr>
            <w:tcW w:w="1200" w:type="dxa"/>
            <w:vMerge w:val="continue"/>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i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628" w:type="dxa"/>
            <w:vMerge w:val="restart"/>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10</w:t>
            </w:r>
          </w:p>
        </w:tc>
        <w:tc>
          <w:tcPr>
            <w:tcW w:w="1338" w:type="dxa"/>
            <w:vMerge w:val="restart"/>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利旧设备调运安装调试</w:t>
            </w:r>
          </w:p>
        </w:tc>
        <w:tc>
          <w:tcPr>
            <w:tcW w:w="298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数据采集器安装调试</w:t>
            </w:r>
          </w:p>
        </w:tc>
        <w:tc>
          <w:tcPr>
            <w:tcW w:w="1013" w:type="dxa"/>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套</w:t>
            </w:r>
          </w:p>
        </w:tc>
        <w:tc>
          <w:tcPr>
            <w:tcW w:w="1021" w:type="dxa"/>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1</w:t>
            </w:r>
          </w:p>
        </w:tc>
        <w:tc>
          <w:tcPr>
            <w:tcW w:w="1182" w:type="dxa"/>
            <w:vMerge w:val="continue"/>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1"/>
                <w:szCs w:val="21"/>
                <w:lang w:val="en-US" w:eastAsia="zh-CN" w:bidi="ar-SA"/>
              </w:rPr>
            </w:pPr>
          </w:p>
        </w:tc>
        <w:tc>
          <w:tcPr>
            <w:tcW w:w="1200" w:type="dxa"/>
            <w:vMerge w:val="continue"/>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i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628" w:type="dxa"/>
            <w:vMerge w:val="continue"/>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i w:val="0"/>
                <w:color w:val="000000"/>
                <w:kern w:val="0"/>
                <w:sz w:val="21"/>
                <w:szCs w:val="21"/>
                <w:highlight w:val="none"/>
                <w:u w:val="none"/>
                <w:lang w:val="en-US" w:eastAsia="zh-CN" w:bidi="ar"/>
              </w:rPr>
            </w:pPr>
          </w:p>
        </w:tc>
        <w:tc>
          <w:tcPr>
            <w:tcW w:w="1338" w:type="dxa"/>
            <w:vMerge w:val="continue"/>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color w:val="auto"/>
                <w:sz w:val="21"/>
                <w:szCs w:val="21"/>
                <w:lang w:val="en-US" w:eastAsia="zh-CN" w:bidi="ar-SA"/>
              </w:rPr>
            </w:pPr>
          </w:p>
        </w:tc>
        <w:tc>
          <w:tcPr>
            <w:tcW w:w="298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称重仪表安装调试</w:t>
            </w:r>
          </w:p>
        </w:tc>
        <w:tc>
          <w:tcPr>
            <w:tcW w:w="1013" w:type="dxa"/>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套</w:t>
            </w:r>
          </w:p>
        </w:tc>
        <w:tc>
          <w:tcPr>
            <w:tcW w:w="1021" w:type="dxa"/>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1</w:t>
            </w:r>
          </w:p>
        </w:tc>
        <w:tc>
          <w:tcPr>
            <w:tcW w:w="1182" w:type="dxa"/>
            <w:vMerge w:val="continue"/>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1"/>
                <w:szCs w:val="21"/>
                <w:lang w:val="en-US" w:eastAsia="zh-CN" w:bidi="ar-SA"/>
              </w:rPr>
            </w:pPr>
          </w:p>
        </w:tc>
        <w:tc>
          <w:tcPr>
            <w:tcW w:w="1200" w:type="dxa"/>
            <w:vMerge w:val="continue"/>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i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628" w:type="dxa"/>
            <w:vMerge w:val="continue"/>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i w:val="0"/>
                <w:color w:val="000000"/>
                <w:kern w:val="0"/>
                <w:sz w:val="21"/>
                <w:szCs w:val="21"/>
                <w:highlight w:val="none"/>
                <w:u w:val="none"/>
                <w:lang w:val="en-US" w:eastAsia="zh-CN" w:bidi="ar"/>
              </w:rPr>
            </w:pPr>
          </w:p>
        </w:tc>
        <w:tc>
          <w:tcPr>
            <w:tcW w:w="1338" w:type="dxa"/>
            <w:vMerge w:val="continue"/>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color w:val="auto"/>
                <w:sz w:val="21"/>
                <w:szCs w:val="21"/>
                <w:lang w:val="en-US" w:eastAsia="zh-CN" w:bidi="ar-SA"/>
              </w:rPr>
            </w:pPr>
          </w:p>
        </w:tc>
        <w:tc>
          <w:tcPr>
            <w:tcW w:w="298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野外机柜安装调试</w:t>
            </w:r>
          </w:p>
        </w:tc>
        <w:tc>
          <w:tcPr>
            <w:tcW w:w="1013" w:type="dxa"/>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台</w:t>
            </w:r>
          </w:p>
        </w:tc>
        <w:tc>
          <w:tcPr>
            <w:tcW w:w="1021" w:type="dxa"/>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2</w:t>
            </w:r>
          </w:p>
        </w:tc>
        <w:tc>
          <w:tcPr>
            <w:tcW w:w="1182" w:type="dxa"/>
            <w:vMerge w:val="continue"/>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1"/>
                <w:szCs w:val="21"/>
                <w:lang w:val="en-US" w:eastAsia="zh-CN" w:bidi="ar-SA"/>
              </w:rPr>
            </w:pPr>
          </w:p>
        </w:tc>
        <w:tc>
          <w:tcPr>
            <w:tcW w:w="1200" w:type="dxa"/>
            <w:vMerge w:val="continue"/>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i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628" w:type="dxa"/>
            <w:vMerge w:val="continue"/>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i w:val="0"/>
                <w:color w:val="000000"/>
                <w:kern w:val="0"/>
                <w:sz w:val="21"/>
                <w:szCs w:val="21"/>
                <w:highlight w:val="none"/>
                <w:u w:val="none"/>
                <w:lang w:val="en-US" w:eastAsia="zh-CN" w:bidi="ar"/>
              </w:rPr>
            </w:pPr>
          </w:p>
        </w:tc>
        <w:tc>
          <w:tcPr>
            <w:tcW w:w="1338" w:type="dxa"/>
            <w:vMerge w:val="continue"/>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color w:val="auto"/>
                <w:sz w:val="21"/>
                <w:szCs w:val="21"/>
                <w:lang w:val="en-US" w:eastAsia="zh-CN" w:bidi="ar-SA"/>
              </w:rPr>
            </w:pPr>
          </w:p>
        </w:tc>
        <w:tc>
          <w:tcPr>
            <w:tcW w:w="298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电荷放大器安装调试</w:t>
            </w:r>
          </w:p>
        </w:tc>
        <w:tc>
          <w:tcPr>
            <w:tcW w:w="1013" w:type="dxa"/>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台</w:t>
            </w:r>
          </w:p>
        </w:tc>
        <w:tc>
          <w:tcPr>
            <w:tcW w:w="1021" w:type="dxa"/>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2</w:t>
            </w:r>
          </w:p>
        </w:tc>
        <w:tc>
          <w:tcPr>
            <w:tcW w:w="1182" w:type="dxa"/>
            <w:vMerge w:val="continue"/>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1"/>
                <w:szCs w:val="21"/>
                <w:lang w:val="en-US" w:eastAsia="zh-CN" w:bidi="ar-SA"/>
              </w:rPr>
            </w:pPr>
          </w:p>
        </w:tc>
        <w:tc>
          <w:tcPr>
            <w:tcW w:w="1200" w:type="dxa"/>
            <w:vMerge w:val="continue"/>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i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628" w:type="dxa"/>
            <w:vMerge w:val="continue"/>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i w:val="0"/>
                <w:color w:val="000000"/>
                <w:kern w:val="0"/>
                <w:sz w:val="21"/>
                <w:szCs w:val="21"/>
                <w:highlight w:val="none"/>
                <w:u w:val="none"/>
                <w:lang w:val="en-US" w:eastAsia="zh-CN" w:bidi="ar"/>
              </w:rPr>
            </w:pPr>
          </w:p>
        </w:tc>
        <w:tc>
          <w:tcPr>
            <w:tcW w:w="1338" w:type="dxa"/>
            <w:vMerge w:val="continue"/>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color w:val="auto"/>
                <w:sz w:val="21"/>
                <w:szCs w:val="21"/>
                <w:lang w:val="en-US" w:eastAsia="zh-CN" w:bidi="ar-SA"/>
              </w:rPr>
            </w:pPr>
          </w:p>
        </w:tc>
        <w:tc>
          <w:tcPr>
            <w:tcW w:w="298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车牌识别抓拍摄像机（车轴、车尾抓拍）安装调试</w:t>
            </w:r>
          </w:p>
        </w:tc>
        <w:tc>
          <w:tcPr>
            <w:tcW w:w="1013" w:type="dxa"/>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台</w:t>
            </w:r>
          </w:p>
        </w:tc>
        <w:tc>
          <w:tcPr>
            <w:tcW w:w="1021" w:type="dxa"/>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4</w:t>
            </w:r>
          </w:p>
        </w:tc>
        <w:tc>
          <w:tcPr>
            <w:tcW w:w="1182" w:type="dxa"/>
            <w:vMerge w:val="continue"/>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1"/>
                <w:szCs w:val="21"/>
                <w:lang w:val="en-US" w:eastAsia="zh-CN" w:bidi="ar-SA"/>
              </w:rPr>
            </w:pPr>
          </w:p>
        </w:tc>
        <w:tc>
          <w:tcPr>
            <w:tcW w:w="1200" w:type="dxa"/>
            <w:vMerge w:val="continue"/>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i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628" w:type="dxa"/>
            <w:vMerge w:val="continue"/>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i w:val="0"/>
                <w:color w:val="000000"/>
                <w:kern w:val="0"/>
                <w:sz w:val="21"/>
                <w:szCs w:val="21"/>
                <w:highlight w:val="none"/>
                <w:u w:val="none"/>
                <w:lang w:val="en-US" w:eastAsia="zh-CN" w:bidi="ar"/>
              </w:rPr>
            </w:pPr>
          </w:p>
        </w:tc>
        <w:tc>
          <w:tcPr>
            <w:tcW w:w="1338" w:type="dxa"/>
            <w:vMerge w:val="continue"/>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color w:val="auto"/>
                <w:sz w:val="21"/>
                <w:szCs w:val="21"/>
                <w:lang w:val="en-US" w:eastAsia="zh-CN" w:bidi="ar-SA"/>
              </w:rPr>
            </w:pPr>
          </w:p>
        </w:tc>
        <w:tc>
          <w:tcPr>
            <w:tcW w:w="298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车牌识别抓拍摄像机（车头全景抓拍）安装调试</w:t>
            </w:r>
          </w:p>
        </w:tc>
        <w:tc>
          <w:tcPr>
            <w:tcW w:w="1013" w:type="dxa"/>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台</w:t>
            </w:r>
          </w:p>
        </w:tc>
        <w:tc>
          <w:tcPr>
            <w:tcW w:w="1021" w:type="dxa"/>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2</w:t>
            </w:r>
          </w:p>
        </w:tc>
        <w:tc>
          <w:tcPr>
            <w:tcW w:w="1182" w:type="dxa"/>
            <w:vMerge w:val="continue"/>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1"/>
                <w:szCs w:val="21"/>
                <w:lang w:val="en-US" w:eastAsia="zh-CN" w:bidi="ar-SA"/>
              </w:rPr>
            </w:pPr>
          </w:p>
        </w:tc>
        <w:tc>
          <w:tcPr>
            <w:tcW w:w="1200" w:type="dxa"/>
            <w:vMerge w:val="continue"/>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i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628" w:type="dxa"/>
            <w:vMerge w:val="continue"/>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i w:val="0"/>
                <w:color w:val="000000"/>
                <w:kern w:val="0"/>
                <w:sz w:val="21"/>
                <w:szCs w:val="21"/>
                <w:highlight w:val="none"/>
                <w:u w:val="none"/>
                <w:lang w:val="en-US" w:eastAsia="zh-CN" w:bidi="ar"/>
              </w:rPr>
            </w:pPr>
          </w:p>
        </w:tc>
        <w:tc>
          <w:tcPr>
            <w:tcW w:w="1338" w:type="dxa"/>
            <w:vMerge w:val="continue"/>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color w:val="auto"/>
                <w:sz w:val="21"/>
                <w:szCs w:val="21"/>
                <w:lang w:val="en-US" w:eastAsia="zh-CN" w:bidi="ar-SA"/>
              </w:rPr>
            </w:pPr>
          </w:p>
        </w:tc>
        <w:tc>
          <w:tcPr>
            <w:tcW w:w="298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抓拍相机（情报板显示抓拍）安装调试</w:t>
            </w:r>
          </w:p>
        </w:tc>
        <w:tc>
          <w:tcPr>
            <w:tcW w:w="1013" w:type="dxa"/>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台</w:t>
            </w:r>
          </w:p>
        </w:tc>
        <w:tc>
          <w:tcPr>
            <w:tcW w:w="1021" w:type="dxa"/>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1</w:t>
            </w:r>
          </w:p>
        </w:tc>
        <w:tc>
          <w:tcPr>
            <w:tcW w:w="1182" w:type="dxa"/>
            <w:vMerge w:val="continue"/>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1"/>
                <w:szCs w:val="21"/>
                <w:lang w:val="en-US" w:eastAsia="zh-CN" w:bidi="ar-SA"/>
              </w:rPr>
            </w:pPr>
          </w:p>
        </w:tc>
        <w:tc>
          <w:tcPr>
            <w:tcW w:w="1200" w:type="dxa"/>
            <w:vMerge w:val="continue"/>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i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628" w:type="dxa"/>
            <w:vMerge w:val="continue"/>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i w:val="0"/>
                <w:color w:val="000000"/>
                <w:kern w:val="0"/>
                <w:sz w:val="21"/>
                <w:szCs w:val="21"/>
                <w:highlight w:val="none"/>
                <w:u w:val="none"/>
                <w:lang w:val="en-US" w:eastAsia="zh-CN" w:bidi="ar"/>
              </w:rPr>
            </w:pPr>
          </w:p>
        </w:tc>
        <w:tc>
          <w:tcPr>
            <w:tcW w:w="1338" w:type="dxa"/>
            <w:vMerge w:val="continue"/>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color w:val="auto"/>
                <w:sz w:val="21"/>
                <w:szCs w:val="21"/>
                <w:lang w:val="en-US" w:eastAsia="zh-CN" w:bidi="ar-SA"/>
              </w:rPr>
            </w:pPr>
          </w:p>
        </w:tc>
        <w:tc>
          <w:tcPr>
            <w:tcW w:w="298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频爆一体补光灯安装调试</w:t>
            </w:r>
          </w:p>
        </w:tc>
        <w:tc>
          <w:tcPr>
            <w:tcW w:w="1013" w:type="dxa"/>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台</w:t>
            </w:r>
          </w:p>
        </w:tc>
        <w:tc>
          <w:tcPr>
            <w:tcW w:w="1021" w:type="dxa"/>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6</w:t>
            </w:r>
          </w:p>
        </w:tc>
        <w:tc>
          <w:tcPr>
            <w:tcW w:w="1182" w:type="dxa"/>
            <w:vMerge w:val="continue"/>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1"/>
                <w:szCs w:val="21"/>
                <w:lang w:val="en-US" w:eastAsia="zh-CN" w:bidi="ar-SA"/>
              </w:rPr>
            </w:pPr>
          </w:p>
        </w:tc>
        <w:tc>
          <w:tcPr>
            <w:tcW w:w="1200" w:type="dxa"/>
            <w:vMerge w:val="continue"/>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i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628" w:type="dxa"/>
            <w:vMerge w:val="continue"/>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i w:val="0"/>
                <w:color w:val="000000"/>
                <w:kern w:val="0"/>
                <w:sz w:val="21"/>
                <w:szCs w:val="21"/>
                <w:highlight w:val="none"/>
                <w:u w:val="none"/>
                <w:lang w:val="en-US" w:eastAsia="zh-CN" w:bidi="ar"/>
              </w:rPr>
            </w:pPr>
          </w:p>
        </w:tc>
        <w:tc>
          <w:tcPr>
            <w:tcW w:w="1338" w:type="dxa"/>
            <w:vMerge w:val="continue"/>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color w:val="auto"/>
                <w:sz w:val="21"/>
                <w:szCs w:val="21"/>
                <w:lang w:val="en-US" w:eastAsia="zh-CN" w:bidi="ar-SA"/>
              </w:rPr>
            </w:pPr>
          </w:p>
        </w:tc>
        <w:tc>
          <w:tcPr>
            <w:tcW w:w="298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L型立杆安装</w:t>
            </w:r>
          </w:p>
        </w:tc>
        <w:tc>
          <w:tcPr>
            <w:tcW w:w="1013" w:type="dxa"/>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根</w:t>
            </w:r>
          </w:p>
        </w:tc>
        <w:tc>
          <w:tcPr>
            <w:tcW w:w="1021" w:type="dxa"/>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2</w:t>
            </w:r>
          </w:p>
        </w:tc>
        <w:tc>
          <w:tcPr>
            <w:tcW w:w="1182" w:type="dxa"/>
            <w:vMerge w:val="continue"/>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1"/>
                <w:szCs w:val="21"/>
                <w:lang w:val="en-US" w:eastAsia="zh-CN" w:bidi="ar-SA"/>
              </w:rPr>
            </w:pPr>
          </w:p>
        </w:tc>
        <w:tc>
          <w:tcPr>
            <w:tcW w:w="1200" w:type="dxa"/>
            <w:vMerge w:val="continue"/>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i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628" w:type="dxa"/>
            <w:vMerge w:val="continue"/>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i w:val="0"/>
                <w:color w:val="000000"/>
                <w:kern w:val="0"/>
                <w:sz w:val="21"/>
                <w:szCs w:val="21"/>
                <w:highlight w:val="none"/>
                <w:u w:val="none"/>
                <w:lang w:val="en-US" w:eastAsia="zh-CN" w:bidi="ar"/>
              </w:rPr>
            </w:pPr>
          </w:p>
        </w:tc>
        <w:tc>
          <w:tcPr>
            <w:tcW w:w="1338" w:type="dxa"/>
            <w:vMerge w:val="continue"/>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color w:val="auto"/>
                <w:sz w:val="21"/>
                <w:szCs w:val="21"/>
                <w:lang w:val="en-US" w:eastAsia="zh-CN" w:bidi="ar-SA"/>
              </w:rPr>
            </w:pPr>
          </w:p>
        </w:tc>
        <w:tc>
          <w:tcPr>
            <w:tcW w:w="2989" w:type="dxa"/>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车轴抓拍立杆安装</w:t>
            </w:r>
          </w:p>
        </w:tc>
        <w:tc>
          <w:tcPr>
            <w:tcW w:w="1013" w:type="dxa"/>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根</w:t>
            </w:r>
          </w:p>
        </w:tc>
        <w:tc>
          <w:tcPr>
            <w:tcW w:w="1021" w:type="dxa"/>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1</w:t>
            </w:r>
          </w:p>
        </w:tc>
        <w:tc>
          <w:tcPr>
            <w:tcW w:w="1182" w:type="dxa"/>
            <w:vMerge w:val="continue"/>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1"/>
                <w:szCs w:val="21"/>
                <w:lang w:val="en-US" w:eastAsia="zh-CN" w:bidi="ar-SA"/>
              </w:rPr>
            </w:pPr>
          </w:p>
        </w:tc>
        <w:tc>
          <w:tcPr>
            <w:tcW w:w="1200" w:type="dxa"/>
            <w:vMerge w:val="continue"/>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i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628" w:type="dxa"/>
            <w:vMerge w:val="continue"/>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i w:val="0"/>
                <w:color w:val="000000"/>
                <w:kern w:val="0"/>
                <w:sz w:val="21"/>
                <w:szCs w:val="21"/>
                <w:highlight w:val="none"/>
                <w:u w:val="none"/>
                <w:lang w:val="en-US" w:eastAsia="zh-CN" w:bidi="ar"/>
              </w:rPr>
            </w:pPr>
          </w:p>
        </w:tc>
        <w:tc>
          <w:tcPr>
            <w:tcW w:w="1338" w:type="dxa"/>
            <w:vMerge w:val="continue"/>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i w:val="0"/>
                <w:color w:val="000000"/>
                <w:kern w:val="0"/>
                <w:sz w:val="21"/>
                <w:szCs w:val="21"/>
                <w:highlight w:val="none"/>
                <w:u w:val="none"/>
                <w:lang w:val="en-US" w:eastAsia="zh-CN" w:bidi="ar"/>
              </w:rPr>
            </w:pPr>
          </w:p>
        </w:tc>
        <w:tc>
          <w:tcPr>
            <w:tcW w:w="2989" w:type="dxa"/>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rPr>
              <w:t>可变信息情报板安装调试</w:t>
            </w:r>
          </w:p>
        </w:tc>
        <w:tc>
          <w:tcPr>
            <w:tcW w:w="1013" w:type="dxa"/>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块</w:t>
            </w:r>
          </w:p>
        </w:tc>
        <w:tc>
          <w:tcPr>
            <w:tcW w:w="1021" w:type="dxa"/>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1</w:t>
            </w:r>
          </w:p>
        </w:tc>
        <w:tc>
          <w:tcPr>
            <w:tcW w:w="1182" w:type="dxa"/>
            <w:vMerge w:val="continue"/>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1"/>
                <w:szCs w:val="21"/>
                <w:lang w:val="en-US" w:eastAsia="zh-CN" w:bidi="ar-SA"/>
              </w:rPr>
            </w:pPr>
          </w:p>
        </w:tc>
        <w:tc>
          <w:tcPr>
            <w:tcW w:w="1200" w:type="dxa"/>
            <w:vMerge w:val="continue"/>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i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628" w:type="dxa"/>
            <w:vMerge w:val="continue"/>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i w:val="0"/>
                <w:color w:val="000000"/>
                <w:kern w:val="0"/>
                <w:sz w:val="21"/>
                <w:szCs w:val="21"/>
                <w:highlight w:val="none"/>
                <w:u w:val="none"/>
                <w:lang w:val="en-US" w:eastAsia="zh-CN" w:bidi="ar"/>
              </w:rPr>
            </w:pPr>
          </w:p>
        </w:tc>
        <w:tc>
          <w:tcPr>
            <w:tcW w:w="1338" w:type="dxa"/>
            <w:vMerge w:val="continue"/>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i w:val="0"/>
                <w:color w:val="000000"/>
                <w:kern w:val="0"/>
                <w:sz w:val="21"/>
                <w:szCs w:val="21"/>
                <w:highlight w:val="none"/>
                <w:u w:val="none"/>
                <w:lang w:val="en-US" w:eastAsia="zh-CN" w:bidi="ar"/>
              </w:rPr>
            </w:pPr>
          </w:p>
        </w:tc>
        <w:tc>
          <w:tcPr>
            <w:tcW w:w="2989" w:type="dxa"/>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rPr>
              <w:t>情报板大型F架及辅材安装</w:t>
            </w:r>
          </w:p>
        </w:tc>
        <w:tc>
          <w:tcPr>
            <w:tcW w:w="1013" w:type="dxa"/>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根</w:t>
            </w:r>
          </w:p>
        </w:tc>
        <w:tc>
          <w:tcPr>
            <w:tcW w:w="1021" w:type="dxa"/>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1</w:t>
            </w:r>
          </w:p>
        </w:tc>
        <w:tc>
          <w:tcPr>
            <w:tcW w:w="1182" w:type="dxa"/>
            <w:vMerge w:val="continue"/>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1"/>
                <w:szCs w:val="21"/>
                <w:lang w:val="en-US" w:eastAsia="zh-CN" w:bidi="ar-SA"/>
              </w:rPr>
            </w:pPr>
          </w:p>
        </w:tc>
        <w:tc>
          <w:tcPr>
            <w:tcW w:w="1200" w:type="dxa"/>
            <w:vMerge w:val="continue"/>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i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628" w:type="dxa"/>
            <w:vMerge w:val="continue"/>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i w:val="0"/>
                <w:color w:val="000000"/>
                <w:kern w:val="0"/>
                <w:sz w:val="21"/>
                <w:szCs w:val="21"/>
                <w:highlight w:val="none"/>
                <w:u w:val="none"/>
                <w:lang w:val="en-US" w:eastAsia="zh-CN" w:bidi="ar"/>
              </w:rPr>
            </w:pPr>
          </w:p>
        </w:tc>
        <w:tc>
          <w:tcPr>
            <w:tcW w:w="1338" w:type="dxa"/>
            <w:vMerge w:val="continue"/>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i w:val="0"/>
                <w:color w:val="000000"/>
                <w:kern w:val="0"/>
                <w:sz w:val="21"/>
                <w:szCs w:val="21"/>
                <w:highlight w:val="none"/>
                <w:u w:val="none"/>
                <w:lang w:val="en-US" w:eastAsia="zh-CN" w:bidi="ar"/>
              </w:rPr>
            </w:pPr>
          </w:p>
        </w:tc>
        <w:tc>
          <w:tcPr>
            <w:tcW w:w="2989" w:type="dxa"/>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rPr>
              <w:t>全景网络红外球机安装调试</w:t>
            </w:r>
          </w:p>
        </w:tc>
        <w:tc>
          <w:tcPr>
            <w:tcW w:w="1013" w:type="dxa"/>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台</w:t>
            </w:r>
          </w:p>
        </w:tc>
        <w:tc>
          <w:tcPr>
            <w:tcW w:w="1021" w:type="dxa"/>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2</w:t>
            </w:r>
          </w:p>
        </w:tc>
        <w:tc>
          <w:tcPr>
            <w:tcW w:w="1182" w:type="dxa"/>
            <w:vMerge w:val="continue"/>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1"/>
                <w:szCs w:val="21"/>
                <w:lang w:val="en-US" w:eastAsia="zh-CN" w:bidi="ar-SA"/>
              </w:rPr>
            </w:pPr>
          </w:p>
        </w:tc>
        <w:tc>
          <w:tcPr>
            <w:tcW w:w="1200" w:type="dxa"/>
            <w:vMerge w:val="continue"/>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i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628" w:type="dxa"/>
            <w:vMerge w:val="continue"/>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i w:val="0"/>
                <w:color w:val="000000"/>
                <w:kern w:val="0"/>
                <w:sz w:val="21"/>
                <w:szCs w:val="21"/>
                <w:highlight w:val="none"/>
                <w:u w:val="none"/>
                <w:lang w:val="en-US" w:eastAsia="zh-CN" w:bidi="ar"/>
              </w:rPr>
            </w:pPr>
          </w:p>
        </w:tc>
        <w:tc>
          <w:tcPr>
            <w:tcW w:w="1338" w:type="dxa"/>
            <w:vMerge w:val="continue"/>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i w:val="0"/>
                <w:color w:val="000000"/>
                <w:kern w:val="0"/>
                <w:sz w:val="21"/>
                <w:szCs w:val="21"/>
                <w:highlight w:val="none"/>
                <w:u w:val="none"/>
                <w:lang w:val="en-US" w:eastAsia="zh-CN" w:bidi="ar"/>
              </w:rPr>
            </w:pPr>
          </w:p>
        </w:tc>
        <w:tc>
          <w:tcPr>
            <w:tcW w:w="2989" w:type="dxa"/>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rPr>
              <w:t>安装支架安装调试</w:t>
            </w:r>
          </w:p>
        </w:tc>
        <w:tc>
          <w:tcPr>
            <w:tcW w:w="1013" w:type="dxa"/>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个</w:t>
            </w:r>
          </w:p>
        </w:tc>
        <w:tc>
          <w:tcPr>
            <w:tcW w:w="1021" w:type="dxa"/>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2</w:t>
            </w:r>
          </w:p>
        </w:tc>
        <w:tc>
          <w:tcPr>
            <w:tcW w:w="1182" w:type="dxa"/>
            <w:vMerge w:val="continue"/>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1"/>
                <w:szCs w:val="21"/>
                <w:lang w:val="en-US" w:eastAsia="zh-CN" w:bidi="ar-SA"/>
              </w:rPr>
            </w:pPr>
          </w:p>
        </w:tc>
        <w:tc>
          <w:tcPr>
            <w:tcW w:w="1200" w:type="dxa"/>
            <w:vMerge w:val="continue"/>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i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628" w:type="dxa"/>
            <w:vMerge w:val="continue"/>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i w:val="0"/>
                <w:color w:val="000000"/>
                <w:kern w:val="0"/>
                <w:sz w:val="21"/>
                <w:szCs w:val="21"/>
                <w:highlight w:val="none"/>
                <w:u w:val="none"/>
                <w:lang w:val="en-US" w:eastAsia="zh-CN" w:bidi="ar"/>
              </w:rPr>
            </w:pPr>
          </w:p>
        </w:tc>
        <w:tc>
          <w:tcPr>
            <w:tcW w:w="1338" w:type="dxa"/>
            <w:vMerge w:val="continue"/>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i w:val="0"/>
                <w:color w:val="000000"/>
                <w:kern w:val="0"/>
                <w:sz w:val="21"/>
                <w:szCs w:val="21"/>
                <w:highlight w:val="none"/>
                <w:u w:val="none"/>
                <w:lang w:val="en-US" w:eastAsia="zh-CN" w:bidi="ar"/>
              </w:rPr>
            </w:pPr>
          </w:p>
        </w:tc>
        <w:tc>
          <w:tcPr>
            <w:tcW w:w="2989" w:type="dxa"/>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rPr>
              <w:t>短视频摄像机安装调试</w:t>
            </w:r>
          </w:p>
        </w:tc>
        <w:tc>
          <w:tcPr>
            <w:tcW w:w="1013" w:type="dxa"/>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台</w:t>
            </w:r>
          </w:p>
        </w:tc>
        <w:tc>
          <w:tcPr>
            <w:tcW w:w="1021" w:type="dxa"/>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2</w:t>
            </w:r>
          </w:p>
        </w:tc>
        <w:tc>
          <w:tcPr>
            <w:tcW w:w="1182" w:type="dxa"/>
            <w:vMerge w:val="continue"/>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1"/>
                <w:szCs w:val="21"/>
                <w:lang w:val="en-US" w:eastAsia="zh-CN" w:bidi="ar-SA"/>
              </w:rPr>
            </w:pPr>
          </w:p>
        </w:tc>
        <w:tc>
          <w:tcPr>
            <w:tcW w:w="1200" w:type="dxa"/>
            <w:vMerge w:val="continue"/>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i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628" w:type="dxa"/>
            <w:vMerge w:val="continue"/>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i w:val="0"/>
                <w:color w:val="000000"/>
                <w:kern w:val="0"/>
                <w:sz w:val="21"/>
                <w:szCs w:val="21"/>
                <w:highlight w:val="none"/>
                <w:u w:val="none"/>
                <w:lang w:val="en-US" w:eastAsia="zh-CN" w:bidi="ar"/>
              </w:rPr>
            </w:pPr>
          </w:p>
        </w:tc>
        <w:tc>
          <w:tcPr>
            <w:tcW w:w="1338" w:type="dxa"/>
            <w:vMerge w:val="continue"/>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i w:val="0"/>
                <w:color w:val="000000"/>
                <w:kern w:val="0"/>
                <w:sz w:val="21"/>
                <w:szCs w:val="21"/>
                <w:highlight w:val="none"/>
                <w:u w:val="none"/>
                <w:lang w:val="en-US" w:eastAsia="zh-CN" w:bidi="ar"/>
              </w:rPr>
            </w:pPr>
          </w:p>
        </w:tc>
        <w:tc>
          <w:tcPr>
            <w:tcW w:w="2989" w:type="dxa"/>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rPr>
              <w:t>硬盘录像机安装调试</w:t>
            </w:r>
          </w:p>
        </w:tc>
        <w:tc>
          <w:tcPr>
            <w:tcW w:w="1013" w:type="dxa"/>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台</w:t>
            </w:r>
          </w:p>
        </w:tc>
        <w:tc>
          <w:tcPr>
            <w:tcW w:w="1021" w:type="dxa"/>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1</w:t>
            </w:r>
          </w:p>
        </w:tc>
        <w:tc>
          <w:tcPr>
            <w:tcW w:w="1182" w:type="dxa"/>
            <w:vMerge w:val="continue"/>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1"/>
                <w:szCs w:val="21"/>
                <w:lang w:val="en-US" w:eastAsia="zh-CN" w:bidi="ar-SA"/>
              </w:rPr>
            </w:pPr>
          </w:p>
        </w:tc>
        <w:tc>
          <w:tcPr>
            <w:tcW w:w="1200" w:type="dxa"/>
            <w:vMerge w:val="continue"/>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i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628" w:type="dxa"/>
            <w:vMerge w:val="continue"/>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i w:val="0"/>
                <w:color w:val="000000"/>
                <w:kern w:val="0"/>
                <w:sz w:val="21"/>
                <w:szCs w:val="21"/>
                <w:highlight w:val="none"/>
                <w:u w:val="none"/>
                <w:lang w:val="en-US" w:eastAsia="zh-CN" w:bidi="ar"/>
              </w:rPr>
            </w:pPr>
          </w:p>
        </w:tc>
        <w:tc>
          <w:tcPr>
            <w:tcW w:w="1338" w:type="dxa"/>
            <w:vMerge w:val="continue"/>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i w:val="0"/>
                <w:color w:val="000000"/>
                <w:kern w:val="0"/>
                <w:sz w:val="21"/>
                <w:szCs w:val="21"/>
                <w:highlight w:val="none"/>
                <w:u w:val="none"/>
                <w:lang w:val="en-US" w:eastAsia="zh-CN" w:bidi="ar"/>
              </w:rPr>
            </w:pPr>
          </w:p>
        </w:tc>
        <w:tc>
          <w:tcPr>
            <w:tcW w:w="2989" w:type="dxa"/>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rPr>
              <w:t>卡口抓拍摄像机安装调试</w:t>
            </w:r>
          </w:p>
        </w:tc>
        <w:tc>
          <w:tcPr>
            <w:tcW w:w="1013" w:type="dxa"/>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台</w:t>
            </w:r>
          </w:p>
        </w:tc>
        <w:tc>
          <w:tcPr>
            <w:tcW w:w="1021" w:type="dxa"/>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2</w:t>
            </w:r>
          </w:p>
        </w:tc>
        <w:tc>
          <w:tcPr>
            <w:tcW w:w="1182" w:type="dxa"/>
            <w:vMerge w:val="continue"/>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1"/>
                <w:szCs w:val="21"/>
                <w:lang w:val="en-US" w:eastAsia="zh-CN" w:bidi="ar-SA"/>
              </w:rPr>
            </w:pPr>
          </w:p>
        </w:tc>
        <w:tc>
          <w:tcPr>
            <w:tcW w:w="1200" w:type="dxa"/>
            <w:vMerge w:val="continue"/>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i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628" w:type="dxa"/>
            <w:vMerge w:val="continue"/>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i w:val="0"/>
                <w:color w:val="000000"/>
                <w:kern w:val="0"/>
                <w:sz w:val="21"/>
                <w:szCs w:val="21"/>
                <w:highlight w:val="none"/>
                <w:u w:val="none"/>
                <w:lang w:val="en-US" w:eastAsia="zh-CN" w:bidi="ar"/>
              </w:rPr>
            </w:pPr>
          </w:p>
        </w:tc>
        <w:tc>
          <w:tcPr>
            <w:tcW w:w="1338" w:type="dxa"/>
            <w:vMerge w:val="continue"/>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i w:val="0"/>
                <w:color w:val="000000"/>
                <w:kern w:val="0"/>
                <w:sz w:val="21"/>
                <w:szCs w:val="21"/>
                <w:highlight w:val="none"/>
                <w:u w:val="none"/>
                <w:lang w:val="en-US" w:eastAsia="zh-CN" w:bidi="ar"/>
              </w:rPr>
            </w:pPr>
          </w:p>
        </w:tc>
        <w:tc>
          <w:tcPr>
            <w:tcW w:w="2989" w:type="dxa"/>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rPr>
              <w:t>频爆一体补光灯安装调试</w:t>
            </w:r>
          </w:p>
        </w:tc>
        <w:tc>
          <w:tcPr>
            <w:tcW w:w="1013" w:type="dxa"/>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台</w:t>
            </w:r>
          </w:p>
        </w:tc>
        <w:tc>
          <w:tcPr>
            <w:tcW w:w="1021" w:type="dxa"/>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2</w:t>
            </w:r>
          </w:p>
        </w:tc>
        <w:tc>
          <w:tcPr>
            <w:tcW w:w="1182" w:type="dxa"/>
            <w:vMerge w:val="continue"/>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1"/>
                <w:szCs w:val="21"/>
                <w:lang w:val="en-US" w:eastAsia="zh-CN" w:bidi="ar-SA"/>
              </w:rPr>
            </w:pPr>
          </w:p>
        </w:tc>
        <w:tc>
          <w:tcPr>
            <w:tcW w:w="1200" w:type="dxa"/>
            <w:vMerge w:val="continue"/>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i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628" w:type="dxa"/>
            <w:vMerge w:val="continue"/>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i w:val="0"/>
                <w:color w:val="000000"/>
                <w:kern w:val="0"/>
                <w:sz w:val="21"/>
                <w:szCs w:val="21"/>
                <w:highlight w:val="none"/>
                <w:u w:val="none"/>
                <w:lang w:val="en-US" w:eastAsia="zh-CN" w:bidi="ar"/>
              </w:rPr>
            </w:pPr>
          </w:p>
        </w:tc>
        <w:tc>
          <w:tcPr>
            <w:tcW w:w="1338" w:type="dxa"/>
            <w:vMerge w:val="continue"/>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i w:val="0"/>
                <w:color w:val="000000"/>
                <w:kern w:val="0"/>
                <w:sz w:val="21"/>
                <w:szCs w:val="21"/>
                <w:highlight w:val="none"/>
                <w:u w:val="none"/>
                <w:lang w:val="en-US" w:eastAsia="zh-CN" w:bidi="ar"/>
              </w:rPr>
            </w:pPr>
          </w:p>
        </w:tc>
        <w:tc>
          <w:tcPr>
            <w:tcW w:w="2989" w:type="dxa"/>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rPr>
              <w:t>交通终端服务器安装调试</w:t>
            </w:r>
          </w:p>
        </w:tc>
        <w:tc>
          <w:tcPr>
            <w:tcW w:w="1013" w:type="dxa"/>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台</w:t>
            </w:r>
          </w:p>
        </w:tc>
        <w:tc>
          <w:tcPr>
            <w:tcW w:w="1021" w:type="dxa"/>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1</w:t>
            </w:r>
          </w:p>
        </w:tc>
        <w:tc>
          <w:tcPr>
            <w:tcW w:w="1182" w:type="dxa"/>
            <w:vMerge w:val="continue"/>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1"/>
                <w:szCs w:val="21"/>
                <w:lang w:val="en-US" w:eastAsia="zh-CN" w:bidi="ar-SA"/>
              </w:rPr>
            </w:pPr>
          </w:p>
        </w:tc>
        <w:tc>
          <w:tcPr>
            <w:tcW w:w="1200" w:type="dxa"/>
            <w:vMerge w:val="continue"/>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i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628" w:type="dxa"/>
            <w:vMerge w:val="continue"/>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i w:val="0"/>
                <w:color w:val="000000"/>
                <w:kern w:val="0"/>
                <w:sz w:val="21"/>
                <w:szCs w:val="21"/>
                <w:highlight w:val="none"/>
                <w:u w:val="none"/>
                <w:lang w:val="en-US" w:eastAsia="zh-CN" w:bidi="ar"/>
              </w:rPr>
            </w:pPr>
          </w:p>
        </w:tc>
        <w:tc>
          <w:tcPr>
            <w:tcW w:w="1338" w:type="dxa"/>
            <w:vMerge w:val="continue"/>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i w:val="0"/>
                <w:color w:val="000000"/>
                <w:kern w:val="0"/>
                <w:sz w:val="21"/>
                <w:szCs w:val="21"/>
                <w:highlight w:val="none"/>
                <w:u w:val="none"/>
                <w:lang w:val="en-US" w:eastAsia="zh-CN" w:bidi="ar"/>
              </w:rPr>
            </w:pPr>
          </w:p>
        </w:tc>
        <w:tc>
          <w:tcPr>
            <w:tcW w:w="2989" w:type="dxa"/>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监控级硬盘</w:t>
            </w:r>
            <w:r>
              <w:rPr>
                <w:rFonts w:hint="eastAsia" w:ascii="仿宋" w:hAnsi="仿宋" w:eastAsia="仿宋" w:cs="仿宋"/>
                <w:color w:val="auto"/>
                <w:sz w:val="21"/>
                <w:szCs w:val="21"/>
                <w:lang w:val="en-US" w:eastAsia="zh-CN"/>
              </w:rPr>
              <w:t>安装调试</w:t>
            </w:r>
          </w:p>
        </w:tc>
        <w:tc>
          <w:tcPr>
            <w:tcW w:w="1013" w:type="dxa"/>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块</w:t>
            </w:r>
          </w:p>
        </w:tc>
        <w:tc>
          <w:tcPr>
            <w:tcW w:w="1021" w:type="dxa"/>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2</w:t>
            </w:r>
          </w:p>
        </w:tc>
        <w:tc>
          <w:tcPr>
            <w:tcW w:w="1182" w:type="dxa"/>
            <w:vMerge w:val="continue"/>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1"/>
                <w:szCs w:val="21"/>
                <w:lang w:val="en-US" w:eastAsia="zh-CN" w:bidi="ar-SA"/>
              </w:rPr>
            </w:pPr>
          </w:p>
        </w:tc>
        <w:tc>
          <w:tcPr>
            <w:tcW w:w="1200" w:type="dxa"/>
            <w:vMerge w:val="continue"/>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仿宋" w:hAnsi="仿宋" w:eastAsia="仿宋" w:cs="仿宋"/>
                <w:i w:val="0"/>
                <w:color w:val="000000"/>
                <w:kern w:val="0"/>
                <w:sz w:val="21"/>
                <w:szCs w:val="21"/>
                <w:highlight w:val="none"/>
                <w:u w:val="none"/>
                <w:lang w:val="en-US" w:eastAsia="zh-CN" w:bidi="ar"/>
              </w:rPr>
            </w:pPr>
          </w:p>
        </w:tc>
      </w:tr>
    </w:tbl>
    <w:p>
      <w:pPr>
        <w:pStyle w:val="4"/>
        <w:spacing w:before="196" w:after="196"/>
        <w:ind w:firstLine="520"/>
        <w:rPr>
          <w:rFonts w:ascii="仿宋" w:hAnsi="仿宋" w:eastAsia="仿宋"/>
          <w:color w:val="auto"/>
          <w:szCs w:val="22"/>
        </w:rPr>
      </w:pPr>
      <w:bookmarkStart w:id="303" w:name="_Toc7132"/>
      <w:r>
        <w:rPr>
          <w:rFonts w:hint="eastAsia" w:ascii="仿宋" w:hAnsi="仿宋" w:eastAsia="仿宋"/>
          <w:color w:val="auto"/>
          <w:szCs w:val="22"/>
        </w:rPr>
        <w:t>二、招标项目技术需求</w:t>
      </w:r>
      <w:bookmarkEnd w:id="303"/>
    </w:p>
    <w:bookmarkEnd w:id="298"/>
    <w:bookmarkEnd w:id="299"/>
    <w:bookmarkEnd w:id="300"/>
    <w:bookmarkEnd w:id="301"/>
    <w:bookmarkEnd w:id="302"/>
    <w:p>
      <w:pPr>
        <w:ind w:firstLine="438"/>
        <w:jc w:val="left"/>
        <w:rPr>
          <w:rFonts w:ascii="仿宋" w:hAnsi="仿宋" w:eastAsia="仿宋"/>
          <w:color w:val="auto"/>
          <w:szCs w:val="22"/>
        </w:rPr>
      </w:pPr>
      <w:r>
        <w:rPr>
          <w:rFonts w:hint="eastAsia" w:ascii="仿宋" w:hAnsi="仿宋" w:eastAsia="仿宋"/>
          <w:color w:val="auto"/>
          <w:szCs w:val="22"/>
        </w:rPr>
        <w:t>“※”标注的技术需求为符合性审查中的实质性要求，投标文件若不满足按无效投标处理</w:t>
      </w:r>
    </w:p>
    <w:tbl>
      <w:tblPr>
        <w:tblStyle w:val="23"/>
        <w:tblW w:w="90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7"/>
        <w:gridCol w:w="1250"/>
        <w:gridCol w:w="5192"/>
        <w:gridCol w:w="770"/>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blHeader/>
          <w:jc w:val="center"/>
        </w:trPr>
        <w:tc>
          <w:tcPr>
            <w:tcW w:w="1027" w:type="dxa"/>
            <w:noWrap w:val="0"/>
            <w:vAlign w:val="center"/>
          </w:tcPr>
          <w:p>
            <w:pPr>
              <w:pStyle w:val="15"/>
              <w:jc w:val="left"/>
              <w:rPr>
                <w:rFonts w:hint="eastAsia" w:ascii="仿宋" w:hAnsi="仿宋" w:eastAsia="仿宋" w:cs="仿宋"/>
                <w:sz w:val="21"/>
                <w:szCs w:val="21"/>
              </w:rPr>
            </w:pPr>
          </w:p>
        </w:tc>
        <w:tc>
          <w:tcPr>
            <w:tcW w:w="12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z w:val="21"/>
                <w:szCs w:val="21"/>
              </w:rPr>
              <w:t>产品名称</w:t>
            </w:r>
          </w:p>
        </w:tc>
        <w:tc>
          <w:tcPr>
            <w:tcW w:w="519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z w:val="21"/>
                <w:szCs w:val="21"/>
              </w:rPr>
              <w:t>设备性能技术参数</w:t>
            </w:r>
          </w:p>
        </w:tc>
        <w:tc>
          <w:tcPr>
            <w:tcW w:w="77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单位</w:t>
            </w:r>
          </w:p>
        </w:tc>
        <w:tc>
          <w:tcPr>
            <w:tcW w:w="8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02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z w:val="21"/>
                <w:szCs w:val="21"/>
              </w:rPr>
              <w:t>一</w:t>
            </w:r>
          </w:p>
        </w:tc>
        <w:tc>
          <w:tcPr>
            <w:tcW w:w="8065"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b/>
                <w:bCs/>
                <w:color w:val="auto"/>
                <w:sz w:val="21"/>
                <w:szCs w:val="21"/>
                <w:lang w:val="en-US" w:eastAsia="zh-CN" w:bidi="ar-SA"/>
              </w:rPr>
            </w:pPr>
            <w:r>
              <w:rPr>
                <w:rFonts w:hint="eastAsia" w:ascii="仿宋" w:hAnsi="仿宋" w:eastAsia="仿宋" w:cs="仿宋"/>
                <w:b/>
                <w:bCs/>
                <w:color w:val="auto"/>
                <w:sz w:val="21"/>
                <w:szCs w:val="21"/>
                <w:lang w:val="en-US" w:eastAsia="zh-CN" w:bidi="ar-SA"/>
              </w:rPr>
              <w:t>石英式动态汽车衡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027"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eastAsia="zh-CN"/>
              </w:rPr>
            </w:pPr>
            <w:r>
              <w:rPr>
                <w:rFonts w:hint="eastAsia" w:ascii="仿宋" w:hAnsi="仿宋" w:eastAsia="仿宋" w:cs="仿宋"/>
                <w:color w:val="auto"/>
                <w:sz w:val="21"/>
                <w:szCs w:val="21"/>
                <w:lang w:val="en-US" w:eastAsia="zh-CN"/>
              </w:rPr>
              <w:t>1</w:t>
            </w:r>
          </w:p>
        </w:tc>
        <w:tc>
          <w:tcPr>
            <w:tcW w:w="1250"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野外机柜基础及配套设施</w:t>
            </w:r>
          </w:p>
        </w:tc>
        <w:tc>
          <w:tcPr>
            <w:tcW w:w="5192"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eastAsia="zh-CN"/>
              </w:rPr>
              <w:t>基础</w:t>
            </w:r>
            <w:r>
              <w:rPr>
                <w:rFonts w:hint="eastAsia" w:ascii="仿宋" w:hAnsi="仿宋" w:eastAsia="仿宋" w:cs="仿宋"/>
                <w:color w:val="auto"/>
                <w:sz w:val="21"/>
                <w:szCs w:val="21"/>
              </w:rPr>
              <w:t>（长2米，</w:t>
            </w:r>
            <w:r>
              <w:rPr>
                <w:rFonts w:hint="eastAsia" w:ascii="仿宋" w:hAnsi="仿宋" w:eastAsia="仿宋" w:cs="仿宋"/>
                <w:color w:val="auto"/>
                <w:sz w:val="21"/>
                <w:szCs w:val="21"/>
                <w:lang w:eastAsia="zh-CN"/>
              </w:rPr>
              <w:t>宽</w:t>
            </w:r>
            <w:r>
              <w:rPr>
                <w:rFonts w:hint="eastAsia" w:ascii="仿宋" w:hAnsi="仿宋" w:eastAsia="仿宋" w:cs="仿宋"/>
                <w:color w:val="auto"/>
                <w:sz w:val="21"/>
                <w:szCs w:val="21"/>
              </w:rPr>
              <w:t>1米，高0.2米）</w:t>
            </w:r>
            <w:r>
              <w:rPr>
                <w:rFonts w:hint="eastAsia" w:ascii="仿宋" w:hAnsi="仿宋" w:eastAsia="仿宋" w:cs="仿宋"/>
                <w:color w:val="auto"/>
                <w:sz w:val="21"/>
                <w:szCs w:val="21"/>
                <w:lang w:eastAsia="zh-CN"/>
              </w:rPr>
              <w:t>配电箱、网络防雷、线缆开槽、线缆埋设、不锈钢网安装（高</w:t>
            </w:r>
            <w:r>
              <w:rPr>
                <w:rFonts w:hint="eastAsia" w:ascii="仿宋" w:hAnsi="仿宋" w:eastAsia="仿宋" w:cs="仿宋"/>
                <w:color w:val="auto"/>
                <w:sz w:val="21"/>
                <w:szCs w:val="21"/>
                <w:lang w:val="en-US" w:eastAsia="zh-CN"/>
              </w:rPr>
              <w:t>2米，长2米，宽1米，顶棚采用超级防水、防晒材料</w:t>
            </w:r>
            <w:r>
              <w:rPr>
                <w:rFonts w:hint="eastAsia" w:ascii="仿宋" w:hAnsi="仿宋" w:eastAsia="仿宋" w:cs="仿宋"/>
                <w:color w:val="auto"/>
                <w:sz w:val="21"/>
                <w:szCs w:val="21"/>
                <w:lang w:eastAsia="zh-CN"/>
              </w:rPr>
              <w:t>）</w:t>
            </w:r>
          </w:p>
        </w:tc>
        <w:tc>
          <w:tcPr>
            <w:tcW w:w="770"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套</w:t>
            </w:r>
          </w:p>
        </w:tc>
        <w:tc>
          <w:tcPr>
            <w:tcW w:w="853"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027"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1"/>
                <w:szCs w:val="21"/>
              </w:rPr>
            </w:pPr>
          </w:p>
        </w:tc>
        <w:tc>
          <w:tcPr>
            <w:tcW w:w="125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1"/>
                <w:szCs w:val="21"/>
              </w:rPr>
            </w:pPr>
          </w:p>
        </w:tc>
        <w:tc>
          <w:tcPr>
            <w:tcW w:w="5192"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z w:val="21"/>
                <w:szCs w:val="21"/>
              </w:rPr>
            </w:pPr>
          </w:p>
        </w:tc>
        <w:tc>
          <w:tcPr>
            <w:tcW w:w="77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1"/>
                <w:szCs w:val="21"/>
                <w:lang w:val="en-US" w:eastAsia="zh-CN" w:bidi="ar-SA"/>
              </w:rPr>
            </w:pPr>
          </w:p>
        </w:tc>
        <w:tc>
          <w:tcPr>
            <w:tcW w:w="853"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eastAsia="zh-CN"/>
              </w:rPr>
            </w:pPr>
            <w:r>
              <w:rPr>
                <w:rFonts w:hint="eastAsia" w:ascii="仿宋" w:hAnsi="仿宋" w:eastAsia="仿宋" w:cs="仿宋"/>
                <w:color w:val="auto"/>
                <w:sz w:val="21"/>
                <w:szCs w:val="21"/>
                <w:lang w:val="en-US" w:eastAsia="zh-CN"/>
              </w:rPr>
              <w:t>※2</w:t>
            </w:r>
          </w:p>
        </w:tc>
        <w:tc>
          <w:tcPr>
            <w:tcW w:w="12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石英称重传感器</w:t>
            </w:r>
          </w:p>
        </w:tc>
        <w:tc>
          <w:tcPr>
            <w:tcW w:w="519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1)称重传感器为石英称重传感器，传感器应为一体化结构，完全密封，防水、防尘、防腐、耐高温，免维护，易于安装、更换，为最大程度保证路面完整，保护路面结构不受破坏。</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2)石英称重传感器为高速称重子系统的主要部件，石英称重传感器（含电荷放大器）。</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3)石英称重传感器的技灵敏度（皮库/牛顿）：-1.62（±10%）pC/N</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4)测量范围（部分轮载）：0～150kN</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5)过载能力：150％</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6)线性度：＜±1%FSO</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7)沿整根传感器方向上的灵敏度不一致性：＜±3%</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8)温度系数：-0.02%/℃。</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9)防护等级：IP68</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10)工作温度：-40℃～+80℃</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11）为减少路面开槽面积，保护路面。传感器尺寸宽度不大于50mm,高度不大于44mm。</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12）精度等级（OIML R134）2%</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13）防护等级（EN60529）IP68</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14)速度范围：0.5~200km/h</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15）符合省级质量技术监督局的石英式动态汽车衡《计量器具型式批准证书》和国家自动衡器型式评价实验室的《计量器具型式评价报告》中的标准规范；</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16）检测精度：符合国家计量检定规程JJG907-2006《动态公路车辆自动衡器》动态5级标准；</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17）符合ISO/IEC 17025:2017标准的关于电荷产生及标定实验室检测能力的标准规范；</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18）符合ISO9001:2015标准的质量管理体系认证的标准规范；</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仿宋" w:hAnsi="仿宋" w:eastAsia="仿宋" w:cs="仿宋"/>
                <w:sz w:val="21"/>
                <w:szCs w:val="21"/>
                <w:lang w:val="en-US" w:eastAsia="zh-CN"/>
              </w:rPr>
            </w:pPr>
            <w:r>
              <w:rPr>
                <w:rFonts w:hint="eastAsia" w:ascii="仿宋" w:hAnsi="仿宋" w:eastAsia="仿宋" w:cs="仿宋"/>
                <w:color w:val="auto"/>
                <w:sz w:val="21"/>
                <w:szCs w:val="21"/>
                <w:lang w:val="en-US" w:eastAsia="zh-CN"/>
              </w:rPr>
              <w:t>19）须与原有仪表、电荷放大器等利旧设备兼容。</w:t>
            </w:r>
          </w:p>
        </w:tc>
        <w:tc>
          <w:tcPr>
            <w:tcW w:w="77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道</w:t>
            </w:r>
          </w:p>
        </w:tc>
        <w:tc>
          <w:tcPr>
            <w:tcW w:w="8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4" w:hRule="atLeast"/>
          <w:jc w:val="center"/>
        </w:trPr>
        <w:tc>
          <w:tcPr>
            <w:tcW w:w="102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eastAsia="zh-CN"/>
              </w:rPr>
            </w:pPr>
            <w:r>
              <w:rPr>
                <w:rFonts w:hint="eastAsia" w:ascii="仿宋" w:hAnsi="仿宋" w:eastAsia="仿宋" w:cs="仿宋"/>
                <w:color w:val="auto"/>
                <w:sz w:val="21"/>
                <w:szCs w:val="21"/>
                <w:lang w:val="en-US" w:eastAsia="zh-CN"/>
              </w:rPr>
              <w:t>※3</w:t>
            </w:r>
          </w:p>
        </w:tc>
        <w:tc>
          <w:tcPr>
            <w:tcW w:w="12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轨迹传感器</w:t>
            </w:r>
          </w:p>
        </w:tc>
        <w:tc>
          <w:tcPr>
            <w:tcW w:w="519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1）允许单轴最大载荷：45t；</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2）允许通过速度：1～120km/h；</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3）最小检测宽度：150 mm</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4）绝缘电阻：≥500 GΩ；(提供省级以上计量机构出具的检测报告复印件加盖投标人公章、用于印证参数）；</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5）工作环境温度：-40℃～80℃；(提供省级以上计量机构出具的检测报告复印件加盖投标人公章、用于印证参数）；</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6)输出轮胎单轮，双轮</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7）提供车辆行驶跨道、逆行等异常行驶状态轨迹</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8）车辆行驶轨迹位置误差少于5cm</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9）</w:t>
            </w:r>
            <w:r>
              <w:rPr>
                <w:rFonts w:hint="eastAsia" w:ascii="仿宋" w:hAnsi="仿宋" w:eastAsia="仿宋" w:cs="仿宋"/>
                <w:color w:val="auto"/>
                <w:sz w:val="21"/>
                <w:szCs w:val="21"/>
              </w:rPr>
              <w:t>线性度：＜±</w:t>
            </w:r>
            <w:r>
              <w:rPr>
                <w:rFonts w:hint="eastAsia" w:ascii="仿宋" w:hAnsi="仿宋" w:eastAsia="仿宋" w:cs="仿宋"/>
                <w:color w:val="auto"/>
                <w:sz w:val="21"/>
                <w:szCs w:val="21"/>
                <w:lang w:val="en-US" w:eastAsia="zh-CN"/>
              </w:rPr>
              <w:t>2</w:t>
            </w:r>
            <w:r>
              <w:rPr>
                <w:rFonts w:hint="eastAsia" w:ascii="仿宋" w:hAnsi="仿宋" w:eastAsia="仿宋" w:cs="仿宋"/>
                <w:color w:val="auto"/>
                <w:sz w:val="21"/>
                <w:szCs w:val="21"/>
              </w:rPr>
              <w:t>%FSO</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10）</w:t>
            </w:r>
            <w:r>
              <w:rPr>
                <w:rFonts w:hint="eastAsia" w:ascii="仿宋" w:hAnsi="仿宋" w:eastAsia="仿宋" w:cs="仿宋"/>
                <w:color w:val="auto"/>
                <w:sz w:val="21"/>
                <w:szCs w:val="21"/>
              </w:rPr>
              <w:t>防护等级IP68</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11</w:t>
            </w:r>
            <w:r>
              <w:rPr>
                <w:rFonts w:hint="eastAsia" w:ascii="仿宋" w:hAnsi="仿宋" w:eastAsia="仿宋" w:cs="仿宋"/>
                <w:color w:val="auto"/>
                <w:sz w:val="21"/>
                <w:szCs w:val="21"/>
              </w:rPr>
              <w:t>）使用寿命：≥5000万轴次；</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12）</w:t>
            </w:r>
            <w:r>
              <w:rPr>
                <w:rFonts w:hint="eastAsia" w:ascii="仿宋" w:hAnsi="仿宋" w:eastAsia="仿宋" w:cs="仿宋"/>
                <w:color w:val="auto"/>
                <w:sz w:val="21"/>
                <w:szCs w:val="21"/>
              </w:rPr>
              <w:t>防护等级：IP68；</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13）</w:t>
            </w:r>
            <w:r>
              <w:rPr>
                <w:rFonts w:hint="eastAsia" w:ascii="仿宋" w:hAnsi="仿宋" w:eastAsia="仿宋" w:cs="仿宋"/>
                <w:color w:val="auto"/>
                <w:sz w:val="21"/>
                <w:szCs w:val="21"/>
              </w:rPr>
              <w:t>温度系数：-0.0</w:t>
            </w:r>
            <w:r>
              <w:rPr>
                <w:rFonts w:hint="eastAsia" w:ascii="仿宋" w:hAnsi="仿宋" w:eastAsia="仿宋" w:cs="仿宋"/>
                <w:color w:val="auto"/>
                <w:sz w:val="21"/>
                <w:szCs w:val="21"/>
                <w:lang w:val="en-US" w:eastAsia="zh-CN"/>
              </w:rPr>
              <w:t>3</w:t>
            </w:r>
            <w:r>
              <w:rPr>
                <w:rFonts w:hint="eastAsia" w:ascii="仿宋" w:hAnsi="仿宋" w:eastAsia="仿宋" w:cs="仿宋"/>
                <w:color w:val="auto"/>
                <w:sz w:val="21"/>
                <w:szCs w:val="21"/>
              </w:rPr>
              <w:t>%/℃</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1</w:t>
            </w:r>
            <w:r>
              <w:rPr>
                <w:rFonts w:hint="eastAsia" w:ascii="仿宋" w:hAnsi="仿宋" w:eastAsia="仿宋" w:cs="仿宋"/>
                <w:color w:val="auto"/>
                <w:sz w:val="21"/>
                <w:szCs w:val="21"/>
                <w:lang w:val="en-US" w:eastAsia="zh-CN"/>
              </w:rPr>
              <w:t>4</w:t>
            </w:r>
            <w:r>
              <w:rPr>
                <w:rFonts w:hint="eastAsia" w:ascii="仿宋" w:hAnsi="仿宋" w:eastAsia="仿宋" w:cs="仿宋"/>
                <w:color w:val="auto"/>
                <w:sz w:val="21"/>
                <w:szCs w:val="21"/>
              </w:rPr>
              <w:t>)速度范围：0.5~</w:t>
            </w:r>
            <w:r>
              <w:rPr>
                <w:rFonts w:hint="eastAsia" w:ascii="仿宋" w:hAnsi="仿宋" w:eastAsia="仿宋" w:cs="仿宋"/>
                <w:color w:val="auto"/>
                <w:sz w:val="21"/>
                <w:szCs w:val="21"/>
                <w:lang w:val="en-US" w:eastAsia="zh-CN"/>
              </w:rPr>
              <w:t>12</w:t>
            </w:r>
            <w:r>
              <w:rPr>
                <w:rFonts w:hint="eastAsia" w:ascii="仿宋" w:hAnsi="仿宋" w:eastAsia="仿宋" w:cs="仿宋"/>
                <w:color w:val="auto"/>
                <w:sz w:val="21"/>
                <w:szCs w:val="21"/>
              </w:rPr>
              <w:t>0km/h</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15）须与原有仪表、轨迹检测模块利旧设备兼容。</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16）由制造商提供不低于3年的标准售后服务。</w:t>
            </w:r>
          </w:p>
        </w:tc>
        <w:tc>
          <w:tcPr>
            <w:tcW w:w="77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道</w:t>
            </w:r>
          </w:p>
        </w:tc>
        <w:tc>
          <w:tcPr>
            <w:tcW w:w="8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02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b/>
                <w:bCs/>
                <w:color w:val="auto"/>
                <w:sz w:val="21"/>
                <w:szCs w:val="21"/>
                <w:lang w:val="en-US" w:eastAsia="zh-CN" w:bidi="ar-SA"/>
              </w:rPr>
            </w:pPr>
            <w:r>
              <w:rPr>
                <w:rFonts w:hint="eastAsia" w:ascii="仿宋" w:hAnsi="仿宋" w:eastAsia="仿宋" w:cs="仿宋"/>
                <w:b/>
                <w:bCs/>
                <w:color w:val="auto"/>
                <w:sz w:val="21"/>
                <w:szCs w:val="21"/>
                <w:lang w:val="en-US" w:eastAsia="zh-CN" w:bidi="ar-SA"/>
              </w:rPr>
              <w:t>二</w:t>
            </w:r>
          </w:p>
        </w:tc>
        <w:tc>
          <w:tcPr>
            <w:tcW w:w="8065"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b/>
                <w:bCs/>
                <w:color w:val="auto"/>
                <w:sz w:val="21"/>
                <w:szCs w:val="21"/>
                <w:lang w:val="en-US" w:eastAsia="zh-CN" w:bidi="ar-SA"/>
              </w:rPr>
            </w:pPr>
            <w:r>
              <w:rPr>
                <w:rFonts w:hint="eastAsia" w:ascii="仿宋" w:hAnsi="仿宋" w:eastAsia="仿宋" w:cs="仿宋"/>
                <w:b/>
                <w:bCs/>
                <w:color w:val="auto"/>
                <w:sz w:val="21"/>
                <w:szCs w:val="21"/>
                <w:lang w:val="en-US" w:eastAsia="zh-CN" w:bidi="ar-SA"/>
              </w:rPr>
              <w:t>车牌自动识别子系统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102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1</w:t>
            </w:r>
          </w:p>
        </w:tc>
        <w:tc>
          <w:tcPr>
            <w:tcW w:w="12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L型立杆</w:t>
            </w:r>
          </w:p>
        </w:tc>
        <w:tc>
          <w:tcPr>
            <w:tcW w:w="519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1）净空高度大于6000mm，宽度：9000mm，φ325，厚度10mm,预留7个穿线进口，检修门，构件全部采用钢结构；</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2）杆件要求整体成形；焊条采用T42；</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3）所有钢构件都进行热镀锌防腐处理，紧固件表面：350g/m2,其它为：600g/m；</w:t>
            </w:r>
          </w:p>
        </w:tc>
        <w:tc>
          <w:tcPr>
            <w:tcW w:w="77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根</w:t>
            </w:r>
          </w:p>
        </w:tc>
        <w:tc>
          <w:tcPr>
            <w:tcW w:w="8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2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2</w:t>
            </w:r>
          </w:p>
        </w:tc>
        <w:tc>
          <w:tcPr>
            <w:tcW w:w="12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L型立杆基础</w:t>
            </w:r>
          </w:p>
        </w:tc>
        <w:tc>
          <w:tcPr>
            <w:tcW w:w="519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1400mm*1400mm*1800mm,C25混凝土浇筑，地笼埋设，地笼钢筋Φ24螺纹钢8根，高1400mm。防雷模块、降阻剂埋，设接地电阻＜10欧姆，连接扁铁焊接、防锈处理。</w:t>
            </w:r>
          </w:p>
        </w:tc>
        <w:tc>
          <w:tcPr>
            <w:tcW w:w="77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个</w:t>
            </w:r>
          </w:p>
        </w:tc>
        <w:tc>
          <w:tcPr>
            <w:tcW w:w="8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3</w:t>
            </w:r>
          </w:p>
        </w:tc>
        <w:tc>
          <w:tcPr>
            <w:tcW w:w="12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车轴抓拍立杆基础</w:t>
            </w:r>
          </w:p>
        </w:tc>
        <w:tc>
          <w:tcPr>
            <w:tcW w:w="519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800mm*800mm*800mm,C25混凝土浇筑。地笼埋设，地笼钢筋规格不小于φ16，高700mm。防雷模块、降阻剂埋，设接地电阻＜10欧姆，连接扁铁焊接、防锈处理。</w:t>
            </w:r>
          </w:p>
        </w:tc>
        <w:tc>
          <w:tcPr>
            <w:tcW w:w="77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个</w:t>
            </w:r>
          </w:p>
        </w:tc>
        <w:tc>
          <w:tcPr>
            <w:tcW w:w="8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bCs/>
                <w:color w:val="auto"/>
                <w:sz w:val="21"/>
                <w:szCs w:val="21"/>
                <w:lang w:val="en-US" w:eastAsia="zh-CN" w:bidi="ar-SA"/>
              </w:rPr>
            </w:pPr>
            <w:r>
              <w:rPr>
                <w:rFonts w:hint="eastAsia" w:ascii="仿宋" w:hAnsi="仿宋" w:eastAsia="仿宋" w:cs="仿宋"/>
                <w:b/>
                <w:bCs/>
                <w:color w:val="auto"/>
                <w:sz w:val="21"/>
                <w:szCs w:val="21"/>
                <w:lang w:val="en-US" w:eastAsia="zh-CN" w:bidi="ar-SA"/>
              </w:rPr>
              <w:t>三</w:t>
            </w:r>
          </w:p>
        </w:tc>
        <w:tc>
          <w:tcPr>
            <w:tcW w:w="8065"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信息诱导子系统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1</w:t>
            </w:r>
          </w:p>
        </w:tc>
        <w:tc>
          <w:tcPr>
            <w:tcW w:w="12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情报板大型F架基础</w:t>
            </w:r>
          </w:p>
        </w:tc>
        <w:tc>
          <w:tcPr>
            <w:tcW w:w="519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1500mm*1500mm*1900mm,C25混凝土浇筑.</w:t>
            </w:r>
          </w:p>
        </w:tc>
        <w:tc>
          <w:tcPr>
            <w:tcW w:w="77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个</w:t>
            </w:r>
          </w:p>
        </w:tc>
        <w:tc>
          <w:tcPr>
            <w:tcW w:w="8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02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b/>
                <w:bCs/>
                <w:color w:val="auto"/>
                <w:sz w:val="21"/>
                <w:szCs w:val="21"/>
                <w:lang w:val="en-US" w:eastAsia="zh-CN" w:bidi="ar-SA"/>
              </w:rPr>
            </w:pPr>
            <w:r>
              <w:rPr>
                <w:rFonts w:hint="eastAsia" w:ascii="仿宋" w:hAnsi="仿宋" w:eastAsia="仿宋" w:cs="仿宋"/>
                <w:b/>
                <w:bCs/>
                <w:color w:val="auto"/>
                <w:sz w:val="21"/>
                <w:szCs w:val="21"/>
                <w:lang w:val="en-US" w:eastAsia="zh-CN" w:bidi="ar-SA"/>
              </w:rPr>
              <w:t>四</w:t>
            </w:r>
          </w:p>
        </w:tc>
        <w:tc>
          <w:tcPr>
            <w:tcW w:w="8065"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b/>
                <w:bCs/>
                <w:color w:val="auto"/>
                <w:sz w:val="21"/>
                <w:szCs w:val="21"/>
                <w:lang w:val="en-US" w:eastAsia="zh-CN" w:bidi="ar-SA"/>
              </w:rPr>
            </w:pPr>
            <w:r>
              <w:rPr>
                <w:rFonts w:hint="eastAsia" w:ascii="仿宋" w:hAnsi="仿宋" w:eastAsia="仿宋" w:cs="仿宋"/>
                <w:b/>
                <w:bCs/>
                <w:color w:val="auto"/>
                <w:sz w:val="21"/>
                <w:szCs w:val="21"/>
                <w:lang w:val="en-US" w:eastAsia="zh-CN" w:bidi="ar-SA"/>
              </w:rPr>
              <w:t>计算机系统及其他设备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1</w:t>
            </w:r>
          </w:p>
        </w:tc>
        <w:tc>
          <w:tcPr>
            <w:tcW w:w="12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工业计算机安装调试</w:t>
            </w:r>
          </w:p>
        </w:tc>
        <w:tc>
          <w:tcPr>
            <w:tcW w:w="519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该设备利旧使用（利旧设备参数如下），负责利旧设备安装综合布线、设备搬运、设备联调。</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1）处理器：Intel  处I5及以上处理器 </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内存：标配1条4GB DDR3 SO-DIMM内存,最大支持4GB内存</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显示VGA：1个VGA (最高分辩率2048 X 1536)</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DVI：1个DVI-I（最高分辩率1600 X 1200，选配，依据配置为准）</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2)网口：2个10/100/1000Mbps RJ45网口；LAN1支持网络唤醒</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3)串口：6～10个串口（COM1～COM6为RS-232/422/485可选，COM7～COM10为RS-232；依据配置为准）</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4)存储器mSATA：1个M-SATA接口</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5)硬盘：标配2个2.5寸硬盘位，最大支持2个2.5寸硬盘位</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6)CF：1个CF卡接口(前面板/侧面板；可选)</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7)工作环境：-20℃～70℃；(宽温CF卡/电子盘)</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8)-5℃～50℃(监控硬盘)</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9)5%～ 90% 40℃（非凝结状态）</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10)储存环境：-40℃～70℃ ； 5%～90% 40℃（非凝结状态）</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11)电源：支持9～30V DC宽电压输入，或者通过90W AC 外置适配器输入。</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12）存储容量：内置2个SATA接口硬盘，单个SATA接口最大可支持4TB监控级专用硬盘，支持图片存储和录像存储的空间配额设置</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13）工作电压：DC12V/12.5A适配器</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14）功耗：总输出功率≤20W</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15）工作环境温度：工作温度-40℃～70℃</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16）工作环境湿度：工作湿度10%～90%</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17）中标供应商负责完成采购人提供的利旧工业计算机安装调试，满足采购人应用需求。</w:t>
            </w:r>
          </w:p>
        </w:tc>
        <w:tc>
          <w:tcPr>
            <w:tcW w:w="77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台</w:t>
            </w:r>
          </w:p>
        </w:tc>
        <w:tc>
          <w:tcPr>
            <w:tcW w:w="8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02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2</w:t>
            </w:r>
          </w:p>
        </w:tc>
        <w:tc>
          <w:tcPr>
            <w:tcW w:w="12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工业级以太网交换机安装调试</w:t>
            </w:r>
          </w:p>
        </w:tc>
        <w:tc>
          <w:tcPr>
            <w:tcW w:w="519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bidi="ar-SA"/>
              </w:rPr>
            </w:pPr>
            <w:r>
              <w:rPr>
                <w:rFonts w:hint="eastAsia" w:ascii="仿宋" w:hAnsi="仿宋" w:eastAsia="仿宋" w:cs="仿宋"/>
                <w:b/>
                <w:bCs/>
                <w:color w:val="auto"/>
                <w:sz w:val="21"/>
                <w:szCs w:val="21"/>
                <w:lang w:val="en-US" w:eastAsia="zh-CN" w:bidi="ar-SA"/>
              </w:rPr>
              <w:t>该设备利旧使用</w:t>
            </w:r>
            <w:r>
              <w:rPr>
                <w:rFonts w:hint="eastAsia" w:ascii="仿宋" w:hAnsi="仿宋" w:eastAsia="仿宋" w:cs="仿宋"/>
                <w:color w:val="auto"/>
                <w:sz w:val="21"/>
                <w:szCs w:val="21"/>
                <w:lang w:val="en-US" w:eastAsia="zh-CN" w:bidi="ar-SA"/>
              </w:rPr>
              <w:t>（利旧设备参数如下），负责利旧设备安装综合布线、设备搬运、设备联调。</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1)16口，DC48-57V。</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2）工作温度-10°C-55°C，工作湿度10%-90%，</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3）MC地址容量2K。</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4）包交换容量1.8Gbps,包缓存768Kb,包转发率1.34Mpps</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5）工作温度-30℃～70℃，</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6）工作电压AC90-260，</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color w:val="auto"/>
                <w:sz w:val="21"/>
                <w:szCs w:val="21"/>
                <w:lang w:val="en-US" w:eastAsia="zh-CN" w:bidi="ar-SA"/>
              </w:rPr>
              <w:t>7）光纤接口FC接口</w:t>
            </w:r>
          </w:p>
        </w:tc>
        <w:tc>
          <w:tcPr>
            <w:tcW w:w="77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台</w:t>
            </w:r>
          </w:p>
        </w:tc>
        <w:tc>
          <w:tcPr>
            <w:tcW w:w="8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3</w:t>
            </w:r>
          </w:p>
        </w:tc>
        <w:tc>
          <w:tcPr>
            <w:tcW w:w="12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IO控制卡安装调试</w:t>
            </w:r>
          </w:p>
        </w:tc>
        <w:tc>
          <w:tcPr>
            <w:tcW w:w="519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bidi="ar-SA"/>
              </w:rPr>
            </w:pPr>
            <w:r>
              <w:rPr>
                <w:rFonts w:hint="eastAsia" w:ascii="仿宋" w:hAnsi="仿宋" w:eastAsia="仿宋" w:cs="仿宋"/>
                <w:b/>
                <w:bCs/>
                <w:color w:val="auto"/>
                <w:sz w:val="21"/>
                <w:szCs w:val="21"/>
                <w:lang w:val="en-US" w:eastAsia="zh-CN" w:bidi="ar-SA"/>
              </w:rPr>
              <w:t>该设备利旧使用</w:t>
            </w:r>
            <w:r>
              <w:rPr>
                <w:rFonts w:hint="eastAsia" w:ascii="仿宋" w:hAnsi="仿宋" w:eastAsia="仿宋" w:cs="仿宋"/>
                <w:color w:val="auto"/>
                <w:sz w:val="21"/>
                <w:szCs w:val="21"/>
                <w:lang w:val="en-US" w:eastAsia="zh-CN" w:bidi="ar-SA"/>
              </w:rPr>
              <w:t>（利旧设备参数如下），负责利旧设备安装综合布线、设备搬运、设备联调。</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24路光电隔离数字滤波中断采集IO卡</w:t>
            </w:r>
          </w:p>
        </w:tc>
        <w:tc>
          <w:tcPr>
            <w:tcW w:w="77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块</w:t>
            </w:r>
          </w:p>
        </w:tc>
        <w:tc>
          <w:tcPr>
            <w:tcW w:w="8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02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b/>
                <w:bCs/>
                <w:color w:val="auto"/>
                <w:sz w:val="21"/>
                <w:szCs w:val="21"/>
                <w:lang w:val="en-US" w:eastAsia="zh-CN" w:bidi="ar-SA"/>
              </w:rPr>
            </w:pPr>
            <w:r>
              <w:rPr>
                <w:rFonts w:hint="eastAsia" w:ascii="仿宋" w:hAnsi="仿宋" w:eastAsia="仿宋" w:cs="仿宋"/>
                <w:b/>
                <w:bCs/>
                <w:color w:val="auto"/>
                <w:sz w:val="21"/>
                <w:szCs w:val="21"/>
                <w:lang w:val="en-US" w:eastAsia="zh-CN" w:bidi="ar-SA"/>
              </w:rPr>
              <w:t>五</w:t>
            </w:r>
          </w:p>
        </w:tc>
        <w:tc>
          <w:tcPr>
            <w:tcW w:w="8065"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b/>
                <w:bCs/>
                <w:color w:val="auto"/>
                <w:sz w:val="21"/>
                <w:szCs w:val="21"/>
                <w:lang w:val="en-US" w:eastAsia="zh-CN" w:bidi="ar-SA"/>
              </w:rPr>
            </w:pPr>
            <w:r>
              <w:rPr>
                <w:rFonts w:hint="eastAsia" w:ascii="仿宋" w:hAnsi="仿宋" w:eastAsia="仿宋" w:cs="仿宋"/>
                <w:b/>
                <w:bCs/>
                <w:color w:val="auto"/>
                <w:sz w:val="21"/>
                <w:szCs w:val="21"/>
                <w:lang w:val="en-US" w:eastAsia="zh-CN" w:bidi="ar-SA"/>
              </w:rPr>
              <w:t>电源设备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102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1</w:t>
            </w:r>
          </w:p>
        </w:tc>
        <w:tc>
          <w:tcPr>
            <w:tcW w:w="12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远程智能控制器安装调试</w:t>
            </w:r>
          </w:p>
        </w:tc>
        <w:tc>
          <w:tcPr>
            <w:tcW w:w="519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bidi="ar-SA"/>
              </w:rPr>
            </w:pPr>
            <w:r>
              <w:rPr>
                <w:rFonts w:hint="eastAsia" w:ascii="仿宋" w:hAnsi="仿宋" w:eastAsia="仿宋" w:cs="仿宋"/>
                <w:b/>
                <w:bCs/>
                <w:color w:val="auto"/>
                <w:sz w:val="21"/>
                <w:szCs w:val="21"/>
                <w:lang w:val="en-US" w:eastAsia="zh-CN" w:bidi="ar-SA"/>
              </w:rPr>
              <w:t>该设备利旧使用</w:t>
            </w:r>
            <w:r>
              <w:rPr>
                <w:rFonts w:hint="eastAsia" w:ascii="仿宋" w:hAnsi="仿宋" w:eastAsia="仿宋" w:cs="仿宋"/>
                <w:color w:val="auto"/>
                <w:sz w:val="21"/>
                <w:szCs w:val="21"/>
                <w:lang w:val="en-US" w:eastAsia="zh-CN" w:bidi="ar-SA"/>
              </w:rPr>
              <w:t>（利旧设备参数如下），负责利旧设备安装综合布线、设备搬运、设备联调。</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1)最大输出功率：5000W</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2)最大输入电压：(118~300)VAC</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3)对现场不同的电子设备独立供电，最大提供10路独立供电。</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4)通过远程智能控制平台对前端资产（抓拍机，视频监控摄像机，LED情报板，现场工控机，称重仪表等）设备电源状态进行监控，出现异常及时报警给后端管理平台。</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5)检测到前端资产（抓拍机，视频监控摄像机，LED情报板，现场工控机，称重仪表等）设备出现故障。</w:t>
            </w:r>
          </w:p>
        </w:tc>
        <w:tc>
          <w:tcPr>
            <w:tcW w:w="77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台</w:t>
            </w:r>
          </w:p>
        </w:tc>
        <w:tc>
          <w:tcPr>
            <w:tcW w:w="8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2</w:t>
            </w:r>
          </w:p>
        </w:tc>
        <w:tc>
          <w:tcPr>
            <w:tcW w:w="12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远程智能控制系统</w:t>
            </w:r>
          </w:p>
        </w:tc>
        <w:tc>
          <w:tcPr>
            <w:tcW w:w="519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bidi="ar-SA"/>
              </w:rPr>
            </w:pPr>
            <w:r>
              <w:rPr>
                <w:rFonts w:hint="eastAsia" w:ascii="仿宋" w:hAnsi="仿宋" w:eastAsia="仿宋" w:cs="仿宋"/>
                <w:b/>
                <w:bCs/>
                <w:color w:val="auto"/>
                <w:sz w:val="21"/>
                <w:szCs w:val="21"/>
                <w:lang w:val="en-US" w:eastAsia="zh-CN" w:bidi="ar-SA"/>
              </w:rPr>
              <w:t>该设备利旧使用</w:t>
            </w:r>
            <w:r>
              <w:rPr>
                <w:rFonts w:hint="eastAsia" w:ascii="仿宋" w:hAnsi="仿宋" w:eastAsia="仿宋" w:cs="仿宋"/>
                <w:color w:val="auto"/>
                <w:sz w:val="21"/>
                <w:szCs w:val="21"/>
                <w:lang w:val="en-US" w:eastAsia="zh-CN" w:bidi="ar-SA"/>
              </w:rPr>
              <w:t>（利旧设备参数如下），负责利旧设备安装综合布线、设备搬运、设备联调。</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对现场设备状态进行判断</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控制重启现场设备</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远程维护</w:t>
            </w:r>
          </w:p>
        </w:tc>
        <w:tc>
          <w:tcPr>
            <w:tcW w:w="77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套</w:t>
            </w:r>
          </w:p>
        </w:tc>
        <w:tc>
          <w:tcPr>
            <w:tcW w:w="8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jc w:val="center"/>
        </w:trPr>
        <w:tc>
          <w:tcPr>
            <w:tcW w:w="102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3</w:t>
            </w:r>
          </w:p>
        </w:tc>
        <w:tc>
          <w:tcPr>
            <w:tcW w:w="12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UPS电源安装调试</w:t>
            </w:r>
          </w:p>
        </w:tc>
        <w:tc>
          <w:tcPr>
            <w:tcW w:w="519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bidi="ar-SA"/>
              </w:rPr>
            </w:pPr>
            <w:r>
              <w:rPr>
                <w:rFonts w:hint="eastAsia" w:ascii="仿宋" w:hAnsi="仿宋" w:eastAsia="仿宋" w:cs="仿宋"/>
                <w:b/>
                <w:bCs/>
                <w:color w:val="auto"/>
                <w:sz w:val="21"/>
                <w:szCs w:val="21"/>
                <w:lang w:val="en-US" w:eastAsia="zh-CN" w:bidi="ar-SA"/>
              </w:rPr>
              <w:t>该设备利旧使用</w:t>
            </w:r>
            <w:r>
              <w:rPr>
                <w:rFonts w:hint="eastAsia" w:ascii="仿宋" w:hAnsi="仿宋" w:eastAsia="仿宋" w:cs="仿宋"/>
                <w:color w:val="auto"/>
                <w:sz w:val="21"/>
                <w:szCs w:val="21"/>
                <w:lang w:val="en-US" w:eastAsia="zh-CN" w:bidi="ar-SA"/>
              </w:rPr>
              <w:t>（利旧设备参数如下），负责利旧设备安装综合布线、设备搬运、设备联调。</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功率：2000VA</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最大输出功率：1600W</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输入电压：(118~300)VAC</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输入频率：45-65Hz</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输出电压：220VAC±10% 输出频率：市电供时与市电同步，逆变时50Hz±1%</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输出波形：在线时稳压输出正弦波，逆变时输出准方波</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备用时间：满载下不少于15分钟</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电池检测：当电池电压低或电池异常供电时，报警并自动关机</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保护功能：市电陷落保护 市电≤165VAC，市电浪涌保护： 市电≥  275VAC，投入逆变</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市电失真保护：波形失真≤10% 电池过放电保护：低于设定值自动关机保护，市电恢复后自启动</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短路保护：限流输出</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过载保护： 根据超载功率降低输出电压，负载恢复正常后，输出电压自动恢复正常（逆变状态）</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切换时间：≤10ms</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状态指示：各种运行、异常等状态指示</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逆RS-232 通讯智能监控功能：市电异常、断电</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平均无故障工作时间 300000小时</w:t>
            </w:r>
          </w:p>
        </w:tc>
        <w:tc>
          <w:tcPr>
            <w:tcW w:w="77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台</w:t>
            </w:r>
          </w:p>
        </w:tc>
        <w:tc>
          <w:tcPr>
            <w:tcW w:w="8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02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b/>
                <w:bCs/>
                <w:color w:val="auto"/>
                <w:sz w:val="21"/>
                <w:szCs w:val="21"/>
                <w:lang w:val="en-US" w:eastAsia="zh-CN" w:bidi="ar-SA"/>
              </w:rPr>
            </w:pPr>
            <w:r>
              <w:rPr>
                <w:rFonts w:hint="eastAsia" w:ascii="仿宋" w:hAnsi="仿宋" w:eastAsia="仿宋" w:cs="仿宋"/>
                <w:b/>
                <w:bCs/>
                <w:color w:val="auto"/>
                <w:sz w:val="21"/>
                <w:szCs w:val="21"/>
                <w:lang w:val="en-US" w:eastAsia="zh-CN" w:bidi="ar-SA"/>
              </w:rPr>
              <w:t>六</w:t>
            </w:r>
          </w:p>
        </w:tc>
        <w:tc>
          <w:tcPr>
            <w:tcW w:w="8065"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b/>
                <w:bCs/>
                <w:color w:val="auto"/>
                <w:sz w:val="21"/>
                <w:szCs w:val="21"/>
                <w:lang w:val="en-US" w:eastAsia="zh-CN" w:bidi="ar-SA"/>
              </w:rPr>
            </w:pPr>
            <w:r>
              <w:rPr>
                <w:rFonts w:hint="eastAsia" w:ascii="仿宋" w:hAnsi="仿宋" w:eastAsia="仿宋" w:cs="仿宋"/>
                <w:b/>
                <w:bCs/>
                <w:color w:val="auto"/>
                <w:sz w:val="21"/>
                <w:szCs w:val="21"/>
                <w:lang w:val="en-US" w:eastAsia="zh-CN" w:bidi="ar-SA"/>
              </w:rPr>
              <w:t>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02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1</w:t>
            </w:r>
          </w:p>
        </w:tc>
        <w:tc>
          <w:tcPr>
            <w:tcW w:w="12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多图抓拍控制软件</w:t>
            </w:r>
          </w:p>
        </w:tc>
        <w:tc>
          <w:tcPr>
            <w:tcW w:w="519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1）同一车道，车辆单向，双向通行均可称重并自动生成匹配同一辆车不同状态的5张图片。进入全景抓拍一张，称量区域车头抓拍一张，离开称量区域车尾抓拍一张，诱导屏显示状态一张，车侧面车轴一张。通过抓拍图片的不同时间，车辆所处不同位置，形成完整的车辆称量过程图片证据。</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2)对车辆在称量时的行驶状态，同步录取5-10秒的实时视频。形成完整的车辆称量过程，驾驶行为视频证据。</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3)可对车辆跨道、逆行等违法行为抓拍。（投标时提供第三方检测机构（如CAL、ilac-MRA、CNAS等）出具的检测报告复印件加盖投标人公章、用于印证参数。</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4)对抓拍相机图片延时、称重仪表数据延时进行处理，对不同延时图片、重量数据也能正确匹配。</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5）有效区分机动车辆与摩托车，行人等，对机动车辆触发抓拍相机抓拍，对摩托车，行人等不触发相机抓拍。去除与匹配不相干多余图片，减少多图匹配干扰因素，提高多图匹配准确率。重量与车牌信息匹配准确率&gt;98%</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6)计重数据上送接口，提供数据信息包括车辆总重、车辆轴数、轴重、行驶方向、行驶速度、车道号，通过时间等；</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7）处理速度：&lt;3s;</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8）数据库导出:支持。</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9）可以适时显示地感线圈状态。</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bidi="ar-SA"/>
              </w:rPr>
              <w:t>10）软件必须为正版。提供软件著作权登记证书复印件加盖投标人公章。</w:t>
            </w:r>
          </w:p>
        </w:tc>
        <w:tc>
          <w:tcPr>
            <w:tcW w:w="77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套</w:t>
            </w:r>
          </w:p>
        </w:tc>
        <w:tc>
          <w:tcPr>
            <w:tcW w:w="8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2</w:t>
            </w:r>
          </w:p>
        </w:tc>
        <w:tc>
          <w:tcPr>
            <w:tcW w:w="12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动态称重智能管理系统软件</w:t>
            </w:r>
          </w:p>
        </w:tc>
        <w:tc>
          <w:tcPr>
            <w:tcW w:w="519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1）动态称重数据和车辆匹配数据的接收、整合及数据的回传；</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2）超限信息发布与引导管理软件提取超限车辆的车辆信息，将超限信息发布在超限信息发布引导系统的可变情报板上；</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3）历史信息查询：可根据的所有车辆的时间、车牌号、速度、车重、车型、轴距、轴重、车辆图片等信息；</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4）统计分析：</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可按照超限车辆的型号等参数形成相关报表与统计图。图表类型包括：车辆统计图表、超限车辆日统计表、多次超限车辆统计表等；</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5）系统设置：</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包括超限检测站编号设置、超限检测站名称设置、用户权限设置、动态称重超限阈值设置等；</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6）数据上传：</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该功能包含三个方面的数据上传。所有原始车辆信息按一定规则上传至检测站数据库进行存储。</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7）简易客户端：</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提供超限信息大屏电视墙投影显示，两路相关视频直播，及时告知治超管理人员超限信息，以便相关人员快速响应进行处理。日期进行查询，在系统界面上显示当天通过该车道车辆信息。</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8）软件必须为正版。提供软件著作权登记证书复印件加盖投标人公章。</w:t>
            </w:r>
          </w:p>
        </w:tc>
        <w:tc>
          <w:tcPr>
            <w:tcW w:w="77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套</w:t>
            </w:r>
          </w:p>
        </w:tc>
        <w:tc>
          <w:tcPr>
            <w:tcW w:w="8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102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3</w:t>
            </w:r>
          </w:p>
        </w:tc>
        <w:tc>
          <w:tcPr>
            <w:tcW w:w="12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本地平台接入（定制）</w:t>
            </w:r>
          </w:p>
        </w:tc>
        <w:tc>
          <w:tcPr>
            <w:tcW w:w="519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1)无缝接入本地治超管理平台。</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2)采集车辆图片不少于4张，分别为车牌照片、车头照片、车尾照片、车轴照片，车头除车牌照片外其他照片需叠加抓拍时间、检测点、车牌号、轴数、总重、防伪码</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3)超限违法视频能完整反映车辆通过非现场治超监测点的全过程，数据格式须为MP4格式，大小不超过5M，视频须叠加抓拍时间、检测点，叠加格式参考图片文字叠加。</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4）系统采集的其他非总队管理平台接口需要的数据，如轴型、各轴重等，坚持能采必采的原则，并保存相关数据。</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5)系统中的监控、抓拍、称重、信息诱导等子系统，同一检测数据的各电子证据应保持时间的一致性、逻辑性。</w:t>
            </w:r>
          </w:p>
        </w:tc>
        <w:tc>
          <w:tcPr>
            <w:tcW w:w="77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项</w:t>
            </w:r>
          </w:p>
        </w:tc>
        <w:tc>
          <w:tcPr>
            <w:tcW w:w="8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7"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4</w:t>
            </w:r>
          </w:p>
        </w:tc>
        <w:tc>
          <w:tcPr>
            <w:tcW w:w="1250"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上级平台接入（定制）</w:t>
            </w:r>
          </w:p>
        </w:tc>
        <w:tc>
          <w:tcPr>
            <w:tcW w:w="5192"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1）接入重庆市交通运输综合行政执法总队综合服务管理平台，后期接入总队治超联网管理平台，超限案件接入范围</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2）满足相关技术标准且质量检测合格的非现场超限案件数据。</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3）按照总队的相关要求，超限数据的接入统一通过市交通局专网或队属大队网络进行接入。</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4）数据接入通过内网交互数据，保证数据的安全性</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5）对接服务器互开特定的端口进行数据推送。</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6）管理服务平台只接收涉嫌超限的数据以及卡口抓拍数据。</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7）超限数据需要在前端抓拍和检测过程中预先进行自动筛选，符合条件的数据，通过管理服务平台提供的统一接口将数据上传总队。</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8）管理服务平台提供统一的ftp账号,超限系统调用ftp，将图片上传到指定的目录。</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9）为了不影响传输速度，同时不占用存储的空间，不将视频跟随一起传输，而是提供访问服务的方式，在传输超限数据中把视频附件的url地址（内网地址）进行传输。</w:t>
            </w:r>
          </w:p>
        </w:tc>
        <w:tc>
          <w:tcPr>
            <w:tcW w:w="77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项</w:t>
            </w:r>
          </w:p>
        </w:tc>
        <w:tc>
          <w:tcPr>
            <w:tcW w:w="8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02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b/>
                <w:bCs/>
                <w:color w:val="auto"/>
                <w:sz w:val="21"/>
                <w:szCs w:val="21"/>
                <w:lang w:val="en-US" w:eastAsia="zh-CN" w:bidi="ar-SA"/>
              </w:rPr>
            </w:pPr>
            <w:r>
              <w:rPr>
                <w:rFonts w:hint="eastAsia" w:ascii="仿宋" w:hAnsi="仿宋" w:eastAsia="仿宋" w:cs="仿宋"/>
                <w:b/>
                <w:bCs/>
                <w:color w:val="auto"/>
                <w:sz w:val="21"/>
                <w:szCs w:val="21"/>
                <w:lang w:val="en-US" w:eastAsia="zh-CN" w:bidi="ar-SA"/>
              </w:rPr>
              <w:t>七</w:t>
            </w:r>
          </w:p>
        </w:tc>
        <w:tc>
          <w:tcPr>
            <w:tcW w:w="8065"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b/>
                <w:bCs/>
                <w:color w:val="auto"/>
                <w:sz w:val="21"/>
                <w:szCs w:val="21"/>
                <w:lang w:val="en-US" w:eastAsia="zh-CN" w:bidi="ar-SA"/>
              </w:rPr>
            </w:pPr>
            <w:r>
              <w:rPr>
                <w:rFonts w:hint="eastAsia" w:ascii="仿宋" w:hAnsi="仿宋" w:eastAsia="仿宋" w:cs="仿宋"/>
                <w:b/>
                <w:bCs/>
                <w:color w:val="auto"/>
                <w:sz w:val="21"/>
                <w:szCs w:val="21"/>
                <w:lang w:val="en-US" w:eastAsia="zh-CN" w:bidi="ar-SA"/>
              </w:rPr>
              <w:t>路面改造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1</w:t>
            </w:r>
          </w:p>
        </w:tc>
        <w:tc>
          <w:tcPr>
            <w:tcW w:w="12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路面开挖</w:t>
            </w:r>
          </w:p>
        </w:tc>
        <w:tc>
          <w:tcPr>
            <w:tcW w:w="519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长36米，深度0.4米，宽10.5米</w:t>
            </w:r>
          </w:p>
        </w:tc>
        <w:tc>
          <w:tcPr>
            <w:tcW w:w="77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项</w:t>
            </w:r>
          </w:p>
        </w:tc>
        <w:tc>
          <w:tcPr>
            <w:tcW w:w="8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102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2</w:t>
            </w:r>
          </w:p>
        </w:tc>
        <w:tc>
          <w:tcPr>
            <w:tcW w:w="12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除渣</w:t>
            </w:r>
          </w:p>
        </w:tc>
        <w:tc>
          <w:tcPr>
            <w:tcW w:w="519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除渣运输距离按15公里计</w:t>
            </w:r>
          </w:p>
        </w:tc>
        <w:tc>
          <w:tcPr>
            <w:tcW w:w="77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项</w:t>
            </w:r>
          </w:p>
        </w:tc>
        <w:tc>
          <w:tcPr>
            <w:tcW w:w="8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02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3</w:t>
            </w:r>
          </w:p>
        </w:tc>
        <w:tc>
          <w:tcPr>
            <w:tcW w:w="12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混凝土浇筑（C40）</w:t>
            </w:r>
          </w:p>
        </w:tc>
        <w:tc>
          <w:tcPr>
            <w:tcW w:w="519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长36米，深度0.4米，宽10.5米</w:t>
            </w:r>
          </w:p>
        </w:tc>
        <w:tc>
          <w:tcPr>
            <w:tcW w:w="77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m³</w:t>
            </w:r>
          </w:p>
        </w:tc>
        <w:tc>
          <w:tcPr>
            <w:tcW w:w="8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2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4</w:t>
            </w:r>
          </w:p>
        </w:tc>
        <w:tc>
          <w:tcPr>
            <w:tcW w:w="12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钢筋铺设</w:t>
            </w:r>
          </w:p>
        </w:tc>
        <w:tc>
          <w:tcPr>
            <w:tcW w:w="519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铺设路面长36米，深度0.4米，宽10.5米，铺设2层，间距20mm（φ14）</w:t>
            </w:r>
          </w:p>
        </w:tc>
        <w:tc>
          <w:tcPr>
            <w:tcW w:w="77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项</w:t>
            </w:r>
          </w:p>
        </w:tc>
        <w:tc>
          <w:tcPr>
            <w:tcW w:w="8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2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5</w:t>
            </w:r>
          </w:p>
        </w:tc>
        <w:tc>
          <w:tcPr>
            <w:tcW w:w="12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管道预埋</w:t>
            </w:r>
          </w:p>
        </w:tc>
        <w:tc>
          <w:tcPr>
            <w:tcW w:w="519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Φ50厚度8mm钢管4排埋设</w:t>
            </w:r>
          </w:p>
        </w:tc>
        <w:tc>
          <w:tcPr>
            <w:tcW w:w="77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米</w:t>
            </w:r>
          </w:p>
        </w:tc>
        <w:tc>
          <w:tcPr>
            <w:tcW w:w="8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02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6</w:t>
            </w:r>
          </w:p>
        </w:tc>
        <w:tc>
          <w:tcPr>
            <w:tcW w:w="12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线缆井</w:t>
            </w:r>
          </w:p>
        </w:tc>
        <w:tc>
          <w:tcPr>
            <w:tcW w:w="519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600mm*600mm*600mm，含混凝土井盖</w:t>
            </w:r>
          </w:p>
        </w:tc>
        <w:tc>
          <w:tcPr>
            <w:tcW w:w="77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孔</w:t>
            </w:r>
          </w:p>
        </w:tc>
        <w:tc>
          <w:tcPr>
            <w:tcW w:w="8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7"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7</w:t>
            </w:r>
          </w:p>
        </w:tc>
        <w:tc>
          <w:tcPr>
            <w:tcW w:w="1250"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安全文明施工</w:t>
            </w:r>
          </w:p>
        </w:tc>
        <w:tc>
          <w:tcPr>
            <w:tcW w:w="519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蓝白相间水马（1.2米规格）</w:t>
            </w:r>
          </w:p>
        </w:tc>
        <w:tc>
          <w:tcPr>
            <w:tcW w:w="77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个</w:t>
            </w:r>
          </w:p>
        </w:tc>
        <w:tc>
          <w:tcPr>
            <w:tcW w:w="8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7"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1"/>
                <w:szCs w:val="21"/>
                <w:lang w:val="en-US" w:eastAsia="zh-CN" w:bidi="ar-SA"/>
              </w:rPr>
            </w:pPr>
          </w:p>
        </w:tc>
        <w:tc>
          <w:tcPr>
            <w:tcW w:w="125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1"/>
                <w:szCs w:val="21"/>
                <w:lang w:val="en-US" w:eastAsia="zh-CN" w:bidi="ar-SA"/>
              </w:rPr>
            </w:pPr>
          </w:p>
        </w:tc>
        <w:tc>
          <w:tcPr>
            <w:tcW w:w="519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安全警示灯（含支架）每个站点</w:t>
            </w:r>
          </w:p>
        </w:tc>
        <w:tc>
          <w:tcPr>
            <w:tcW w:w="77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个</w:t>
            </w:r>
          </w:p>
        </w:tc>
        <w:tc>
          <w:tcPr>
            <w:tcW w:w="8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7"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1"/>
                <w:szCs w:val="21"/>
                <w:lang w:val="en-US" w:eastAsia="zh-CN" w:bidi="ar-SA"/>
              </w:rPr>
            </w:pPr>
          </w:p>
        </w:tc>
        <w:tc>
          <w:tcPr>
            <w:tcW w:w="125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1"/>
                <w:szCs w:val="21"/>
                <w:lang w:val="en-US" w:eastAsia="zh-CN" w:bidi="ar-SA"/>
              </w:rPr>
            </w:pPr>
          </w:p>
        </w:tc>
        <w:tc>
          <w:tcPr>
            <w:tcW w:w="519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施工标志警示牌每个站点10块（含2米高立柱安装）</w:t>
            </w:r>
          </w:p>
        </w:tc>
        <w:tc>
          <w:tcPr>
            <w:tcW w:w="77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个</w:t>
            </w:r>
          </w:p>
        </w:tc>
        <w:tc>
          <w:tcPr>
            <w:tcW w:w="8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7"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1"/>
                <w:szCs w:val="21"/>
                <w:lang w:val="en-US" w:eastAsia="zh-CN" w:bidi="ar-SA"/>
              </w:rPr>
            </w:pPr>
          </w:p>
        </w:tc>
        <w:tc>
          <w:tcPr>
            <w:tcW w:w="125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1"/>
                <w:szCs w:val="21"/>
                <w:lang w:val="en-US" w:eastAsia="zh-CN" w:bidi="ar-SA"/>
              </w:rPr>
            </w:pPr>
          </w:p>
        </w:tc>
        <w:tc>
          <w:tcPr>
            <w:tcW w:w="519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锥形桶</w:t>
            </w:r>
          </w:p>
        </w:tc>
        <w:tc>
          <w:tcPr>
            <w:tcW w:w="77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个</w:t>
            </w:r>
          </w:p>
        </w:tc>
        <w:tc>
          <w:tcPr>
            <w:tcW w:w="8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02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8</w:t>
            </w:r>
          </w:p>
        </w:tc>
        <w:tc>
          <w:tcPr>
            <w:tcW w:w="12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路面打磨</w:t>
            </w:r>
          </w:p>
        </w:tc>
        <w:tc>
          <w:tcPr>
            <w:tcW w:w="519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路面长36米，宽10.5米，打磨至平整度不超过3毫米。</w:t>
            </w:r>
          </w:p>
        </w:tc>
        <w:tc>
          <w:tcPr>
            <w:tcW w:w="77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项</w:t>
            </w:r>
          </w:p>
        </w:tc>
        <w:tc>
          <w:tcPr>
            <w:tcW w:w="8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02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b/>
                <w:bCs/>
                <w:color w:val="auto"/>
                <w:sz w:val="21"/>
                <w:szCs w:val="21"/>
                <w:lang w:val="en-US" w:eastAsia="zh-CN" w:bidi="ar-SA"/>
              </w:rPr>
            </w:pPr>
            <w:r>
              <w:rPr>
                <w:rFonts w:hint="eastAsia" w:ascii="仿宋" w:hAnsi="仿宋" w:eastAsia="仿宋" w:cs="仿宋"/>
                <w:b/>
                <w:bCs/>
                <w:color w:val="auto"/>
                <w:sz w:val="21"/>
                <w:szCs w:val="21"/>
                <w:lang w:val="en-US" w:eastAsia="zh-CN" w:bidi="ar-SA"/>
              </w:rPr>
              <w:t>八</w:t>
            </w:r>
          </w:p>
        </w:tc>
        <w:tc>
          <w:tcPr>
            <w:tcW w:w="8065"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b/>
                <w:bCs/>
                <w:color w:val="auto"/>
                <w:sz w:val="21"/>
                <w:szCs w:val="21"/>
                <w:lang w:val="en-US" w:eastAsia="zh-CN" w:bidi="ar-SA"/>
              </w:rPr>
            </w:pPr>
            <w:r>
              <w:rPr>
                <w:rFonts w:hint="eastAsia" w:ascii="仿宋" w:hAnsi="仿宋" w:eastAsia="仿宋" w:cs="仿宋"/>
                <w:b/>
                <w:bCs/>
                <w:color w:val="auto"/>
                <w:sz w:val="21"/>
                <w:szCs w:val="21"/>
                <w:lang w:val="en-US" w:eastAsia="zh-CN" w:bidi="ar-SA"/>
              </w:rPr>
              <w:t>标志标牌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102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1</w:t>
            </w:r>
          </w:p>
        </w:tc>
        <w:tc>
          <w:tcPr>
            <w:tcW w:w="12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超限检测提示牌安装</w:t>
            </w:r>
          </w:p>
        </w:tc>
        <w:tc>
          <w:tcPr>
            <w:tcW w:w="519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bidi="ar-SA"/>
              </w:rPr>
            </w:pPr>
            <w:r>
              <w:rPr>
                <w:rFonts w:hint="eastAsia" w:ascii="仿宋" w:hAnsi="仿宋" w:eastAsia="仿宋" w:cs="仿宋"/>
                <w:b/>
                <w:bCs/>
                <w:color w:val="auto"/>
                <w:sz w:val="21"/>
                <w:szCs w:val="21"/>
                <w:lang w:val="en-US" w:eastAsia="zh-CN" w:bidi="ar-SA"/>
              </w:rPr>
              <w:t>该设备利旧使用</w:t>
            </w:r>
            <w:r>
              <w:rPr>
                <w:rFonts w:hint="eastAsia" w:ascii="仿宋" w:hAnsi="仿宋" w:eastAsia="仿宋" w:cs="仿宋"/>
                <w:color w:val="auto"/>
                <w:sz w:val="21"/>
                <w:szCs w:val="21"/>
                <w:lang w:val="en-US" w:eastAsia="zh-CN" w:bidi="ar-SA"/>
              </w:rPr>
              <w:t>（利旧设备参数如下），负责利旧设备安装综合布线、设备搬运、设备联调。</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在200米处设置“前方进入超限动态检测区”</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采用Q235钢材质，热浸锌防腐；主杆高度7500m，口径235mm，厚度8mm；横杆臂2根，长度4500m,；预埋地笼</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板面：采用铝板材质，尺3520*1920mm（长*高），厚度2.0mm，超级反光膜。</w:t>
            </w:r>
          </w:p>
        </w:tc>
        <w:tc>
          <w:tcPr>
            <w:tcW w:w="77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根</w:t>
            </w:r>
          </w:p>
        </w:tc>
        <w:tc>
          <w:tcPr>
            <w:tcW w:w="8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02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2</w:t>
            </w:r>
          </w:p>
        </w:tc>
        <w:tc>
          <w:tcPr>
            <w:tcW w:w="12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限高标志牌安装</w:t>
            </w:r>
          </w:p>
        </w:tc>
        <w:tc>
          <w:tcPr>
            <w:tcW w:w="519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仿宋" w:hAnsi="仿宋" w:eastAsia="仿宋" w:cs="仿宋"/>
                <w:color w:val="auto"/>
                <w:sz w:val="21"/>
                <w:szCs w:val="21"/>
                <w:lang w:val="en-US" w:eastAsia="zh-CN" w:bidi="ar-SA"/>
              </w:rPr>
            </w:pPr>
            <w:r>
              <w:rPr>
                <w:rFonts w:hint="eastAsia" w:ascii="仿宋" w:hAnsi="仿宋" w:eastAsia="仿宋" w:cs="仿宋"/>
                <w:b/>
                <w:bCs/>
                <w:color w:val="auto"/>
                <w:sz w:val="21"/>
                <w:szCs w:val="21"/>
                <w:lang w:val="en-US" w:eastAsia="zh-CN" w:bidi="ar-SA"/>
              </w:rPr>
              <w:t>该设备利旧使用</w:t>
            </w:r>
            <w:r>
              <w:rPr>
                <w:rFonts w:hint="eastAsia" w:ascii="仿宋" w:hAnsi="仿宋" w:eastAsia="仿宋" w:cs="仿宋"/>
                <w:color w:val="auto"/>
                <w:sz w:val="21"/>
                <w:szCs w:val="21"/>
                <w:lang w:val="en-US" w:eastAsia="zh-CN" w:bidi="ar-SA"/>
              </w:rPr>
              <w:t>（利旧设备参数如下），负责利旧设备安装综合布线、设备搬运、设备联调。</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提示牌直径600mm</w:t>
            </w:r>
          </w:p>
        </w:tc>
        <w:tc>
          <w:tcPr>
            <w:tcW w:w="77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块</w:t>
            </w:r>
          </w:p>
        </w:tc>
        <w:tc>
          <w:tcPr>
            <w:tcW w:w="8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02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3</w:t>
            </w:r>
          </w:p>
        </w:tc>
        <w:tc>
          <w:tcPr>
            <w:tcW w:w="12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超限动态检测区提示牌安装</w:t>
            </w:r>
          </w:p>
        </w:tc>
        <w:tc>
          <w:tcPr>
            <w:tcW w:w="519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仿宋" w:hAnsi="仿宋" w:eastAsia="仿宋" w:cs="仿宋"/>
                <w:color w:val="auto"/>
                <w:sz w:val="21"/>
                <w:szCs w:val="21"/>
                <w:lang w:val="en-US" w:eastAsia="zh-CN" w:bidi="ar-SA"/>
              </w:rPr>
            </w:pPr>
            <w:r>
              <w:rPr>
                <w:rFonts w:hint="eastAsia" w:ascii="仿宋" w:hAnsi="仿宋" w:eastAsia="仿宋" w:cs="仿宋"/>
                <w:b/>
                <w:bCs/>
                <w:color w:val="auto"/>
                <w:sz w:val="21"/>
                <w:szCs w:val="21"/>
                <w:lang w:val="en-US" w:eastAsia="zh-CN" w:bidi="ar-SA"/>
              </w:rPr>
              <w:t>该设备利旧使用</w:t>
            </w:r>
            <w:r>
              <w:rPr>
                <w:rFonts w:hint="eastAsia" w:ascii="仿宋" w:hAnsi="仿宋" w:eastAsia="仿宋" w:cs="仿宋"/>
                <w:color w:val="auto"/>
                <w:sz w:val="21"/>
                <w:szCs w:val="21"/>
                <w:lang w:val="en-US" w:eastAsia="zh-CN" w:bidi="ar-SA"/>
              </w:rPr>
              <w:t>（利旧设备参数如下），负责利旧设备安装综合布线、设备搬运、设备联调。</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800mm*1600mm含镀锌钢管</w:t>
            </w:r>
          </w:p>
        </w:tc>
        <w:tc>
          <w:tcPr>
            <w:tcW w:w="77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块</w:t>
            </w:r>
          </w:p>
        </w:tc>
        <w:tc>
          <w:tcPr>
            <w:tcW w:w="8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02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4</w:t>
            </w:r>
          </w:p>
        </w:tc>
        <w:tc>
          <w:tcPr>
            <w:tcW w:w="12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匀速行驶提示牌安装</w:t>
            </w:r>
          </w:p>
        </w:tc>
        <w:tc>
          <w:tcPr>
            <w:tcW w:w="519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仿宋" w:hAnsi="仿宋" w:eastAsia="仿宋" w:cs="仿宋"/>
                <w:color w:val="auto"/>
                <w:sz w:val="21"/>
                <w:szCs w:val="21"/>
                <w:lang w:val="en-US" w:eastAsia="zh-CN" w:bidi="ar-SA"/>
              </w:rPr>
            </w:pPr>
            <w:r>
              <w:rPr>
                <w:rFonts w:hint="eastAsia" w:ascii="仿宋" w:hAnsi="仿宋" w:eastAsia="仿宋" w:cs="仿宋"/>
                <w:b/>
                <w:bCs/>
                <w:color w:val="auto"/>
                <w:sz w:val="21"/>
                <w:szCs w:val="21"/>
                <w:lang w:val="en-US" w:eastAsia="zh-CN" w:bidi="ar-SA"/>
              </w:rPr>
              <w:t>该设备利旧使用</w:t>
            </w:r>
            <w:r>
              <w:rPr>
                <w:rFonts w:hint="eastAsia" w:ascii="仿宋" w:hAnsi="仿宋" w:eastAsia="仿宋" w:cs="仿宋"/>
                <w:color w:val="auto"/>
                <w:sz w:val="21"/>
                <w:szCs w:val="21"/>
                <w:lang w:val="en-US" w:eastAsia="zh-CN" w:bidi="ar-SA"/>
              </w:rPr>
              <w:t>（利旧设备参数如下），负责利旧设备安装综合布线、设备搬运、设备联调。</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800mm*1600mm含镀锌钢管</w:t>
            </w:r>
          </w:p>
        </w:tc>
        <w:tc>
          <w:tcPr>
            <w:tcW w:w="77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块</w:t>
            </w:r>
          </w:p>
        </w:tc>
        <w:tc>
          <w:tcPr>
            <w:tcW w:w="8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02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5</w:t>
            </w:r>
          </w:p>
        </w:tc>
        <w:tc>
          <w:tcPr>
            <w:tcW w:w="12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禁止变道车提示牌安装</w:t>
            </w:r>
          </w:p>
        </w:tc>
        <w:tc>
          <w:tcPr>
            <w:tcW w:w="519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仿宋" w:hAnsi="仿宋" w:eastAsia="仿宋" w:cs="仿宋"/>
                <w:color w:val="auto"/>
                <w:sz w:val="21"/>
                <w:szCs w:val="21"/>
                <w:lang w:val="en-US" w:eastAsia="zh-CN" w:bidi="ar-SA"/>
              </w:rPr>
            </w:pPr>
            <w:r>
              <w:rPr>
                <w:rFonts w:hint="eastAsia" w:ascii="仿宋" w:hAnsi="仿宋" w:eastAsia="仿宋" w:cs="仿宋"/>
                <w:b/>
                <w:bCs/>
                <w:color w:val="auto"/>
                <w:sz w:val="21"/>
                <w:szCs w:val="21"/>
                <w:lang w:val="en-US" w:eastAsia="zh-CN" w:bidi="ar-SA"/>
              </w:rPr>
              <w:t>该设备利旧使用</w:t>
            </w:r>
            <w:r>
              <w:rPr>
                <w:rFonts w:hint="eastAsia" w:ascii="仿宋" w:hAnsi="仿宋" w:eastAsia="仿宋" w:cs="仿宋"/>
                <w:color w:val="auto"/>
                <w:sz w:val="21"/>
                <w:szCs w:val="21"/>
                <w:lang w:val="en-US" w:eastAsia="zh-CN" w:bidi="ar-SA"/>
              </w:rPr>
              <w:t>（利旧设备参数如下），负责利旧设备安装综合布线、设备搬运、设备联调。</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提示牌直径800mm含镀锌钢管</w:t>
            </w:r>
          </w:p>
        </w:tc>
        <w:tc>
          <w:tcPr>
            <w:tcW w:w="77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块</w:t>
            </w:r>
          </w:p>
        </w:tc>
        <w:tc>
          <w:tcPr>
            <w:tcW w:w="8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02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6</w:t>
            </w:r>
          </w:p>
        </w:tc>
        <w:tc>
          <w:tcPr>
            <w:tcW w:w="12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限速提示牌安装</w:t>
            </w:r>
          </w:p>
        </w:tc>
        <w:tc>
          <w:tcPr>
            <w:tcW w:w="519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仿宋" w:hAnsi="仿宋" w:eastAsia="仿宋" w:cs="仿宋"/>
                <w:color w:val="auto"/>
                <w:sz w:val="21"/>
                <w:szCs w:val="21"/>
                <w:lang w:val="en-US" w:eastAsia="zh-CN" w:bidi="ar-SA"/>
              </w:rPr>
            </w:pPr>
            <w:r>
              <w:rPr>
                <w:rFonts w:hint="eastAsia" w:ascii="仿宋" w:hAnsi="仿宋" w:eastAsia="仿宋" w:cs="仿宋"/>
                <w:b/>
                <w:bCs/>
                <w:color w:val="auto"/>
                <w:sz w:val="21"/>
                <w:szCs w:val="21"/>
                <w:lang w:val="en-US" w:eastAsia="zh-CN" w:bidi="ar-SA"/>
              </w:rPr>
              <w:t>该设备利旧使用</w:t>
            </w:r>
            <w:r>
              <w:rPr>
                <w:rFonts w:hint="eastAsia" w:ascii="仿宋" w:hAnsi="仿宋" w:eastAsia="仿宋" w:cs="仿宋"/>
                <w:color w:val="auto"/>
                <w:sz w:val="21"/>
                <w:szCs w:val="21"/>
                <w:lang w:val="en-US" w:eastAsia="zh-CN" w:bidi="ar-SA"/>
              </w:rPr>
              <w:t>（利旧设备参数如下），负责利旧设备安装综合布线、设备搬运、设备联调。</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800mm*1600mm含镀锌钢管</w:t>
            </w:r>
          </w:p>
        </w:tc>
        <w:tc>
          <w:tcPr>
            <w:tcW w:w="77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块</w:t>
            </w:r>
          </w:p>
        </w:tc>
        <w:tc>
          <w:tcPr>
            <w:tcW w:w="8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02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7</w:t>
            </w:r>
          </w:p>
        </w:tc>
        <w:tc>
          <w:tcPr>
            <w:tcW w:w="12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路面标线</w:t>
            </w:r>
          </w:p>
        </w:tc>
        <w:tc>
          <w:tcPr>
            <w:tcW w:w="519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白实线106米，标线宽150mm</w:t>
            </w:r>
          </w:p>
        </w:tc>
        <w:tc>
          <w:tcPr>
            <w:tcW w:w="77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w:t>
            </w:r>
          </w:p>
        </w:tc>
        <w:tc>
          <w:tcPr>
            <w:tcW w:w="8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02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b/>
                <w:bCs/>
                <w:color w:val="auto"/>
                <w:sz w:val="21"/>
                <w:szCs w:val="21"/>
                <w:lang w:val="en-US" w:eastAsia="zh-CN" w:bidi="ar-SA"/>
              </w:rPr>
            </w:pPr>
            <w:r>
              <w:rPr>
                <w:rFonts w:hint="eastAsia" w:ascii="仿宋" w:hAnsi="仿宋" w:eastAsia="仿宋" w:cs="仿宋"/>
                <w:b/>
                <w:bCs/>
                <w:color w:val="auto"/>
                <w:sz w:val="21"/>
                <w:szCs w:val="21"/>
                <w:lang w:val="en-US" w:eastAsia="zh-CN" w:bidi="ar-SA"/>
              </w:rPr>
              <w:t>九</w:t>
            </w:r>
          </w:p>
        </w:tc>
        <w:tc>
          <w:tcPr>
            <w:tcW w:w="8065"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b/>
                <w:bCs/>
                <w:color w:val="auto"/>
                <w:sz w:val="21"/>
                <w:szCs w:val="21"/>
                <w:lang w:val="en-US" w:eastAsia="zh-CN" w:bidi="ar-SA"/>
              </w:rPr>
            </w:pPr>
            <w:r>
              <w:rPr>
                <w:rFonts w:hint="eastAsia" w:ascii="仿宋" w:hAnsi="仿宋" w:eastAsia="仿宋" w:cs="仿宋"/>
                <w:b/>
                <w:bCs/>
                <w:color w:val="auto"/>
                <w:sz w:val="21"/>
                <w:szCs w:val="21"/>
                <w:lang w:val="en-US" w:eastAsia="zh-CN" w:bidi="ar-SA"/>
              </w:rPr>
              <w:t>线缆沟开挖、埋设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102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1</w:t>
            </w:r>
          </w:p>
        </w:tc>
        <w:tc>
          <w:tcPr>
            <w:tcW w:w="12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电缆沟开挖</w:t>
            </w:r>
          </w:p>
        </w:tc>
        <w:tc>
          <w:tcPr>
            <w:tcW w:w="519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开挖尺寸上口宽600mm,下口宽400mm,深700mm</w:t>
            </w:r>
          </w:p>
        </w:tc>
        <w:tc>
          <w:tcPr>
            <w:tcW w:w="77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米</w:t>
            </w:r>
          </w:p>
        </w:tc>
        <w:tc>
          <w:tcPr>
            <w:tcW w:w="8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02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2</w:t>
            </w:r>
          </w:p>
        </w:tc>
        <w:tc>
          <w:tcPr>
            <w:tcW w:w="12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电缆</w:t>
            </w:r>
          </w:p>
        </w:tc>
        <w:tc>
          <w:tcPr>
            <w:tcW w:w="519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RJV3*10铜电缆</w:t>
            </w:r>
          </w:p>
        </w:tc>
        <w:tc>
          <w:tcPr>
            <w:tcW w:w="77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米</w:t>
            </w:r>
          </w:p>
        </w:tc>
        <w:tc>
          <w:tcPr>
            <w:tcW w:w="8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02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3</w:t>
            </w:r>
          </w:p>
        </w:tc>
        <w:tc>
          <w:tcPr>
            <w:tcW w:w="12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PE管</w:t>
            </w:r>
          </w:p>
        </w:tc>
        <w:tc>
          <w:tcPr>
            <w:tcW w:w="519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Φ32</w:t>
            </w:r>
          </w:p>
        </w:tc>
        <w:tc>
          <w:tcPr>
            <w:tcW w:w="77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米</w:t>
            </w:r>
          </w:p>
        </w:tc>
        <w:tc>
          <w:tcPr>
            <w:tcW w:w="8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02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4</w:t>
            </w:r>
          </w:p>
        </w:tc>
        <w:tc>
          <w:tcPr>
            <w:tcW w:w="12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电缆敷设</w:t>
            </w:r>
          </w:p>
        </w:tc>
        <w:tc>
          <w:tcPr>
            <w:tcW w:w="519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电缆包封、电缆敷设、回填恢复原状</w:t>
            </w:r>
          </w:p>
        </w:tc>
        <w:tc>
          <w:tcPr>
            <w:tcW w:w="77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米</w:t>
            </w:r>
          </w:p>
        </w:tc>
        <w:tc>
          <w:tcPr>
            <w:tcW w:w="8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02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b/>
                <w:bCs/>
                <w:color w:val="auto"/>
                <w:sz w:val="21"/>
                <w:szCs w:val="21"/>
                <w:lang w:val="en-US" w:eastAsia="zh-CN" w:bidi="ar-SA"/>
              </w:rPr>
            </w:pPr>
            <w:r>
              <w:rPr>
                <w:rFonts w:hint="eastAsia" w:ascii="仿宋" w:hAnsi="仿宋" w:eastAsia="仿宋" w:cs="仿宋"/>
                <w:b/>
                <w:bCs/>
                <w:color w:val="auto"/>
                <w:sz w:val="21"/>
                <w:szCs w:val="21"/>
                <w:lang w:val="en-US" w:eastAsia="zh-CN"/>
              </w:rPr>
              <w:t>十</w:t>
            </w:r>
          </w:p>
        </w:tc>
        <w:tc>
          <w:tcPr>
            <w:tcW w:w="6442"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1"/>
                <w:szCs w:val="21"/>
              </w:rPr>
            </w:pPr>
            <w:r>
              <w:rPr>
                <w:rFonts w:hint="eastAsia" w:ascii="仿宋" w:hAnsi="仿宋" w:eastAsia="仿宋" w:cs="仿宋"/>
                <w:b/>
                <w:bCs/>
                <w:color w:val="auto"/>
                <w:sz w:val="21"/>
                <w:szCs w:val="21"/>
                <w:lang w:val="en-US" w:eastAsia="zh-CN"/>
              </w:rPr>
              <w:t>利旧设备调运安装调试</w:t>
            </w:r>
          </w:p>
        </w:tc>
        <w:tc>
          <w:tcPr>
            <w:tcW w:w="77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1"/>
                <w:szCs w:val="21"/>
                <w:lang w:val="en-US" w:eastAsia="zh-CN" w:bidi="ar-SA"/>
              </w:rPr>
            </w:pPr>
          </w:p>
        </w:tc>
        <w:tc>
          <w:tcPr>
            <w:tcW w:w="8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2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1</w:t>
            </w:r>
          </w:p>
        </w:tc>
        <w:tc>
          <w:tcPr>
            <w:tcW w:w="12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数据采集器安装调试</w:t>
            </w:r>
          </w:p>
        </w:tc>
        <w:tc>
          <w:tcPr>
            <w:tcW w:w="519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1"/>
                <w:szCs w:val="21"/>
              </w:rPr>
            </w:pPr>
            <w:r>
              <w:rPr>
                <w:rFonts w:hint="eastAsia" w:ascii="仿宋" w:hAnsi="仿宋" w:eastAsia="仿宋" w:cs="仿宋"/>
                <w:b/>
                <w:bCs/>
                <w:color w:val="auto"/>
                <w:sz w:val="21"/>
                <w:szCs w:val="21"/>
              </w:rPr>
              <w:t>该设备利旧使用</w:t>
            </w:r>
            <w:r>
              <w:rPr>
                <w:rFonts w:hint="eastAsia" w:ascii="仿宋" w:hAnsi="仿宋" w:eastAsia="仿宋" w:cs="仿宋"/>
                <w:b w:val="0"/>
                <w:bCs w:val="0"/>
                <w:color w:val="auto"/>
                <w:sz w:val="21"/>
                <w:szCs w:val="21"/>
              </w:rPr>
              <w:t>（利旧设备参数如下），负责利旧设备安装综合布线、设备搬运、设备联调。</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1.数据采集器：</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1)模拟输入范围：±5V，±10V</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2)逻辑电平输入范围：5～24V</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3)供电电压： 24V DC</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4)采样率：10kHz</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5)采样分辨率：16bit</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6)通讯接口：UART,Ethernet(10/100M自适应)</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7)传感器灵敏度：可设置</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8)电荷放大器灵敏度：可设置</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9)安全：全部逻辑输入/输出采用500V耐压等级光电隔离</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10）支持12路及以上石英称重传感器的接入；</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11）工作温度范围-40--﹢85°C；</w:t>
            </w:r>
          </w:p>
        </w:tc>
        <w:tc>
          <w:tcPr>
            <w:tcW w:w="77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套</w:t>
            </w:r>
          </w:p>
        </w:tc>
        <w:tc>
          <w:tcPr>
            <w:tcW w:w="8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2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2</w:t>
            </w:r>
          </w:p>
        </w:tc>
        <w:tc>
          <w:tcPr>
            <w:tcW w:w="12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称重仪表安装调试</w:t>
            </w:r>
          </w:p>
        </w:tc>
        <w:tc>
          <w:tcPr>
            <w:tcW w:w="519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1"/>
                <w:szCs w:val="21"/>
              </w:rPr>
            </w:pPr>
            <w:r>
              <w:rPr>
                <w:rFonts w:hint="eastAsia" w:ascii="仿宋" w:hAnsi="仿宋" w:eastAsia="仿宋" w:cs="仿宋"/>
                <w:b/>
                <w:bCs/>
                <w:color w:val="auto"/>
                <w:sz w:val="21"/>
                <w:szCs w:val="21"/>
              </w:rPr>
              <w:t>该设备利旧使用</w:t>
            </w:r>
            <w:r>
              <w:rPr>
                <w:rFonts w:hint="eastAsia" w:ascii="仿宋" w:hAnsi="仿宋" w:eastAsia="仿宋" w:cs="仿宋"/>
                <w:b w:val="0"/>
                <w:bCs w:val="0"/>
                <w:color w:val="auto"/>
                <w:sz w:val="21"/>
                <w:szCs w:val="21"/>
              </w:rPr>
              <w:t>（利旧设备参数如下），负责利旧设备安装综合布线、设备搬运、设备联调。</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实现正、逆两个方向，跨道，逆向跨道数据测试。称重控制器采用高可靠性的嵌入式系统和信号采集卡组成，整个装在控制盒内。用于处理来自于传感器、车辆分离器等的信号和数据，计算出通过车辆的轴重、总重等，并把相关数据发送给中央服务器。</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1)工业级嵌入式计算机；</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2)≥7″TFT液晶显示屏；</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3)通过串口、以太网发送测量结果，接受命令；</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4)全铝合金外壳，无风扇设计；</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5）工作电压：+12VDC；</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6）工作温度：-20℃～+70℃</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7)适用速度范围：0.5～100km/h；</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8)相对湿度：0～95%RH；</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9)电源电压：AC 220±20%V；</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10)额定电流：0.3A；</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11)额定功率：≤100W；</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12)频率：50Hz±2Hz；</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13)系统采用模块化的称重数据处理技术、实现自动检测通过称重区域的货运车辆的时间、轴数、速度、单轴、轴重、车货总重、轴距等信息。</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14)通信接口：标准的RS-232串口；网口；</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15)通信速率：9600bps；</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16)具备数据自动缓存功能，能够保存一定数量的数据，当向计算机发送数据失败时，能重发数据，保持数据的唯一性和完整性。</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17)具有自诊断功能，发生故障时能够通过信息接口向外部发出故障信息。</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18)符合动态汽车衡的称重仪表的标准规范。</w:t>
            </w:r>
          </w:p>
        </w:tc>
        <w:tc>
          <w:tcPr>
            <w:tcW w:w="77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套</w:t>
            </w:r>
          </w:p>
        </w:tc>
        <w:tc>
          <w:tcPr>
            <w:tcW w:w="8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2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3</w:t>
            </w:r>
          </w:p>
        </w:tc>
        <w:tc>
          <w:tcPr>
            <w:tcW w:w="12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野外机柜安装调试</w:t>
            </w:r>
          </w:p>
        </w:tc>
        <w:tc>
          <w:tcPr>
            <w:tcW w:w="519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1"/>
                <w:szCs w:val="21"/>
              </w:rPr>
            </w:pPr>
            <w:r>
              <w:rPr>
                <w:rFonts w:hint="eastAsia" w:ascii="仿宋" w:hAnsi="仿宋" w:eastAsia="仿宋" w:cs="仿宋"/>
                <w:b/>
                <w:bCs/>
                <w:color w:val="auto"/>
                <w:sz w:val="21"/>
                <w:szCs w:val="21"/>
              </w:rPr>
              <w:t>该设备利旧使用</w:t>
            </w:r>
            <w:r>
              <w:rPr>
                <w:rFonts w:hint="eastAsia" w:ascii="仿宋" w:hAnsi="仿宋" w:eastAsia="仿宋" w:cs="仿宋"/>
                <w:b w:val="0"/>
                <w:bCs w:val="0"/>
                <w:color w:val="auto"/>
                <w:sz w:val="21"/>
                <w:szCs w:val="21"/>
              </w:rPr>
              <w:t>（利旧设备参数如下），负责利旧设备安装综合布线、设备搬运、设备联调。</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1.数据控制柜</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1）数据控制柜主要放置数据采集器、电荷放大器、称重仪表、轨迹检测控制器、信号接口单元、电源单元、防雷模块等。</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数据控制柜采用1.5mm以上不锈钢板制造，表面采用喷塑处理，不生锈、不褪色，门锁采用防盗锁，门缝采取包边防护，整个机箱应具有防水、防尘能力，应有相应措施使机柜内部始终维护在适当的温度范围内。</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2）数据控制柜须满足如下技术指标要求：</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使用环境温度：-40℃～+80℃，相对湿度≤95%。</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防护等级：IP65；</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3）具有防雷、抗浪涌冲击装置；</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4）内置温控器和轴流风机，调节机柜内的温度；</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5）MTBF≥30000h</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6）使用寿命：10年以上。</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2.工控机，硬盘录像机机柜</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1)深度:600/800mm；高1200/1400mm</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2)材料:冷轧钢板,合金型材；</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3)框架:采用2.0mm厚度强化钢材,承重≥700kg,其他部分1.5mm；</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4)工艺:清洗处理、磷化防腐处理、按国标IP23级静电喷涂处理；</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落地安装,全钢门；</w:t>
            </w:r>
          </w:p>
        </w:tc>
        <w:tc>
          <w:tcPr>
            <w:tcW w:w="77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台</w:t>
            </w:r>
          </w:p>
        </w:tc>
        <w:tc>
          <w:tcPr>
            <w:tcW w:w="8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2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4</w:t>
            </w:r>
          </w:p>
        </w:tc>
        <w:tc>
          <w:tcPr>
            <w:tcW w:w="12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电荷放大器安装调试</w:t>
            </w:r>
          </w:p>
        </w:tc>
        <w:tc>
          <w:tcPr>
            <w:tcW w:w="519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rPr>
            </w:pPr>
            <w:r>
              <w:rPr>
                <w:rFonts w:hint="eastAsia" w:ascii="仿宋" w:hAnsi="仿宋" w:eastAsia="仿宋" w:cs="仿宋"/>
                <w:b/>
                <w:bCs/>
                <w:color w:val="auto"/>
                <w:sz w:val="21"/>
                <w:szCs w:val="21"/>
              </w:rPr>
              <w:t>该设备利旧使用</w:t>
            </w:r>
            <w:r>
              <w:rPr>
                <w:rFonts w:hint="eastAsia" w:ascii="仿宋" w:hAnsi="仿宋" w:eastAsia="仿宋" w:cs="仿宋"/>
                <w:color w:val="auto"/>
                <w:sz w:val="21"/>
                <w:szCs w:val="21"/>
              </w:rPr>
              <w:t>（利旧设备参数如下），负责利旧设备安装综合布线、设备搬运、设备联调。</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1</w:t>
            </w:r>
            <w:r>
              <w:rPr>
                <w:rFonts w:hint="eastAsia" w:ascii="仿宋" w:hAnsi="仿宋" w:eastAsia="仿宋" w:cs="仿宋"/>
                <w:color w:val="auto"/>
                <w:sz w:val="21"/>
                <w:szCs w:val="21"/>
              </w:rPr>
              <w:t>)石英称重传感器产生的电荷非常微弱，不能直接采用，电荷放大器是整个测量链中非常关键的一个元器件。电荷放大器的稳定以及良好的信号处理能力，将是整个数据处理精度情况好坏的关键。</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2)测量范围（轮载荷测量）：±50000（±600）</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3)供电电压（直流电压）：18～30 VDC</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4)功耗（4通道）：&lt;20 mA</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 xml:space="preserve">5)输出电压：0～±5 V </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6)输出电流：0～±1 mA</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7)输出阻抗：10 Ω</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8)工作温度范围：-20～+60℃</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9)防护等级（EN60529）：IP65</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10)信号输入接头：自锁式电缆密封套。</w:t>
            </w:r>
          </w:p>
        </w:tc>
        <w:tc>
          <w:tcPr>
            <w:tcW w:w="77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台</w:t>
            </w:r>
          </w:p>
        </w:tc>
        <w:tc>
          <w:tcPr>
            <w:tcW w:w="8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2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5</w:t>
            </w:r>
          </w:p>
        </w:tc>
        <w:tc>
          <w:tcPr>
            <w:tcW w:w="12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车牌识别抓拍摄像机（车轴、车尾抓拍）安装调试</w:t>
            </w:r>
          </w:p>
        </w:tc>
        <w:tc>
          <w:tcPr>
            <w:tcW w:w="519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b w:val="0"/>
                <w:bCs w:val="0"/>
                <w:color w:val="auto"/>
                <w:sz w:val="21"/>
                <w:szCs w:val="21"/>
              </w:rPr>
            </w:pPr>
            <w:r>
              <w:rPr>
                <w:rFonts w:hint="eastAsia" w:ascii="仿宋" w:hAnsi="仿宋" w:eastAsia="仿宋" w:cs="仿宋"/>
                <w:b/>
                <w:bCs/>
                <w:color w:val="auto"/>
                <w:sz w:val="21"/>
                <w:szCs w:val="21"/>
              </w:rPr>
              <w:t>该设备利旧使用</w:t>
            </w:r>
            <w:r>
              <w:rPr>
                <w:rFonts w:hint="eastAsia" w:ascii="仿宋" w:hAnsi="仿宋" w:eastAsia="仿宋" w:cs="仿宋"/>
                <w:b w:val="0"/>
                <w:bCs w:val="0"/>
                <w:color w:val="auto"/>
                <w:sz w:val="21"/>
                <w:szCs w:val="21"/>
              </w:rPr>
              <w:t>（利旧设备参数如下），负责利旧设备安装综合布线、设备搬运、设备联调。</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1）采用一体化设计，含智能摄像机、综合控制模块等；</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2）有效像素：500万;</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3）图像传感器：采用2/3英寸全局曝光CMOS传感器；</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4）视频编码格式：H.265、H.264、M-JPEG、MPEG4；</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5）图片编码格式：JPEG</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6）通信接口：3个RS-485接口,1个RS-232接口,2个RJ45 10M/100M/1000M自适应以太网口；</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7）支持根据现场违章抓拍需求通过web界面设置事件优先度，事件优先度1～16可设，设置后可按事件优先度进行违章抓拍及图片存储；</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8）支持识别车标类型≥450种；在天气晴朗无雾，车辆无遮挡，白天环境光照度不低于200lx，夜晚辅助光照度不高于30lx的情况下进行测试；白天车标识别准确率≥99%；晚上车标识别准确率≥99%。</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9）本地存储：具备本地存储、自动加密、自动覆盖、自动上传、断网续传；</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10）视频接入标准：GB/T28181；</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11）工作温度：-20℃-70℃；</w:t>
            </w:r>
          </w:p>
        </w:tc>
        <w:tc>
          <w:tcPr>
            <w:tcW w:w="77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台</w:t>
            </w:r>
          </w:p>
        </w:tc>
        <w:tc>
          <w:tcPr>
            <w:tcW w:w="8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2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6</w:t>
            </w:r>
          </w:p>
        </w:tc>
        <w:tc>
          <w:tcPr>
            <w:tcW w:w="12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车牌识别抓拍摄像机（车头全景抓拍）安装调试</w:t>
            </w:r>
          </w:p>
        </w:tc>
        <w:tc>
          <w:tcPr>
            <w:tcW w:w="519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rPr>
            </w:pPr>
            <w:r>
              <w:rPr>
                <w:rFonts w:hint="eastAsia" w:ascii="仿宋" w:hAnsi="仿宋" w:eastAsia="仿宋" w:cs="仿宋"/>
                <w:b/>
                <w:bCs/>
                <w:color w:val="auto"/>
                <w:sz w:val="21"/>
                <w:szCs w:val="21"/>
              </w:rPr>
              <w:t>该设备利旧使用</w:t>
            </w:r>
            <w:r>
              <w:rPr>
                <w:rFonts w:hint="eastAsia" w:ascii="仿宋" w:hAnsi="仿宋" w:eastAsia="仿宋" w:cs="仿宋"/>
                <w:color w:val="auto"/>
                <w:sz w:val="21"/>
                <w:szCs w:val="21"/>
              </w:rPr>
              <w:t>（利旧设备参数如下），负责利旧设备安装综合布线、设备搬运、设备联调。</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1、采用一体化设计，含智能摄像机、综合控制模块等；</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2、有效像素：900万;</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3、图像传感器：采用1英寸GMOS；</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4、视频编码格式：H.265、H.264、M-JPEG、MPEG4；</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5、图片编码格式：JPEG</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6、通信接口：3个RS-485接口,1个RS-232接口；2个RJ45 10M/100M/1000M自适应以太网口；</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eastAsia="zh-CN"/>
              </w:rPr>
            </w:pPr>
            <w:r>
              <w:rPr>
                <w:rFonts w:hint="eastAsia" w:ascii="仿宋" w:hAnsi="仿宋" w:eastAsia="仿宋" w:cs="仿宋"/>
                <w:color w:val="auto"/>
                <w:sz w:val="21"/>
                <w:szCs w:val="21"/>
              </w:rPr>
              <w:t>7、支持根据现场违章抓拍需求通过web界面设置事件优先度，事件优先度1～16可设，设置后可按事件优先度进行违章抓拍及图片存储</w:t>
            </w:r>
            <w:r>
              <w:rPr>
                <w:rFonts w:hint="eastAsia" w:ascii="仿宋" w:hAnsi="仿宋" w:eastAsia="仿宋" w:cs="仿宋"/>
                <w:color w:val="auto"/>
                <w:sz w:val="21"/>
                <w:szCs w:val="21"/>
                <w:lang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8、智能算法：内置车牌识别（含新能源）、车型识别、车身颜色、车辆子品牌、压线、逆行、开车打电话、不系安全带、前排驾驶员人脸抠图等检多种违章检测算法，实现违章抓拍；</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9、支持识别车标类型≥450种；在天气晴朗无雾，车辆无遮挡，白天环境光照度不低于200lx，夜晚辅助光照度不高于30lx的情况下进行测试；白天车标识别准确率≥99%；晚上车标识别准确率≥99%。</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10、本地存储：具备本地存储、自动加密、自动覆盖、自动上传、断网续传；</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11、视频接入标准：GB/T28181；</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12、工作温度：-20℃-70℃；</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13、工作湿度：5%~95%@40℃（无凝结）；</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14、电源：AC220V；</w:t>
            </w:r>
          </w:p>
        </w:tc>
        <w:tc>
          <w:tcPr>
            <w:tcW w:w="77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台</w:t>
            </w:r>
          </w:p>
        </w:tc>
        <w:tc>
          <w:tcPr>
            <w:tcW w:w="8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2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7</w:t>
            </w:r>
          </w:p>
        </w:tc>
        <w:tc>
          <w:tcPr>
            <w:tcW w:w="12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抓拍相机（情报板显示抓拍）安装调试</w:t>
            </w:r>
          </w:p>
        </w:tc>
        <w:tc>
          <w:tcPr>
            <w:tcW w:w="519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rPr>
            </w:pPr>
            <w:r>
              <w:rPr>
                <w:rFonts w:hint="eastAsia" w:ascii="仿宋" w:hAnsi="仿宋" w:eastAsia="仿宋" w:cs="仿宋"/>
                <w:b/>
                <w:bCs/>
                <w:color w:val="auto"/>
                <w:sz w:val="21"/>
                <w:szCs w:val="21"/>
                <w:lang w:val="en-US" w:eastAsia="zh-CN"/>
              </w:rPr>
              <w:t>该设备利旧使用</w:t>
            </w:r>
            <w:r>
              <w:rPr>
                <w:rFonts w:hint="eastAsia" w:ascii="仿宋" w:hAnsi="仿宋" w:eastAsia="仿宋" w:cs="仿宋"/>
                <w:color w:val="auto"/>
                <w:sz w:val="21"/>
                <w:szCs w:val="21"/>
                <w:lang w:val="en-US" w:eastAsia="zh-CN"/>
              </w:rPr>
              <w:t>（利旧设备参数如下），负责利旧设备安装综合布线、设备搬运、设备联调。</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1）300W像素抓拍摄像机，分辨率：2448(H)×2048(V)</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2）图像传感器：采用1/1.8英寸GMOS</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3）视频编码格式：H.265、H.264、M-JPEG、MPEG4；</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4）图片编码格式：JPEG</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5）通信接口：2个100/1000M自适应RJ45接口，1个RS485接口，1个RS232接口；</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6）工作温度：-20℃-70℃；</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7）工作湿度：5%~95%@40℃（无凝结）</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8）电源：AC220V；</w:t>
            </w:r>
          </w:p>
        </w:tc>
        <w:tc>
          <w:tcPr>
            <w:tcW w:w="77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台</w:t>
            </w:r>
          </w:p>
        </w:tc>
        <w:tc>
          <w:tcPr>
            <w:tcW w:w="8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2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8</w:t>
            </w:r>
          </w:p>
        </w:tc>
        <w:tc>
          <w:tcPr>
            <w:tcW w:w="12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频爆一体补光灯安装调试</w:t>
            </w:r>
          </w:p>
        </w:tc>
        <w:tc>
          <w:tcPr>
            <w:tcW w:w="519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rPr>
            </w:pPr>
            <w:r>
              <w:rPr>
                <w:rFonts w:hint="eastAsia" w:ascii="仿宋" w:hAnsi="仿宋" w:eastAsia="仿宋" w:cs="仿宋"/>
                <w:b/>
                <w:bCs/>
                <w:color w:val="auto"/>
                <w:sz w:val="21"/>
                <w:szCs w:val="21"/>
                <w:lang w:val="en-US" w:eastAsia="zh-CN"/>
              </w:rPr>
              <w:t>该设备利旧使用</w:t>
            </w:r>
            <w:r>
              <w:rPr>
                <w:rFonts w:hint="eastAsia" w:ascii="仿宋" w:hAnsi="仿宋" w:eastAsia="仿宋" w:cs="仿宋"/>
                <w:color w:val="auto"/>
                <w:sz w:val="21"/>
                <w:szCs w:val="21"/>
                <w:lang w:val="en-US" w:eastAsia="zh-CN"/>
              </w:rPr>
              <w:t>（利旧设备参数如下），负责利旧设备安装综合布线、设备搬运、设备联调。</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1、灯型：频爆一体补光灯；</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2、光源：可见光（波长350-780nm）；</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3、色温：5800 K±200K；</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4、中心光照度：≤4000Lx；</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5、触发方式：开关量；</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6、光斑覆盖范围：1车道；</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7、补光距离：16m~26m；</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8、回电时间：＜60ms；</w:t>
            </w:r>
          </w:p>
        </w:tc>
        <w:tc>
          <w:tcPr>
            <w:tcW w:w="77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台</w:t>
            </w:r>
          </w:p>
        </w:tc>
        <w:tc>
          <w:tcPr>
            <w:tcW w:w="8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2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9</w:t>
            </w:r>
          </w:p>
        </w:tc>
        <w:tc>
          <w:tcPr>
            <w:tcW w:w="12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L型立杆安装</w:t>
            </w:r>
          </w:p>
        </w:tc>
        <w:tc>
          <w:tcPr>
            <w:tcW w:w="519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rPr>
            </w:pPr>
            <w:r>
              <w:rPr>
                <w:rFonts w:hint="eastAsia" w:ascii="仿宋" w:hAnsi="仿宋" w:eastAsia="仿宋" w:cs="仿宋"/>
                <w:b/>
                <w:bCs/>
                <w:color w:val="auto"/>
                <w:sz w:val="21"/>
                <w:szCs w:val="21"/>
                <w:lang w:val="en-US" w:eastAsia="zh-CN"/>
              </w:rPr>
              <w:t>该设备利旧使用</w:t>
            </w:r>
            <w:r>
              <w:rPr>
                <w:rFonts w:hint="eastAsia" w:ascii="仿宋" w:hAnsi="仿宋" w:eastAsia="仿宋" w:cs="仿宋"/>
                <w:color w:val="auto"/>
                <w:sz w:val="21"/>
                <w:szCs w:val="21"/>
                <w:lang w:val="en-US" w:eastAsia="zh-CN"/>
              </w:rPr>
              <w:t>（利旧设备参数如下），负责利旧设备安装综合布线、设备搬运、设备联调。</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1）净空高度大于6000mm，宽度：7000mm，φ325，厚度10mm,预留7个穿线进口，检修门，构件全部采用钢结构；</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2）杆件要求整体成形；焊条采用T42；</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3）所有钢构件都进行热镀锌防腐处理，紧固件表面：350g/m2,其它为：600g/m；</w:t>
            </w:r>
          </w:p>
        </w:tc>
        <w:tc>
          <w:tcPr>
            <w:tcW w:w="77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根</w:t>
            </w:r>
          </w:p>
        </w:tc>
        <w:tc>
          <w:tcPr>
            <w:tcW w:w="8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2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10</w:t>
            </w:r>
          </w:p>
        </w:tc>
        <w:tc>
          <w:tcPr>
            <w:tcW w:w="12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车轴抓拍立杆安装</w:t>
            </w:r>
          </w:p>
        </w:tc>
        <w:tc>
          <w:tcPr>
            <w:tcW w:w="519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rPr>
            </w:pPr>
            <w:r>
              <w:rPr>
                <w:rFonts w:hint="eastAsia" w:ascii="仿宋" w:hAnsi="仿宋" w:eastAsia="仿宋" w:cs="仿宋"/>
                <w:b/>
                <w:bCs/>
                <w:color w:val="auto"/>
                <w:sz w:val="21"/>
                <w:szCs w:val="21"/>
                <w:lang w:val="en-US" w:eastAsia="zh-CN"/>
              </w:rPr>
              <w:t>该设备利旧使用</w:t>
            </w:r>
            <w:r>
              <w:rPr>
                <w:rFonts w:hint="eastAsia" w:ascii="仿宋" w:hAnsi="仿宋" w:eastAsia="仿宋" w:cs="仿宋"/>
                <w:color w:val="auto"/>
                <w:sz w:val="21"/>
                <w:szCs w:val="21"/>
                <w:lang w:val="en-US" w:eastAsia="zh-CN"/>
              </w:rPr>
              <w:t>（利旧设备参数如下），负责利旧设备安装综合布线、设备搬运、设备联调。</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H4000*（Φ76上口——114下口）*6mm，热镀锌，喷塑颜色（市政灰）</w:t>
            </w:r>
          </w:p>
        </w:tc>
        <w:tc>
          <w:tcPr>
            <w:tcW w:w="77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根</w:t>
            </w:r>
          </w:p>
        </w:tc>
        <w:tc>
          <w:tcPr>
            <w:tcW w:w="8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2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11</w:t>
            </w:r>
          </w:p>
        </w:tc>
        <w:tc>
          <w:tcPr>
            <w:tcW w:w="12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可变信息情报板安装调试</w:t>
            </w:r>
          </w:p>
        </w:tc>
        <w:tc>
          <w:tcPr>
            <w:tcW w:w="519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rPr>
            </w:pPr>
            <w:r>
              <w:rPr>
                <w:rFonts w:hint="eastAsia" w:ascii="仿宋" w:hAnsi="仿宋" w:eastAsia="仿宋" w:cs="仿宋"/>
                <w:b/>
                <w:bCs/>
                <w:color w:val="auto"/>
                <w:sz w:val="21"/>
                <w:szCs w:val="21"/>
                <w:lang w:val="en-US" w:eastAsia="zh-CN"/>
              </w:rPr>
              <w:t>该设备利旧使用</w:t>
            </w:r>
            <w:r>
              <w:rPr>
                <w:rFonts w:hint="eastAsia" w:ascii="仿宋" w:hAnsi="仿宋" w:eastAsia="仿宋" w:cs="仿宋"/>
                <w:color w:val="auto"/>
                <w:sz w:val="21"/>
                <w:szCs w:val="21"/>
                <w:lang w:val="en-US" w:eastAsia="zh-CN"/>
              </w:rPr>
              <w:t>（利旧设备参数如下），负责利旧设备安装综合布线、设备搬运、设备联调。</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1)尺寸：长3200mm高1600mm</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2)LED可变情报板须满足如下性能指标要求：</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3)为保证因电流过大影响使用寿命，必须采用动态恒流方式。</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4)点间距：10mm</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5)显示屏发光像素比：2R（显示单红色）</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6)像素密度：10000点/㎡</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7)LED半强度角：≥50°</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8)动态视认距离：≥100m（车速100km/h）</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9)视认角：≥100°</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10)适用于F型架的屏体尺寸，以下图准</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11)驱动方式：1/4扫描，恒压驱动</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12)显示屏发光强度：≥6000cd/㎡，16级可调</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13)抗风速：40m/s</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14)工作温度：-40℃～+75℃</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15)工作湿度：5%～95%</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16)工作电压：AC380V/220V</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17)屏体寿命：10万小时</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18)平均故障间隔时间：5万小时</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19)防雷设施：机箱内置浪涌保护器，吊装结构装避雷针。</w:t>
            </w:r>
          </w:p>
        </w:tc>
        <w:tc>
          <w:tcPr>
            <w:tcW w:w="77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块</w:t>
            </w:r>
          </w:p>
        </w:tc>
        <w:tc>
          <w:tcPr>
            <w:tcW w:w="8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2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12</w:t>
            </w:r>
          </w:p>
        </w:tc>
        <w:tc>
          <w:tcPr>
            <w:tcW w:w="12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情报板大型F架及辅材安装</w:t>
            </w:r>
          </w:p>
        </w:tc>
        <w:tc>
          <w:tcPr>
            <w:tcW w:w="519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rPr>
            </w:pPr>
            <w:r>
              <w:rPr>
                <w:rFonts w:hint="eastAsia" w:ascii="仿宋" w:hAnsi="仿宋" w:eastAsia="仿宋" w:cs="仿宋"/>
                <w:b/>
                <w:bCs/>
                <w:color w:val="auto"/>
                <w:sz w:val="21"/>
                <w:szCs w:val="21"/>
                <w:lang w:val="en-US" w:eastAsia="zh-CN"/>
              </w:rPr>
              <w:t>该设备利旧使用</w:t>
            </w:r>
            <w:r>
              <w:rPr>
                <w:rFonts w:hint="eastAsia" w:ascii="仿宋" w:hAnsi="仿宋" w:eastAsia="仿宋" w:cs="仿宋"/>
                <w:color w:val="auto"/>
                <w:sz w:val="21"/>
                <w:szCs w:val="21"/>
                <w:lang w:val="en-US" w:eastAsia="zh-CN"/>
              </w:rPr>
              <w:t>（利旧设备参数如下），负责利旧设备安装综合布线、设备搬运、设备联调。</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于安装LED可变情报板的F型架须满足如下性能指标要求：</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1)构件全部采用钢结构。所有钢构件都进行热镀锌防腐处理，紧固件表面：350g/m2,其它为：600g/m。</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2)F型架:热镀锌。高度8500mm,φ325，壁厚10mm</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3)抗风速度：35m/s；抵抗强度：215Mpa；</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4)跨度：根据现场情况定做；</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5)净空高度：6m；有检修通道。</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6)为双杆结构，含地锚。</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7)检修通道可同时承载3人以上及施工检修空间。</w:t>
            </w:r>
          </w:p>
        </w:tc>
        <w:tc>
          <w:tcPr>
            <w:tcW w:w="77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根</w:t>
            </w:r>
          </w:p>
        </w:tc>
        <w:tc>
          <w:tcPr>
            <w:tcW w:w="8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2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13</w:t>
            </w:r>
          </w:p>
        </w:tc>
        <w:tc>
          <w:tcPr>
            <w:tcW w:w="12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全景网络红外球机安装调试</w:t>
            </w:r>
          </w:p>
        </w:tc>
        <w:tc>
          <w:tcPr>
            <w:tcW w:w="519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rPr>
            </w:pPr>
            <w:r>
              <w:rPr>
                <w:rFonts w:hint="eastAsia" w:ascii="仿宋" w:hAnsi="仿宋" w:eastAsia="仿宋" w:cs="仿宋"/>
                <w:b/>
                <w:bCs/>
                <w:color w:val="auto"/>
                <w:sz w:val="21"/>
                <w:szCs w:val="21"/>
                <w:lang w:val="en-US" w:eastAsia="zh-CN"/>
              </w:rPr>
              <w:t>该设备利旧使用</w:t>
            </w:r>
            <w:r>
              <w:rPr>
                <w:rFonts w:hint="eastAsia" w:ascii="仿宋" w:hAnsi="仿宋" w:eastAsia="仿宋" w:cs="仿宋"/>
                <w:color w:val="auto"/>
                <w:sz w:val="21"/>
                <w:szCs w:val="21"/>
                <w:lang w:val="en-US" w:eastAsia="zh-CN"/>
              </w:rPr>
              <w:t>（利旧设备参数如下），负责利旧设备安装综合布线、设备搬运、设备联调。</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1）设备类型：全彩全景枪球一体机，具有全景与细节两个镜头；</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2）支持两个镜头，焦距: 【全景】4mm；【细节】4.8 mm~110 mm, 23倍光学变倍；</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3）内置2个镜头，可以输出两路视频图像，1路全景视频图像、1路细节视频图像，内置2颗GPU芯片；</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4）支持最低照度可达彩色0.0002Lux，黑白0.0001Lux；</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 视频输出支持2560×1440@25fps，分辨力不小于1400TVL，红外距离可达150米；</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6） 支持深度学习算法，提供精准的人车分类侦测、报警、联动跟踪，支持区域入侵侦测、越界侦测、进入区域侦测和离开区域侦等智能侦测并联动跟踪；</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7）支持循环跟踪功能，当全景视频图像中有多个目标触发报警事件后，细节视频图像可联动对多个目标循环跟踪；</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8）支持图片合成功能，报警事件触发后，样机可联动全景视频图像与细节视频图像进行抓图，并将两张报警图片合成。</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9） 具备较好的防护性能环境适应性，支持IP67，6kV防浪涌，工作温度范围可达-40℃-70℃；</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10）具备较好的电源适应性，电压在DC36V±30%范围内变化时，设备可正常工作；</w:t>
            </w:r>
          </w:p>
        </w:tc>
        <w:tc>
          <w:tcPr>
            <w:tcW w:w="77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台</w:t>
            </w:r>
          </w:p>
        </w:tc>
        <w:tc>
          <w:tcPr>
            <w:tcW w:w="8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2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14</w:t>
            </w:r>
          </w:p>
        </w:tc>
        <w:tc>
          <w:tcPr>
            <w:tcW w:w="12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安装支架安装调试</w:t>
            </w:r>
          </w:p>
        </w:tc>
        <w:tc>
          <w:tcPr>
            <w:tcW w:w="519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rPr>
            </w:pPr>
            <w:r>
              <w:rPr>
                <w:rFonts w:hint="eastAsia" w:ascii="仿宋" w:hAnsi="仿宋" w:eastAsia="仿宋" w:cs="仿宋"/>
                <w:b/>
                <w:bCs/>
                <w:color w:val="auto"/>
                <w:sz w:val="21"/>
                <w:szCs w:val="21"/>
                <w:lang w:val="en-US" w:eastAsia="zh-CN"/>
              </w:rPr>
              <w:t>该设备利旧使用</w:t>
            </w:r>
            <w:r>
              <w:rPr>
                <w:rFonts w:hint="eastAsia" w:ascii="仿宋" w:hAnsi="仿宋" w:eastAsia="仿宋" w:cs="仿宋"/>
                <w:color w:val="auto"/>
                <w:sz w:val="21"/>
                <w:szCs w:val="21"/>
                <w:lang w:val="en-US" w:eastAsia="zh-CN"/>
              </w:rPr>
              <w:t>（利旧设备参数如下）定制</w:t>
            </w:r>
          </w:p>
        </w:tc>
        <w:tc>
          <w:tcPr>
            <w:tcW w:w="77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个</w:t>
            </w:r>
          </w:p>
        </w:tc>
        <w:tc>
          <w:tcPr>
            <w:tcW w:w="8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2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15</w:t>
            </w:r>
          </w:p>
        </w:tc>
        <w:tc>
          <w:tcPr>
            <w:tcW w:w="12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短视频摄像机安装调试</w:t>
            </w:r>
          </w:p>
        </w:tc>
        <w:tc>
          <w:tcPr>
            <w:tcW w:w="519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rPr>
            </w:pPr>
            <w:r>
              <w:rPr>
                <w:rFonts w:hint="eastAsia" w:ascii="仿宋" w:hAnsi="仿宋" w:eastAsia="仿宋" w:cs="仿宋"/>
                <w:b/>
                <w:bCs/>
                <w:color w:val="auto"/>
                <w:sz w:val="21"/>
                <w:szCs w:val="21"/>
                <w:lang w:val="en-US" w:eastAsia="zh-CN"/>
              </w:rPr>
              <w:t>该设备利旧使用</w:t>
            </w:r>
            <w:r>
              <w:rPr>
                <w:rFonts w:hint="eastAsia" w:ascii="仿宋" w:hAnsi="仿宋" w:eastAsia="仿宋" w:cs="仿宋"/>
                <w:color w:val="auto"/>
                <w:sz w:val="21"/>
                <w:szCs w:val="21"/>
                <w:lang w:val="en-US" w:eastAsia="zh-CN"/>
              </w:rPr>
              <w:t>（利旧设备参数如下），负责利旧设备安装综合布线、设备搬运、设备联调。</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400万 1/1.8" CMOS 网络摄像机</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智能侦测：支持越界侦测，区域入侵侦测</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最低照度: 彩色：0.0005 Lux @（F1.0，AGC ON），0 Lux with Light</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宽动态: 120 dB</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补光距离: 最远可达30 m</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防补光过曝: 支持</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补光灯类型: 柔光灯</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最大图像尺寸: 2560 × 1440</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视频压缩标准: 主码流：H.265/H.264</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网络存储: 支持NAS（NFS，SMB/CIFS均支持）</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音频: 1个内置麦克风</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网络: 1个RJ45 10 M/100 M自适应以太网口</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启动和工作温湿度: -30 ℃~60 ℃，湿度小于95%（无凝结）</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供电方式: DC：12 V ± 25%，支持防反接保护；PoE：802.3af，Class 3</w:t>
            </w:r>
          </w:p>
        </w:tc>
        <w:tc>
          <w:tcPr>
            <w:tcW w:w="77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台</w:t>
            </w:r>
          </w:p>
        </w:tc>
        <w:tc>
          <w:tcPr>
            <w:tcW w:w="8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2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16</w:t>
            </w:r>
          </w:p>
        </w:tc>
        <w:tc>
          <w:tcPr>
            <w:tcW w:w="12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硬盘录像机安装调试</w:t>
            </w:r>
          </w:p>
        </w:tc>
        <w:tc>
          <w:tcPr>
            <w:tcW w:w="519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rPr>
            </w:pPr>
            <w:r>
              <w:rPr>
                <w:rFonts w:hint="eastAsia" w:ascii="仿宋" w:hAnsi="仿宋" w:eastAsia="仿宋" w:cs="仿宋"/>
                <w:b/>
                <w:bCs/>
                <w:color w:val="auto"/>
                <w:sz w:val="21"/>
                <w:szCs w:val="21"/>
                <w:lang w:val="en-US" w:eastAsia="zh-CN"/>
              </w:rPr>
              <w:t>该设备利旧使用</w:t>
            </w:r>
            <w:r>
              <w:rPr>
                <w:rFonts w:hint="eastAsia" w:ascii="仿宋" w:hAnsi="仿宋" w:eastAsia="仿宋" w:cs="仿宋"/>
                <w:color w:val="auto"/>
                <w:sz w:val="21"/>
                <w:szCs w:val="21"/>
                <w:lang w:val="en-US" w:eastAsia="zh-CN"/>
              </w:rPr>
              <w:t>（利旧设备参数如下），负责利旧设备安装综合布线、设备搬运、设备联调。</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1、8路H.265、H.264混合接入</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2、40M接入/40M存储/80M转发</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3、1盘位</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4、1个HDMI、1个VGA，同源输出，HDMI支持4K，VGA支持2K显示</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5、4路1080P解码</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6、4路1080P H.265、H.264混合解码</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7、1个千兆网口，2个USB2.0</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8、Smart 2.0/ANR/智能检索/浓缩播放/车牌检索/人脸检索/热度图/客流量统计/分时段回放/超高倍速回放/双系统备份</w:t>
            </w:r>
          </w:p>
        </w:tc>
        <w:tc>
          <w:tcPr>
            <w:tcW w:w="77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台</w:t>
            </w:r>
          </w:p>
        </w:tc>
        <w:tc>
          <w:tcPr>
            <w:tcW w:w="8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2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17</w:t>
            </w:r>
          </w:p>
        </w:tc>
        <w:tc>
          <w:tcPr>
            <w:tcW w:w="12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卡口抓拍摄像机安装调试</w:t>
            </w:r>
          </w:p>
        </w:tc>
        <w:tc>
          <w:tcPr>
            <w:tcW w:w="519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rPr>
            </w:pPr>
            <w:r>
              <w:rPr>
                <w:rFonts w:hint="eastAsia" w:ascii="仿宋" w:hAnsi="仿宋" w:eastAsia="仿宋" w:cs="仿宋"/>
                <w:b/>
                <w:bCs/>
                <w:color w:val="auto"/>
                <w:sz w:val="21"/>
                <w:szCs w:val="21"/>
                <w:lang w:val="en-US" w:eastAsia="zh-CN"/>
              </w:rPr>
              <w:t>该设备利旧使用</w:t>
            </w:r>
            <w:r>
              <w:rPr>
                <w:rFonts w:hint="eastAsia" w:ascii="仿宋" w:hAnsi="仿宋" w:eastAsia="仿宋" w:cs="仿宋"/>
                <w:color w:val="auto"/>
                <w:sz w:val="21"/>
                <w:szCs w:val="21"/>
                <w:lang w:val="en-US" w:eastAsia="zh-CN"/>
              </w:rPr>
              <w:t>（利旧设备参数如下），负责利旧设备安装综合布线、设备搬运、设备联调。</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1、采用一体化设计，含智能摄像机、综合控制模块等；</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2、有效像素：900万;</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3、图像传感器：采用1英寸GMOS；</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4、视频编码格式：H.265、H.264、M-JPEG、MPEG4；</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5、图片编码格式：JPEG</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6、通信接口：3个RS-485接口,1个RS-232接口；2个RJ45 10M/100M/1000M自适应以太网口；</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7、支持根据现场违章抓拍需求通过web界面设置事件优先度，事件优先度1～16可设，设置后可按事件优先度进行违章抓拍及图片存储</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8、智能算法：内置车牌识别（含新能源）、车型识别、车身颜色、车辆子品牌、压线、逆行、开车打电话、不系安全带、前排驾驶员人脸抠图等检多种违章检测算法，实现违章抓拍；</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9、支持识别车标类型≥450种；在天气晴朗无雾，车辆无遮挡，白天环境光照度不低于200lx，夜晚辅助光照度不高于30lx的情况下进行测试；白天车标识别准确率≥99%；晚上车标识别准确率≥99%。;</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10、本地存储：具备本地存储、自动加密、自动覆盖、自动上传、断网续传；</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11、视频接入标准：GB/T28181；</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12、工作温度：-20℃-70℃；</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13、工作湿度：5%~95%@40℃（无凝结）；</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14、电源：AC220V；</w:t>
            </w:r>
          </w:p>
        </w:tc>
        <w:tc>
          <w:tcPr>
            <w:tcW w:w="77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台</w:t>
            </w:r>
          </w:p>
        </w:tc>
        <w:tc>
          <w:tcPr>
            <w:tcW w:w="8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2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18</w:t>
            </w:r>
          </w:p>
        </w:tc>
        <w:tc>
          <w:tcPr>
            <w:tcW w:w="12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频爆一体补光灯安装调试</w:t>
            </w:r>
          </w:p>
        </w:tc>
        <w:tc>
          <w:tcPr>
            <w:tcW w:w="519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rPr>
            </w:pPr>
            <w:r>
              <w:rPr>
                <w:rFonts w:hint="eastAsia" w:ascii="仿宋" w:hAnsi="仿宋" w:eastAsia="仿宋" w:cs="仿宋"/>
                <w:b/>
                <w:bCs/>
                <w:color w:val="auto"/>
                <w:sz w:val="21"/>
                <w:szCs w:val="21"/>
                <w:lang w:val="en-US" w:eastAsia="zh-CN"/>
              </w:rPr>
              <w:t>该设备利旧使用</w:t>
            </w:r>
            <w:r>
              <w:rPr>
                <w:rFonts w:hint="eastAsia" w:ascii="仿宋" w:hAnsi="仿宋" w:eastAsia="仿宋" w:cs="仿宋"/>
                <w:color w:val="auto"/>
                <w:sz w:val="21"/>
                <w:szCs w:val="21"/>
                <w:lang w:val="en-US" w:eastAsia="zh-CN"/>
              </w:rPr>
              <w:t>（利旧设备参数如下），负责利旧设备安装综合布线、设备搬运、设备联调。</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1、大功率进口LED灯珠，</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2、支持LED频闪，LED爆闪及气体爆闪</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3、LED频闪支持PWM跟随触发，具有频率及占空比保护功能，发光角度10°</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4、气体爆闪具有防误触发功能，提高产品寿命</w:t>
            </w:r>
          </w:p>
        </w:tc>
        <w:tc>
          <w:tcPr>
            <w:tcW w:w="77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台</w:t>
            </w:r>
          </w:p>
        </w:tc>
        <w:tc>
          <w:tcPr>
            <w:tcW w:w="8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2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19</w:t>
            </w:r>
          </w:p>
        </w:tc>
        <w:tc>
          <w:tcPr>
            <w:tcW w:w="12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交通终端服务器安装调试</w:t>
            </w:r>
          </w:p>
        </w:tc>
        <w:tc>
          <w:tcPr>
            <w:tcW w:w="519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rPr>
            </w:pPr>
            <w:r>
              <w:rPr>
                <w:rFonts w:hint="eastAsia" w:ascii="仿宋" w:hAnsi="仿宋" w:eastAsia="仿宋" w:cs="仿宋"/>
                <w:b/>
                <w:bCs/>
                <w:color w:val="auto"/>
                <w:sz w:val="21"/>
                <w:szCs w:val="21"/>
                <w:lang w:val="en-US" w:eastAsia="zh-CN"/>
              </w:rPr>
              <w:t>该设备利旧使用</w:t>
            </w:r>
            <w:r>
              <w:rPr>
                <w:rFonts w:hint="eastAsia" w:ascii="仿宋" w:hAnsi="仿宋" w:eastAsia="仿宋" w:cs="仿宋"/>
                <w:color w:val="auto"/>
                <w:sz w:val="21"/>
                <w:szCs w:val="21"/>
                <w:lang w:val="en-US" w:eastAsia="zh-CN"/>
              </w:rPr>
              <w:t>（利旧设备参数如下），负责利旧设备安装综合布线、设备搬运、设备联调。</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1、嵌入式操作系统，内置1块8T硬盘；</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2、双网卡，具备4个100M以太网接口及2个1000M以太网接口、2个1000M SFP光纤接口；</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3、坚固紧凑无风扇设计，体积小巧，适合在路边机柜及抱杆机柜使用，单面接口设计，更便于施工操作；</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4、最大支持2TB硬盘存储，图片与录像可设置配额；</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5、支持对通行车辆的信息（记录和图片、录像）存储；</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6、可配置多种字符叠加、图片合成模式；</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7、支持区间测速功能；</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8、支持配置增加GPS校时模块。</w:t>
            </w:r>
          </w:p>
        </w:tc>
        <w:tc>
          <w:tcPr>
            <w:tcW w:w="77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台</w:t>
            </w:r>
          </w:p>
        </w:tc>
        <w:tc>
          <w:tcPr>
            <w:tcW w:w="8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2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20</w:t>
            </w:r>
          </w:p>
        </w:tc>
        <w:tc>
          <w:tcPr>
            <w:tcW w:w="12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监控级硬盘</w:t>
            </w:r>
            <w:r>
              <w:rPr>
                <w:rFonts w:hint="eastAsia" w:ascii="仿宋" w:hAnsi="仿宋" w:eastAsia="仿宋" w:cs="仿宋"/>
                <w:color w:val="auto"/>
                <w:sz w:val="21"/>
                <w:szCs w:val="21"/>
                <w:lang w:val="en-US" w:eastAsia="zh-CN"/>
              </w:rPr>
              <w:t>安装调试</w:t>
            </w:r>
          </w:p>
        </w:tc>
        <w:tc>
          <w:tcPr>
            <w:tcW w:w="519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3.5英寸 4TB Intellipower 64M SATA3</w:t>
            </w:r>
          </w:p>
        </w:tc>
        <w:tc>
          <w:tcPr>
            <w:tcW w:w="77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块</w:t>
            </w:r>
          </w:p>
        </w:tc>
        <w:tc>
          <w:tcPr>
            <w:tcW w:w="8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color w:val="auto"/>
                <w:sz w:val="21"/>
                <w:szCs w:val="21"/>
                <w:lang w:val="en-US" w:eastAsia="zh-CN" w:bidi="ar-SA"/>
              </w:rPr>
            </w:pPr>
            <w:r>
              <w:rPr>
                <w:rFonts w:hint="eastAsia" w:ascii="仿宋" w:hAnsi="仿宋" w:eastAsia="仿宋" w:cs="仿宋"/>
                <w:color w:val="auto"/>
                <w:sz w:val="21"/>
                <w:szCs w:val="21"/>
                <w:lang w:val="en-US" w:eastAsia="zh-CN" w:bidi="ar-SA"/>
              </w:rPr>
              <w:t>2</w:t>
            </w:r>
          </w:p>
        </w:tc>
      </w:tr>
    </w:tbl>
    <w:p>
      <w:pPr>
        <w:bidi w:val="0"/>
        <w:rPr>
          <w:rFonts w:hint="eastAsia"/>
          <w:lang w:eastAsia="zh-CN"/>
        </w:rPr>
      </w:pPr>
    </w:p>
    <w:p>
      <w:pPr>
        <w:pStyle w:val="4"/>
        <w:spacing w:before="196" w:after="196"/>
        <w:ind w:firstLine="520"/>
        <w:rPr>
          <w:rFonts w:hint="eastAsia" w:ascii="仿宋" w:hAnsi="仿宋" w:eastAsia="仿宋"/>
          <w:color w:val="auto"/>
          <w:szCs w:val="22"/>
          <w:lang w:eastAsia="zh-CN"/>
        </w:rPr>
      </w:pPr>
      <w:bookmarkStart w:id="304" w:name="_Toc20437"/>
      <w:r>
        <w:rPr>
          <w:rFonts w:hint="eastAsia" w:ascii="仿宋" w:hAnsi="仿宋" w:eastAsia="仿宋"/>
          <w:color w:val="auto"/>
          <w:szCs w:val="22"/>
          <w:lang w:eastAsia="zh-CN"/>
        </w:rPr>
        <w:t>三</w:t>
      </w:r>
      <w:r>
        <w:rPr>
          <w:rFonts w:hint="eastAsia" w:ascii="仿宋" w:hAnsi="仿宋" w:eastAsia="仿宋"/>
          <w:color w:val="auto"/>
          <w:szCs w:val="22"/>
        </w:rPr>
        <w:t>、</w:t>
      </w:r>
      <w:r>
        <w:rPr>
          <w:rFonts w:hint="eastAsia" w:ascii="仿宋" w:hAnsi="仿宋" w:eastAsia="仿宋"/>
          <w:color w:val="auto"/>
          <w:szCs w:val="22"/>
          <w:lang w:eastAsia="zh-CN"/>
        </w:rPr>
        <w:t>其他要求</w:t>
      </w:r>
      <w:bookmarkEnd w:id="304"/>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lang w:val="en-US" w:eastAsia="zh-CN"/>
        </w:rPr>
      </w:pPr>
      <w:r>
        <w:rPr>
          <w:rFonts w:hint="eastAsia" w:ascii="仿宋" w:hAnsi="仿宋" w:eastAsia="仿宋" w:cs="仿宋"/>
          <w:lang w:val="en-US" w:eastAsia="zh-CN"/>
        </w:rPr>
        <w:t>1.本次设计中所含设备应从正规厂家进行采购，并要求提供合格、完整的产品证明文件。</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lang w:val="en-US" w:eastAsia="zh-CN"/>
        </w:rPr>
      </w:pPr>
      <w:r>
        <w:rPr>
          <w:rFonts w:hint="eastAsia" w:ascii="仿宋" w:hAnsi="仿宋" w:eastAsia="仿宋" w:cs="仿宋"/>
          <w:lang w:val="en-US" w:eastAsia="zh-CN"/>
        </w:rPr>
        <w:t>2.签订合同前，成交供应商须提供询价通知书中所需提供佐证资料原件给采购人核验，如提供虚假材料，采购人将取消成交供应商资格并按政府采购相关规定处理。</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rPr>
      </w:pPr>
      <w:r>
        <w:rPr>
          <w:rFonts w:hint="eastAsia" w:ascii="仿宋" w:hAnsi="仿宋" w:eastAsia="仿宋" w:cs="仿宋"/>
          <w:lang w:val="en-US" w:eastAsia="zh-CN"/>
        </w:rPr>
        <w:t>3.本次设计中有部分设备为利旧安装，投标产品应考虑与利旧设备的兼容，报价包含设备购置费、人工费、运输费、安装费、调试费、利润等所有费用。因中标人自身原因造成漏报、少报皆由其自行承担责任，采购人不再补偿。</w:t>
      </w:r>
    </w:p>
    <w:p>
      <w:pPr>
        <w:ind w:left="0" w:leftChars="0" w:firstLine="0" w:firstLineChars="0"/>
      </w:pPr>
      <w:r>
        <w:rPr>
          <w:rFonts w:ascii="仿宋" w:hAnsi="仿宋" w:eastAsia="仿宋" w:cs="仿宋"/>
          <w:b/>
          <w:color w:val="auto"/>
          <w:kern w:val="0"/>
          <w:sz w:val="28"/>
          <w:szCs w:val="22"/>
        </w:rPr>
        <w:br w:type="page"/>
      </w:r>
    </w:p>
    <w:p>
      <w:pPr>
        <w:numPr>
          <w:ilvl w:val="0"/>
          <w:numId w:val="1"/>
        </w:numPr>
        <w:spacing w:beforeLines="50" w:afterLines="50" w:line="800" w:lineRule="exact"/>
        <w:ind w:left="1531" w:hanging="1531" w:firstLineChars="0"/>
        <w:jc w:val="center"/>
        <w:outlineLvl w:val="0"/>
        <w:rPr>
          <w:rStyle w:val="34"/>
          <w:rFonts w:hint="eastAsia" w:ascii="方正小标宋简体" w:eastAsia="方正小标宋简体"/>
          <w:color w:val="auto"/>
        </w:rPr>
      </w:pPr>
      <w:bookmarkStart w:id="305" w:name="_Toc22564"/>
      <w:bookmarkStart w:id="306" w:name="_Toc63600413"/>
      <w:bookmarkStart w:id="307" w:name="_Toc16628"/>
      <w:bookmarkStart w:id="308" w:name="_Toc25042"/>
      <w:bookmarkStart w:id="309" w:name="_Toc25622"/>
      <w:bookmarkStart w:id="310" w:name="_Toc17822"/>
      <w:bookmarkStart w:id="311" w:name="_Toc24001"/>
      <w:bookmarkStart w:id="312" w:name="_Toc23514"/>
      <w:bookmarkStart w:id="313" w:name="_Toc5392"/>
      <w:bookmarkStart w:id="314" w:name="_Toc17404"/>
      <w:bookmarkStart w:id="315" w:name="_Toc8834"/>
      <w:bookmarkStart w:id="316" w:name="_Toc8003"/>
      <w:bookmarkStart w:id="317" w:name="_Toc29395"/>
      <w:bookmarkStart w:id="318" w:name="_Toc28221"/>
      <w:bookmarkStart w:id="319" w:name="_Toc12592"/>
      <w:r>
        <w:rPr>
          <w:rStyle w:val="34"/>
          <w:rFonts w:hint="eastAsia" w:ascii="方正小标宋简体" w:eastAsia="方正小标宋简体"/>
          <w:color w:val="auto"/>
        </w:rPr>
        <w:t>项目商务要求</w:t>
      </w:r>
      <w:bookmarkEnd w:id="305"/>
      <w:bookmarkEnd w:id="306"/>
      <w:bookmarkEnd w:id="307"/>
      <w:bookmarkEnd w:id="308"/>
      <w:bookmarkEnd w:id="309"/>
      <w:bookmarkEnd w:id="310"/>
    </w:p>
    <w:bookmarkEnd w:id="295"/>
    <w:bookmarkEnd w:id="296"/>
    <w:bookmarkEnd w:id="297"/>
    <w:bookmarkEnd w:id="311"/>
    <w:bookmarkEnd w:id="312"/>
    <w:bookmarkEnd w:id="313"/>
    <w:bookmarkEnd w:id="314"/>
    <w:bookmarkEnd w:id="315"/>
    <w:bookmarkEnd w:id="316"/>
    <w:bookmarkEnd w:id="317"/>
    <w:bookmarkEnd w:id="318"/>
    <w:bookmarkEnd w:id="319"/>
    <w:p>
      <w:pPr>
        <w:ind w:firstLine="0" w:firstLineChars="0"/>
        <w:jc w:val="center"/>
        <w:rPr>
          <w:rFonts w:ascii="仿宋" w:hAnsi="仿宋" w:eastAsia="仿宋"/>
          <w:color w:val="auto"/>
        </w:rPr>
      </w:pPr>
      <w:bookmarkStart w:id="320" w:name="_Toc6555"/>
      <w:bookmarkStart w:id="321" w:name="_Toc23563"/>
      <w:bookmarkStart w:id="322" w:name="_Toc2253"/>
      <w:bookmarkStart w:id="323" w:name="_Toc26963"/>
      <w:bookmarkStart w:id="324" w:name="_Toc12924"/>
      <w:bookmarkStart w:id="325" w:name="_Toc15610"/>
      <w:bookmarkStart w:id="326" w:name="_Toc16744"/>
      <w:bookmarkStart w:id="327" w:name="_Toc10846"/>
      <w:bookmarkStart w:id="328" w:name="_Toc22193"/>
      <w:bookmarkStart w:id="329" w:name="_Toc23849"/>
      <w:bookmarkStart w:id="330" w:name="_Toc16283"/>
      <w:bookmarkStart w:id="331" w:name="_Toc409189624"/>
      <w:bookmarkStart w:id="332" w:name="_Toc435689002"/>
      <w:bookmarkStart w:id="333" w:name="_Toc384905065"/>
      <w:r>
        <w:rPr>
          <w:rFonts w:hint="eastAsia" w:ascii="仿宋" w:hAnsi="仿宋" w:eastAsia="仿宋"/>
          <w:color w:val="auto"/>
        </w:rPr>
        <w:t>“※”标注的商务需求为符合性审查内容，投标文件若不满足按无效投标处理</w:t>
      </w:r>
      <w:bookmarkEnd w:id="320"/>
      <w:bookmarkEnd w:id="321"/>
      <w:bookmarkEnd w:id="322"/>
      <w:bookmarkEnd w:id="323"/>
      <w:bookmarkEnd w:id="324"/>
      <w:bookmarkEnd w:id="325"/>
      <w:bookmarkEnd w:id="326"/>
      <w:bookmarkEnd w:id="327"/>
      <w:bookmarkEnd w:id="328"/>
      <w:bookmarkEnd w:id="329"/>
      <w:bookmarkEnd w:id="330"/>
    </w:p>
    <w:p>
      <w:pPr>
        <w:pStyle w:val="4"/>
        <w:spacing w:before="196" w:after="196"/>
        <w:ind w:firstLine="520"/>
        <w:rPr>
          <w:rFonts w:ascii="仿宋" w:hAnsi="仿宋" w:eastAsia="仿宋"/>
          <w:color w:val="auto"/>
          <w:szCs w:val="22"/>
        </w:rPr>
      </w:pPr>
      <w:bookmarkStart w:id="334" w:name="_Toc20489877"/>
      <w:bookmarkStart w:id="335" w:name="_Toc13360"/>
      <w:bookmarkStart w:id="336" w:name="_Toc31526"/>
      <w:bookmarkStart w:id="337" w:name="_Toc14448"/>
      <w:bookmarkStart w:id="338" w:name="_Toc3156"/>
      <w:bookmarkStart w:id="339" w:name="_Toc13497"/>
      <w:bookmarkStart w:id="340" w:name="_Toc20488321"/>
      <w:bookmarkStart w:id="341" w:name="_Toc27749"/>
      <w:bookmarkStart w:id="342" w:name="_Toc3303"/>
      <w:bookmarkStart w:id="343" w:name="_Toc267320049"/>
      <w:bookmarkStart w:id="344" w:name="_Toc63600414"/>
      <w:bookmarkStart w:id="345" w:name="_Toc6086"/>
      <w:bookmarkStart w:id="346" w:name="_Toc22547"/>
      <w:r>
        <w:rPr>
          <w:rFonts w:hint="eastAsia" w:ascii="仿宋" w:hAnsi="仿宋" w:eastAsia="仿宋"/>
          <w:color w:val="auto"/>
        </w:rPr>
        <w:t>※</w:t>
      </w:r>
      <w:r>
        <w:rPr>
          <w:rFonts w:hint="eastAsia" w:ascii="仿宋" w:hAnsi="仿宋" w:eastAsia="仿宋"/>
          <w:color w:val="auto"/>
          <w:szCs w:val="22"/>
        </w:rPr>
        <w:t>一、</w:t>
      </w:r>
      <w:bookmarkEnd w:id="334"/>
      <w:bookmarkEnd w:id="335"/>
      <w:bookmarkEnd w:id="336"/>
      <w:bookmarkEnd w:id="337"/>
      <w:bookmarkEnd w:id="338"/>
      <w:bookmarkEnd w:id="339"/>
      <w:bookmarkEnd w:id="340"/>
      <w:bookmarkEnd w:id="341"/>
      <w:bookmarkEnd w:id="342"/>
      <w:bookmarkEnd w:id="343"/>
      <w:bookmarkEnd w:id="344"/>
      <w:bookmarkEnd w:id="345"/>
      <w:r>
        <w:rPr>
          <w:rFonts w:hint="eastAsia" w:ascii="仿宋" w:hAnsi="仿宋" w:eastAsia="仿宋"/>
          <w:color w:val="auto"/>
          <w:szCs w:val="22"/>
        </w:rPr>
        <w:t>交货期、交货地点及验收方式</w:t>
      </w:r>
      <w:bookmarkEnd w:id="346"/>
    </w:p>
    <w:p>
      <w:pPr>
        <w:ind w:firstLine="438"/>
        <w:rPr>
          <w:rFonts w:ascii="仿宋" w:hAnsi="仿宋" w:eastAsia="仿宋"/>
          <w:color w:val="auto"/>
          <w:szCs w:val="22"/>
        </w:rPr>
      </w:pPr>
      <w:bookmarkStart w:id="347" w:name="_Toc2000"/>
      <w:bookmarkStart w:id="348" w:name="_Toc536"/>
      <w:bookmarkStart w:id="349" w:name="_Toc22445"/>
      <w:bookmarkStart w:id="350" w:name="_Toc14048"/>
      <w:bookmarkStart w:id="351" w:name="_Toc8430"/>
      <w:r>
        <w:rPr>
          <w:rFonts w:hint="eastAsia" w:ascii="仿宋" w:hAnsi="仿宋" w:eastAsia="仿宋"/>
          <w:color w:val="auto"/>
          <w:szCs w:val="22"/>
        </w:rPr>
        <w:t>（一）交货期</w:t>
      </w:r>
      <w:bookmarkEnd w:id="347"/>
      <w:bookmarkEnd w:id="348"/>
      <w:bookmarkEnd w:id="349"/>
      <w:bookmarkEnd w:id="350"/>
      <w:bookmarkEnd w:id="351"/>
    </w:p>
    <w:p>
      <w:pPr>
        <w:ind w:firstLine="438"/>
        <w:rPr>
          <w:rFonts w:ascii="仿宋" w:hAnsi="仿宋" w:eastAsia="仿宋"/>
          <w:color w:val="auto"/>
          <w:szCs w:val="22"/>
        </w:rPr>
      </w:pPr>
      <w:bookmarkStart w:id="352" w:name="_Toc6462"/>
      <w:bookmarkStart w:id="353" w:name="_Toc26482"/>
      <w:bookmarkStart w:id="354" w:name="_Toc16735"/>
      <w:bookmarkStart w:id="355" w:name="_Toc15501"/>
      <w:bookmarkStart w:id="356" w:name="_Toc12842"/>
      <w:r>
        <w:rPr>
          <w:rFonts w:hint="eastAsia" w:ascii="仿宋" w:hAnsi="仿宋" w:eastAsia="仿宋"/>
          <w:color w:val="auto"/>
          <w:szCs w:val="22"/>
        </w:rPr>
        <w:t>中标人应在采购合同签订后</w:t>
      </w:r>
      <w:r>
        <w:rPr>
          <w:rFonts w:hint="eastAsia" w:ascii="仿宋" w:hAnsi="仿宋" w:eastAsia="仿宋"/>
          <w:color w:val="auto"/>
          <w:szCs w:val="22"/>
          <w:lang w:val="en-US" w:eastAsia="zh-CN"/>
        </w:rPr>
        <w:t>60</w:t>
      </w:r>
      <w:r>
        <w:rPr>
          <w:rFonts w:hint="eastAsia" w:ascii="仿宋" w:hAnsi="仿宋" w:eastAsia="仿宋"/>
          <w:color w:val="auto"/>
          <w:szCs w:val="22"/>
        </w:rPr>
        <w:t>个日历日内交货并完成安装调试。</w:t>
      </w:r>
    </w:p>
    <w:p>
      <w:pPr>
        <w:ind w:firstLine="438"/>
        <w:rPr>
          <w:rFonts w:ascii="仿宋" w:hAnsi="仿宋" w:eastAsia="仿宋"/>
          <w:color w:val="auto"/>
          <w:szCs w:val="22"/>
        </w:rPr>
      </w:pPr>
      <w:r>
        <w:rPr>
          <w:rFonts w:hint="eastAsia" w:ascii="仿宋" w:hAnsi="仿宋" w:eastAsia="仿宋"/>
          <w:color w:val="auto"/>
          <w:szCs w:val="22"/>
        </w:rPr>
        <w:t>（二）</w:t>
      </w:r>
      <w:bookmarkEnd w:id="352"/>
      <w:bookmarkEnd w:id="353"/>
      <w:bookmarkEnd w:id="354"/>
      <w:bookmarkEnd w:id="355"/>
      <w:bookmarkEnd w:id="356"/>
      <w:r>
        <w:rPr>
          <w:rFonts w:hint="eastAsia" w:ascii="仿宋" w:hAnsi="仿宋" w:eastAsia="仿宋"/>
          <w:color w:val="auto"/>
          <w:szCs w:val="22"/>
        </w:rPr>
        <w:t>交货地点</w:t>
      </w:r>
    </w:p>
    <w:p>
      <w:pPr>
        <w:ind w:firstLine="438"/>
        <w:rPr>
          <w:rFonts w:ascii="仿宋" w:hAnsi="仿宋" w:eastAsia="仿宋"/>
          <w:color w:val="auto"/>
          <w:szCs w:val="22"/>
        </w:rPr>
      </w:pPr>
      <w:bookmarkStart w:id="357" w:name="_Toc1112"/>
      <w:bookmarkStart w:id="358" w:name="_Toc26651"/>
      <w:bookmarkStart w:id="359" w:name="_Toc13080"/>
      <w:bookmarkStart w:id="360" w:name="_Toc3085"/>
      <w:bookmarkStart w:id="361" w:name="_Toc5805"/>
      <w:r>
        <w:rPr>
          <w:rFonts w:hint="eastAsia" w:ascii="仿宋" w:hAnsi="仿宋" w:eastAsia="仿宋"/>
          <w:color w:val="auto"/>
          <w:szCs w:val="22"/>
        </w:rPr>
        <w:t>交货地点：采购</w:t>
      </w:r>
      <w:r>
        <w:rPr>
          <w:rFonts w:hint="eastAsia" w:ascii="仿宋" w:hAnsi="仿宋" w:eastAsia="仿宋"/>
          <w:color w:val="auto"/>
          <w:szCs w:val="22"/>
          <w:lang w:eastAsia="zh-CN"/>
        </w:rPr>
        <w:t>人</w:t>
      </w:r>
      <w:r>
        <w:rPr>
          <w:rFonts w:hint="eastAsia" w:ascii="仿宋" w:hAnsi="仿宋" w:eastAsia="仿宋"/>
          <w:color w:val="auto"/>
          <w:szCs w:val="22"/>
        </w:rPr>
        <w:t>指定地点。</w:t>
      </w:r>
    </w:p>
    <w:p>
      <w:pPr>
        <w:ind w:firstLine="438"/>
        <w:rPr>
          <w:rFonts w:ascii="仿宋" w:hAnsi="仿宋" w:eastAsia="仿宋"/>
          <w:color w:val="auto"/>
          <w:szCs w:val="22"/>
        </w:rPr>
      </w:pPr>
      <w:r>
        <w:rPr>
          <w:rFonts w:hint="eastAsia" w:ascii="仿宋" w:hAnsi="仿宋" w:eastAsia="仿宋"/>
          <w:color w:val="auto"/>
          <w:szCs w:val="22"/>
        </w:rPr>
        <w:t>（三）验收方式</w:t>
      </w:r>
      <w:bookmarkEnd w:id="357"/>
      <w:bookmarkEnd w:id="358"/>
      <w:bookmarkEnd w:id="359"/>
      <w:bookmarkEnd w:id="360"/>
      <w:bookmarkEnd w:id="361"/>
    </w:p>
    <w:p>
      <w:pPr>
        <w:snapToGrid w:val="0"/>
        <w:ind w:firstLine="438"/>
        <w:rPr>
          <w:rFonts w:ascii="仿宋" w:hAnsi="仿宋" w:eastAsia="仿宋" w:cs="等线"/>
          <w:color w:val="auto"/>
          <w:kern w:val="0"/>
          <w:szCs w:val="24"/>
        </w:rPr>
      </w:pPr>
      <w:bookmarkStart w:id="362" w:name="_Toc28205"/>
      <w:bookmarkStart w:id="363" w:name="_Toc22188"/>
      <w:bookmarkStart w:id="364" w:name="_Toc18787"/>
      <w:bookmarkStart w:id="365" w:name="_Toc21633"/>
      <w:bookmarkStart w:id="366" w:name="_Toc3823"/>
      <w:bookmarkStart w:id="367" w:name="_Toc1847"/>
      <w:bookmarkStart w:id="368" w:name="_Toc840"/>
      <w:bookmarkStart w:id="369" w:name="_Toc2854"/>
      <w:bookmarkStart w:id="370" w:name="_Toc63600415"/>
      <w:bookmarkStart w:id="371" w:name="_Toc31981"/>
      <w:bookmarkStart w:id="372" w:name="_Toc31294"/>
      <w:bookmarkStart w:id="373" w:name="_Toc24605"/>
      <w:r>
        <w:rPr>
          <w:rFonts w:hint="eastAsia" w:ascii="仿宋" w:hAnsi="仿宋" w:eastAsia="仿宋" w:cs="等线"/>
          <w:color w:val="auto"/>
          <w:kern w:val="0"/>
          <w:szCs w:val="24"/>
        </w:rPr>
        <w:t>1.货物到达现场后，中标人应在使用单位人员在场情况下当面开箱，共同清点、检查外观，作出开箱记录，双方签字确认。</w:t>
      </w:r>
    </w:p>
    <w:p>
      <w:pPr>
        <w:snapToGrid w:val="0"/>
        <w:ind w:firstLine="438"/>
        <w:rPr>
          <w:rFonts w:ascii="仿宋" w:hAnsi="仿宋" w:eastAsia="仿宋" w:cs="等线"/>
          <w:color w:val="auto"/>
          <w:kern w:val="0"/>
          <w:szCs w:val="24"/>
        </w:rPr>
      </w:pPr>
      <w:r>
        <w:rPr>
          <w:rFonts w:hint="eastAsia" w:ascii="仿宋" w:hAnsi="仿宋" w:eastAsia="仿宋" w:cs="等线"/>
          <w:color w:val="auto"/>
          <w:kern w:val="0"/>
          <w:szCs w:val="24"/>
        </w:rPr>
        <w:t>2.中标人应保证货物到达采购人所在地完好无损，如有缺漏、损坏，由投标人负责调换、补齐或赔偿。</w:t>
      </w:r>
    </w:p>
    <w:p>
      <w:pPr>
        <w:snapToGrid w:val="0"/>
        <w:ind w:firstLine="438"/>
        <w:rPr>
          <w:rFonts w:ascii="仿宋" w:hAnsi="仿宋" w:eastAsia="仿宋" w:cs="等线"/>
          <w:color w:val="auto"/>
          <w:kern w:val="0"/>
          <w:szCs w:val="24"/>
        </w:rPr>
      </w:pPr>
      <w:r>
        <w:rPr>
          <w:rFonts w:hint="eastAsia" w:ascii="仿宋" w:hAnsi="仿宋" w:eastAsia="仿宋" w:cs="等线"/>
          <w:color w:val="auto"/>
          <w:kern w:val="0"/>
          <w:szCs w:val="24"/>
        </w:rPr>
        <w:t>3.中标人应提供完备的技术资料、装箱单和合格证等，并派遣专业技术人员进行现场安装调试。验收合格条件如下：</w:t>
      </w:r>
    </w:p>
    <w:p>
      <w:pPr>
        <w:snapToGrid w:val="0"/>
        <w:ind w:firstLine="438"/>
        <w:rPr>
          <w:rFonts w:ascii="仿宋" w:hAnsi="仿宋" w:eastAsia="仿宋" w:cs="等线"/>
          <w:color w:val="auto"/>
          <w:kern w:val="0"/>
          <w:szCs w:val="24"/>
        </w:rPr>
      </w:pPr>
      <w:r>
        <w:rPr>
          <w:rFonts w:hint="eastAsia" w:ascii="仿宋" w:hAnsi="仿宋" w:eastAsia="仿宋" w:cs="等线"/>
          <w:color w:val="auto"/>
          <w:kern w:val="0"/>
          <w:szCs w:val="24"/>
        </w:rPr>
        <w:t>3.1设备技术参数与采购合同一致，性能指标达到规定的标准。</w:t>
      </w:r>
    </w:p>
    <w:p>
      <w:pPr>
        <w:snapToGrid w:val="0"/>
        <w:ind w:firstLine="438"/>
        <w:rPr>
          <w:rFonts w:ascii="仿宋" w:hAnsi="仿宋" w:eastAsia="仿宋" w:cs="等线"/>
          <w:color w:val="auto"/>
          <w:kern w:val="0"/>
          <w:szCs w:val="24"/>
        </w:rPr>
      </w:pPr>
      <w:r>
        <w:rPr>
          <w:rFonts w:hint="eastAsia" w:ascii="仿宋" w:hAnsi="仿宋" w:eastAsia="仿宋" w:cs="等线"/>
          <w:color w:val="auto"/>
          <w:kern w:val="0"/>
          <w:szCs w:val="24"/>
        </w:rPr>
        <w:t>3.2货物技术资料、装箱单、合格证等资料齐全。</w:t>
      </w:r>
    </w:p>
    <w:p>
      <w:pPr>
        <w:snapToGrid w:val="0"/>
        <w:ind w:firstLine="438"/>
        <w:rPr>
          <w:rFonts w:ascii="仿宋" w:hAnsi="仿宋" w:eastAsia="仿宋" w:cs="等线"/>
          <w:color w:val="auto"/>
          <w:kern w:val="0"/>
          <w:szCs w:val="24"/>
        </w:rPr>
      </w:pPr>
      <w:r>
        <w:rPr>
          <w:rFonts w:hint="eastAsia" w:ascii="仿宋" w:hAnsi="仿宋" w:eastAsia="仿宋" w:cs="等线"/>
          <w:color w:val="auto"/>
          <w:kern w:val="0"/>
          <w:szCs w:val="24"/>
        </w:rPr>
        <w:t>3.3在系统试运行期间所出现的问题得到解决，并运行正常。</w:t>
      </w:r>
    </w:p>
    <w:p>
      <w:pPr>
        <w:snapToGrid w:val="0"/>
        <w:ind w:firstLine="438"/>
        <w:rPr>
          <w:rFonts w:ascii="仿宋" w:hAnsi="仿宋" w:eastAsia="仿宋" w:cs="等线"/>
          <w:color w:val="auto"/>
          <w:kern w:val="0"/>
          <w:szCs w:val="24"/>
        </w:rPr>
      </w:pPr>
      <w:r>
        <w:rPr>
          <w:rFonts w:hint="eastAsia" w:ascii="仿宋" w:hAnsi="仿宋" w:eastAsia="仿宋" w:cs="等线"/>
          <w:color w:val="auto"/>
          <w:kern w:val="0"/>
          <w:szCs w:val="24"/>
        </w:rPr>
        <w:t>3.4在规定时间内完成交货并验收，并经采购人确认。</w:t>
      </w:r>
    </w:p>
    <w:p>
      <w:pPr>
        <w:snapToGrid w:val="0"/>
        <w:ind w:firstLine="438"/>
        <w:rPr>
          <w:rFonts w:hint="eastAsia" w:ascii="仿宋" w:hAnsi="仿宋" w:eastAsia="仿宋" w:cs="等线"/>
          <w:color w:val="auto"/>
          <w:kern w:val="0"/>
          <w:szCs w:val="24"/>
        </w:rPr>
      </w:pPr>
      <w:r>
        <w:rPr>
          <w:rFonts w:hint="eastAsia" w:ascii="仿宋" w:hAnsi="仿宋" w:eastAsia="仿宋" w:cs="等线"/>
          <w:color w:val="auto"/>
          <w:kern w:val="0"/>
          <w:szCs w:val="24"/>
        </w:rPr>
        <w:t>4.产品在安装调试并试运行符合要求后，才作为最终验收。</w:t>
      </w:r>
    </w:p>
    <w:p>
      <w:pPr>
        <w:snapToGrid w:val="0"/>
        <w:ind w:firstLine="438"/>
        <w:rPr>
          <w:rFonts w:ascii="仿宋" w:hAnsi="仿宋" w:eastAsia="仿宋" w:cs="等线"/>
          <w:color w:val="auto"/>
          <w:kern w:val="0"/>
          <w:szCs w:val="24"/>
        </w:rPr>
      </w:pPr>
      <w:r>
        <w:rPr>
          <w:rFonts w:hint="eastAsia" w:ascii="仿宋" w:hAnsi="仿宋" w:eastAsia="仿宋" w:cs="等线"/>
          <w:color w:val="auto"/>
          <w:kern w:val="0"/>
          <w:szCs w:val="24"/>
          <w:lang w:val="en-US" w:eastAsia="zh-CN"/>
        </w:rPr>
        <w:t>5.</w:t>
      </w:r>
      <w:r>
        <w:rPr>
          <w:rFonts w:hint="eastAsia" w:ascii="仿宋" w:hAnsi="仿宋" w:eastAsia="仿宋" w:cs="等线"/>
          <w:color w:val="auto"/>
          <w:kern w:val="0"/>
          <w:szCs w:val="24"/>
        </w:rPr>
        <w:t>中标人提供的货物未达到招标文件规定要求，且对采购人造成损失的，由中标人承担一切责任，并赔偿所造成的损失。</w:t>
      </w:r>
    </w:p>
    <w:p>
      <w:pPr>
        <w:snapToGrid w:val="0"/>
        <w:ind w:firstLine="438"/>
        <w:rPr>
          <w:rFonts w:ascii="仿宋" w:hAnsi="仿宋" w:eastAsia="仿宋" w:cs="等线"/>
          <w:color w:val="auto"/>
          <w:kern w:val="0"/>
          <w:szCs w:val="24"/>
        </w:rPr>
      </w:pPr>
      <w:r>
        <w:rPr>
          <w:rFonts w:hint="eastAsia" w:ascii="仿宋" w:hAnsi="仿宋" w:eastAsia="仿宋" w:cs="等线"/>
          <w:color w:val="auto"/>
          <w:kern w:val="0"/>
          <w:szCs w:val="24"/>
          <w:lang w:val="en-US" w:eastAsia="zh-CN"/>
        </w:rPr>
        <w:t>6</w:t>
      </w:r>
      <w:r>
        <w:rPr>
          <w:rFonts w:hint="eastAsia" w:ascii="仿宋" w:hAnsi="仿宋" w:eastAsia="仿宋" w:cs="等线"/>
          <w:color w:val="auto"/>
          <w:kern w:val="0"/>
          <w:szCs w:val="24"/>
        </w:rPr>
        <w:t>.大型或者复杂的政府采购项目，采购人应当邀请国家认可的质量检测机构参加验收工作。</w:t>
      </w:r>
    </w:p>
    <w:p>
      <w:pPr>
        <w:snapToGrid w:val="0"/>
        <w:ind w:firstLine="438"/>
        <w:rPr>
          <w:rFonts w:ascii="仿宋" w:hAnsi="仿宋" w:eastAsia="仿宋" w:cs="等线"/>
          <w:color w:val="auto"/>
          <w:kern w:val="0"/>
          <w:szCs w:val="24"/>
        </w:rPr>
      </w:pPr>
      <w:r>
        <w:rPr>
          <w:rFonts w:hint="eastAsia" w:ascii="仿宋" w:hAnsi="仿宋" w:eastAsia="仿宋" w:cs="等线"/>
          <w:color w:val="auto"/>
          <w:kern w:val="0"/>
          <w:szCs w:val="24"/>
          <w:lang w:val="en-US" w:eastAsia="zh-CN"/>
        </w:rPr>
        <w:t>7</w:t>
      </w:r>
      <w:r>
        <w:rPr>
          <w:rFonts w:hint="eastAsia" w:ascii="仿宋" w:hAnsi="仿宋" w:eastAsia="仿宋" w:cs="等线"/>
          <w:color w:val="auto"/>
          <w:kern w:val="0"/>
          <w:szCs w:val="24"/>
        </w:rPr>
        <w:t>.采购人需要制造商对中标人交付的产品（包括质量、技术参数等）进行确认的，制造商应予以配合，并出具书面意见。</w:t>
      </w:r>
    </w:p>
    <w:p>
      <w:pPr>
        <w:snapToGrid w:val="0"/>
        <w:ind w:firstLine="438"/>
        <w:rPr>
          <w:rFonts w:hint="eastAsia" w:ascii="仿宋" w:hAnsi="仿宋" w:eastAsia="仿宋" w:cs="等线"/>
          <w:color w:val="auto"/>
          <w:kern w:val="0"/>
          <w:szCs w:val="24"/>
        </w:rPr>
      </w:pPr>
      <w:r>
        <w:rPr>
          <w:rFonts w:hint="eastAsia" w:ascii="仿宋" w:hAnsi="仿宋" w:eastAsia="仿宋" w:cs="等线"/>
          <w:color w:val="auto"/>
          <w:kern w:val="0"/>
          <w:szCs w:val="24"/>
          <w:lang w:val="en-US" w:eastAsia="zh-CN"/>
        </w:rPr>
        <w:t>8</w:t>
      </w:r>
      <w:r>
        <w:rPr>
          <w:rFonts w:hint="eastAsia" w:ascii="仿宋" w:hAnsi="仿宋" w:eastAsia="仿宋" w:cs="等线"/>
          <w:color w:val="auto"/>
          <w:kern w:val="0"/>
          <w:szCs w:val="24"/>
        </w:rPr>
        <w:t>.产品包装材料归采购人所有。</w:t>
      </w:r>
    </w:p>
    <w:p>
      <w:pPr>
        <w:pStyle w:val="10"/>
      </w:pPr>
      <w:r>
        <w:rPr>
          <w:rFonts w:hint="eastAsia" w:ascii="仿宋" w:hAnsi="仿宋" w:eastAsia="仿宋" w:cs="等线"/>
          <w:color w:val="auto"/>
          <w:kern w:val="0"/>
          <w:sz w:val="24"/>
          <w:szCs w:val="24"/>
          <w:lang w:val="en-US" w:eastAsia="zh-CN" w:bidi="ar-SA"/>
        </w:rPr>
        <w:t>9.合同执行完毕，采购人或采购代理机构原则上应在7个工作日内组织履约情况验收，不得无故拖延或附加额外条件。</w:t>
      </w:r>
    </w:p>
    <w:p>
      <w:pPr>
        <w:pStyle w:val="4"/>
        <w:spacing w:before="196" w:after="196"/>
        <w:ind w:firstLine="520"/>
        <w:rPr>
          <w:rFonts w:ascii="仿宋" w:hAnsi="仿宋" w:eastAsia="仿宋"/>
          <w:color w:val="auto"/>
          <w:szCs w:val="22"/>
        </w:rPr>
      </w:pPr>
      <w:bookmarkStart w:id="374" w:name="_Toc2677"/>
      <w:r>
        <w:rPr>
          <w:rFonts w:hint="eastAsia" w:ascii="仿宋" w:hAnsi="仿宋" w:eastAsia="仿宋"/>
          <w:color w:val="auto"/>
          <w:szCs w:val="22"/>
        </w:rPr>
        <w:t>※二、报价要求</w:t>
      </w:r>
      <w:bookmarkEnd w:id="362"/>
      <w:bookmarkEnd w:id="363"/>
      <w:bookmarkEnd w:id="364"/>
      <w:bookmarkEnd w:id="365"/>
      <w:bookmarkEnd w:id="366"/>
      <w:bookmarkEnd w:id="367"/>
      <w:bookmarkEnd w:id="368"/>
      <w:bookmarkEnd w:id="369"/>
      <w:bookmarkEnd w:id="370"/>
      <w:bookmarkEnd w:id="371"/>
      <w:bookmarkEnd w:id="372"/>
      <w:bookmarkEnd w:id="373"/>
      <w:bookmarkEnd w:id="374"/>
    </w:p>
    <w:p>
      <w:pPr>
        <w:ind w:firstLine="438"/>
        <w:rPr>
          <w:rFonts w:ascii="仿宋" w:hAnsi="仿宋" w:eastAsia="仿宋"/>
          <w:color w:val="auto"/>
          <w:szCs w:val="22"/>
        </w:rPr>
      </w:pPr>
      <w:bookmarkStart w:id="375" w:name="_Hlk85189087"/>
      <w:r>
        <w:rPr>
          <w:rFonts w:hint="eastAsia" w:ascii="仿宋" w:hAnsi="仿宋" w:eastAsia="仿宋"/>
          <w:color w:val="auto"/>
          <w:szCs w:val="22"/>
        </w:rPr>
        <w:t>本次报价须为人民币报价，投标人应根据本招标文件、国家有关标准规范结合本项目特点和现场情况，自行编制报价，包含：产品价、运输费（含装卸费）、保险费、安装调试费、税费、培训费等货到采购人指定地点的所有费用。因投标人自身原因造成漏报、少报皆由其自行承担责任，采购人不再补偿。</w:t>
      </w:r>
    </w:p>
    <w:bookmarkEnd w:id="375"/>
    <w:p>
      <w:pPr>
        <w:pStyle w:val="4"/>
        <w:spacing w:before="196" w:after="196"/>
        <w:ind w:firstLine="520"/>
        <w:rPr>
          <w:rFonts w:ascii="仿宋" w:hAnsi="仿宋" w:eastAsia="仿宋"/>
          <w:color w:val="auto"/>
          <w:szCs w:val="22"/>
        </w:rPr>
      </w:pPr>
      <w:bookmarkStart w:id="376" w:name="_Toc11116"/>
      <w:bookmarkStart w:id="377" w:name="_Toc25784"/>
      <w:bookmarkStart w:id="378" w:name="_Toc15476"/>
      <w:bookmarkStart w:id="379" w:name="_Toc23389"/>
      <w:bookmarkStart w:id="380" w:name="_Toc12905"/>
      <w:bookmarkStart w:id="381" w:name="_Toc23037"/>
      <w:bookmarkStart w:id="382" w:name="_Toc63600416"/>
      <w:bookmarkStart w:id="383" w:name="_Toc9853"/>
      <w:r>
        <w:rPr>
          <w:rFonts w:hint="eastAsia" w:ascii="仿宋" w:hAnsi="仿宋" w:eastAsia="仿宋"/>
          <w:color w:val="auto"/>
          <w:szCs w:val="22"/>
        </w:rPr>
        <w:t>※三、</w:t>
      </w:r>
      <w:bookmarkEnd w:id="376"/>
      <w:bookmarkEnd w:id="377"/>
      <w:bookmarkEnd w:id="378"/>
      <w:bookmarkEnd w:id="379"/>
      <w:bookmarkEnd w:id="380"/>
      <w:bookmarkEnd w:id="381"/>
      <w:r>
        <w:rPr>
          <w:rFonts w:hint="eastAsia" w:ascii="仿宋" w:hAnsi="仿宋" w:eastAsia="仿宋"/>
          <w:color w:val="auto"/>
          <w:szCs w:val="22"/>
        </w:rPr>
        <w:t>质量保证及售后服务</w:t>
      </w:r>
      <w:bookmarkEnd w:id="382"/>
      <w:bookmarkEnd w:id="383"/>
    </w:p>
    <w:p>
      <w:pPr>
        <w:adjustRightInd w:val="0"/>
        <w:ind w:firstLine="438"/>
        <w:rPr>
          <w:rFonts w:ascii="仿宋" w:hAnsi="仿宋" w:eastAsia="仿宋"/>
          <w:color w:val="auto"/>
          <w:szCs w:val="22"/>
        </w:rPr>
      </w:pPr>
      <w:bookmarkStart w:id="384" w:name="_Toc27525"/>
      <w:bookmarkStart w:id="385" w:name="_Toc2377"/>
      <w:bookmarkStart w:id="386" w:name="_Toc13619"/>
      <w:bookmarkStart w:id="387" w:name="_Toc25982"/>
      <w:bookmarkStart w:id="388" w:name="_Toc4472"/>
      <w:bookmarkStart w:id="389" w:name="_Toc16677"/>
      <w:bookmarkStart w:id="390" w:name="_Toc2875"/>
      <w:bookmarkStart w:id="391" w:name="_Toc30461"/>
      <w:bookmarkStart w:id="392" w:name="_Toc26590"/>
      <w:bookmarkStart w:id="393" w:name="_Toc63600417"/>
      <w:bookmarkStart w:id="394" w:name="_Toc26152"/>
      <w:r>
        <w:rPr>
          <w:rFonts w:hint="eastAsia" w:ascii="仿宋" w:hAnsi="仿宋" w:eastAsia="仿宋"/>
          <w:color w:val="auto"/>
          <w:szCs w:val="22"/>
        </w:rPr>
        <w:t>（一）产品质量保证及售后服务期</w:t>
      </w:r>
    </w:p>
    <w:p>
      <w:pPr>
        <w:adjustRightInd w:val="0"/>
        <w:ind w:firstLine="438"/>
        <w:rPr>
          <w:rFonts w:hint="eastAsia" w:ascii="仿宋" w:hAnsi="仿宋" w:eastAsia="仿宋"/>
          <w:color w:val="auto"/>
          <w:sz w:val="24"/>
          <w:szCs w:val="24"/>
        </w:rPr>
      </w:pPr>
      <w:r>
        <w:rPr>
          <w:rFonts w:hint="eastAsia" w:ascii="仿宋" w:hAnsi="仿宋" w:eastAsia="仿宋"/>
          <w:color w:val="auto"/>
          <w:szCs w:val="22"/>
        </w:rPr>
        <w:t>1</w:t>
      </w:r>
      <w:r>
        <w:rPr>
          <w:rFonts w:hint="eastAsia" w:ascii="仿宋" w:hAnsi="仿宋" w:eastAsia="仿宋"/>
          <w:color w:val="auto"/>
          <w:szCs w:val="22"/>
          <w:lang w:val="en-US" w:eastAsia="zh-CN"/>
        </w:rPr>
        <w:t>.</w:t>
      </w:r>
      <w:r>
        <w:rPr>
          <w:rFonts w:hint="eastAsia" w:ascii="仿宋" w:hAnsi="仿宋" w:eastAsia="仿宋"/>
          <w:color w:val="auto"/>
          <w:sz w:val="24"/>
          <w:szCs w:val="24"/>
        </w:rPr>
        <w:t>本项目所有设备自竣工验收合格之日起，提供3年的免费质保期和运维期。质量要求达到国家现行有关施工质量验收规范要求，并达到合格标准。安全要求达到国家现行施工安全规范标准。质保期及运维期限三年从竣工验收合格次日起开始计算。</w:t>
      </w:r>
    </w:p>
    <w:p>
      <w:pPr>
        <w:adjustRightInd w:val="0"/>
        <w:ind w:firstLine="438"/>
        <w:rPr>
          <w:rFonts w:hint="eastAsia" w:ascii="仿宋" w:hAnsi="仿宋" w:eastAsia="仿宋"/>
          <w:color w:val="auto"/>
          <w:szCs w:val="22"/>
        </w:rPr>
      </w:pPr>
      <w:r>
        <w:rPr>
          <w:rFonts w:hint="eastAsia" w:ascii="仿宋" w:hAnsi="仿宋" w:eastAsia="仿宋"/>
          <w:color w:val="auto"/>
          <w:szCs w:val="22"/>
        </w:rPr>
        <w:t>2.</w:t>
      </w:r>
      <w:r>
        <w:rPr>
          <w:rFonts w:hint="eastAsia" w:ascii="仿宋" w:hAnsi="仿宋" w:eastAsia="仿宋"/>
          <w:color w:val="auto"/>
          <w:szCs w:val="22"/>
          <w:lang w:eastAsia="zh-CN"/>
        </w:rPr>
        <w:t>投</w:t>
      </w:r>
      <w:r>
        <w:rPr>
          <w:rFonts w:hint="eastAsia" w:ascii="仿宋" w:hAnsi="仿宋" w:eastAsia="仿宋"/>
          <w:color w:val="auto"/>
          <w:szCs w:val="22"/>
        </w:rPr>
        <w:t>标人的质量保证期承诺优于上述年限的，按</w:t>
      </w:r>
      <w:r>
        <w:rPr>
          <w:rFonts w:hint="eastAsia" w:ascii="仿宋" w:hAnsi="仿宋" w:eastAsia="仿宋"/>
          <w:color w:val="auto"/>
          <w:szCs w:val="22"/>
          <w:lang w:eastAsia="zh-CN"/>
        </w:rPr>
        <w:t>投</w:t>
      </w:r>
      <w:r>
        <w:rPr>
          <w:rFonts w:hint="eastAsia" w:ascii="仿宋" w:hAnsi="仿宋" w:eastAsia="仿宋"/>
          <w:color w:val="auto"/>
          <w:szCs w:val="22"/>
        </w:rPr>
        <w:t>标人实际承诺执行。</w:t>
      </w:r>
    </w:p>
    <w:p>
      <w:pPr>
        <w:adjustRightInd w:val="0"/>
        <w:ind w:firstLine="438"/>
        <w:rPr>
          <w:rFonts w:ascii="仿宋" w:hAnsi="仿宋" w:eastAsia="仿宋"/>
          <w:color w:val="auto"/>
          <w:szCs w:val="22"/>
        </w:rPr>
      </w:pPr>
      <w:r>
        <w:rPr>
          <w:rFonts w:hint="eastAsia" w:ascii="仿宋" w:hAnsi="仿宋" w:eastAsia="仿宋"/>
          <w:color w:val="auto"/>
          <w:szCs w:val="22"/>
        </w:rPr>
        <w:t>3.采购货物由产品生产厂家（指产品生产厂家或其负责销售、售后服务机构，以下同）负责标准售后服务，应当在投标文件中予以明确说明，并附厂家售后服务承诺。</w:t>
      </w:r>
    </w:p>
    <w:p>
      <w:pPr>
        <w:adjustRightInd w:val="0"/>
        <w:ind w:firstLine="438"/>
        <w:rPr>
          <w:rFonts w:ascii="仿宋" w:hAnsi="仿宋" w:eastAsia="仿宋"/>
          <w:color w:val="auto"/>
          <w:szCs w:val="22"/>
        </w:rPr>
      </w:pPr>
      <w:r>
        <w:rPr>
          <w:rFonts w:hint="eastAsia" w:ascii="仿宋" w:hAnsi="仿宋" w:eastAsia="仿宋"/>
          <w:color w:val="auto"/>
          <w:szCs w:val="22"/>
        </w:rPr>
        <w:t>（二）售后服务内容</w:t>
      </w:r>
    </w:p>
    <w:p>
      <w:pPr>
        <w:adjustRightInd w:val="0"/>
        <w:ind w:firstLine="438"/>
        <w:rPr>
          <w:rFonts w:ascii="仿宋" w:hAnsi="仿宋" w:eastAsia="仿宋"/>
          <w:color w:val="auto"/>
          <w:szCs w:val="22"/>
        </w:rPr>
      </w:pPr>
      <w:r>
        <w:rPr>
          <w:rFonts w:hint="eastAsia" w:ascii="仿宋" w:hAnsi="仿宋" w:eastAsia="仿宋"/>
          <w:color w:val="auto"/>
          <w:szCs w:val="22"/>
        </w:rPr>
        <w:t>投标人和制造商在质量保证期内应当为采购人提供以下技术支持和服务：</w:t>
      </w:r>
    </w:p>
    <w:p>
      <w:pPr>
        <w:adjustRightInd w:val="0"/>
        <w:ind w:firstLine="438"/>
        <w:rPr>
          <w:rFonts w:hint="eastAsia" w:ascii="仿宋" w:hAnsi="仿宋" w:eastAsia="仿宋"/>
          <w:color w:val="auto"/>
          <w:szCs w:val="22"/>
        </w:rPr>
      </w:pPr>
      <w:r>
        <w:rPr>
          <w:rFonts w:hint="eastAsia" w:ascii="仿宋" w:hAnsi="仿宋" w:eastAsia="仿宋"/>
          <w:color w:val="auto"/>
          <w:szCs w:val="22"/>
          <w:lang w:val="en-US" w:eastAsia="zh-CN"/>
        </w:rPr>
        <w:t>1.</w:t>
      </w:r>
      <w:r>
        <w:rPr>
          <w:rFonts w:hint="eastAsia" w:ascii="仿宋" w:hAnsi="仿宋" w:eastAsia="仿宋"/>
          <w:color w:val="auto"/>
          <w:szCs w:val="22"/>
        </w:rPr>
        <w:t>质量保证期内服务要求</w:t>
      </w:r>
    </w:p>
    <w:p>
      <w:pPr>
        <w:adjustRightInd w:val="0"/>
        <w:ind w:firstLine="438"/>
        <w:rPr>
          <w:rFonts w:ascii="仿宋" w:hAnsi="仿宋" w:eastAsia="仿宋"/>
          <w:color w:val="auto"/>
          <w:szCs w:val="22"/>
        </w:rPr>
      </w:pPr>
      <w:r>
        <w:rPr>
          <w:rFonts w:hint="eastAsia" w:ascii="仿宋" w:hAnsi="仿宋" w:eastAsia="仿宋"/>
          <w:color w:val="auto"/>
          <w:szCs w:val="22"/>
        </w:rPr>
        <w:t>1.1电话咨询</w:t>
      </w:r>
    </w:p>
    <w:p>
      <w:pPr>
        <w:adjustRightInd w:val="0"/>
        <w:ind w:firstLine="438"/>
        <w:rPr>
          <w:rFonts w:ascii="仿宋" w:hAnsi="仿宋" w:eastAsia="仿宋"/>
          <w:color w:val="auto"/>
          <w:szCs w:val="22"/>
        </w:rPr>
      </w:pPr>
      <w:r>
        <w:rPr>
          <w:rFonts w:hint="eastAsia" w:ascii="仿宋" w:hAnsi="仿宋" w:eastAsia="仿宋"/>
          <w:color w:val="auto"/>
          <w:szCs w:val="22"/>
        </w:rPr>
        <w:t>投标人和制造商应当为采购人提供技术援助电话，解答采购人在使用中遇到的问题，及时为采购人提出解决问题的建议。</w:t>
      </w:r>
    </w:p>
    <w:p>
      <w:pPr>
        <w:adjustRightInd w:val="0"/>
        <w:ind w:firstLine="438"/>
        <w:rPr>
          <w:rFonts w:ascii="仿宋" w:hAnsi="仿宋" w:eastAsia="仿宋"/>
          <w:color w:val="auto"/>
          <w:szCs w:val="22"/>
        </w:rPr>
      </w:pPr>
      <w:r>
        <w:rPr>
          <w:rFonts w:hint="eastAsia" w:ascii="仿宋" w:hAnsi="仿宋" w:eastAsia="仿宋"/>
          <w:color w:val="auto"/>
          <w:szCs w:val="22"/>
        </w:rPr>
        <w:t>1.2现场响应</w:t>
      </w:r>
    </w:p>
    <w:p>
      <w:pPr>
        <w:adjustRightInd w:val="0"/>
        <w:ind w:firstLine="438"/>
        <w:rPr>
          <w:rFonts w:ascii="仿宋" w:hAnsi="仿宋" w:eastAsia="仿宋"/>
          <w:color w:val="auto"/>
          <w:szCs w:val="22"/>
        </w:rPr>
      </w:pPr>
      <w:r>
        <w:rPr>
          <w:rFonts w:hint="eastAsia" w:ascii="仿宋" w:hAnsi="仿宋" w:eastAsia="仿宋"/>
          <w:color w:val="auto"/>
          <w:szCs w:val="22"/>
        </w:rPr>
        <w:t>采购人遇到使用及技术问题，电话咨询不能解决的，投标人和制造商在</w:t>
      </w:r>
      <w:r>
        <w:rPr>
          <w:rFonts w:hint="eastAsia" w:ascii="仿宋" w:hAnsi="仿宋" w:eastAsia="仿宋" w:cs="等线"/>
          <w:color w:val="auto"/>
          <w:kern w:val="0"/>
          <w:szCs w:val="24"/>
          <w:lang w:eastAsia="zh-CN"/>
        </w:rPr>
        <w:t>6小时内到达现场进行处理，确保产品正常工作；无法在24小时内解决的，应在48小时内提供备用产品，使采购人能够正常使用。</w:t>
      </w:r>
    </w:p>
    <w:p>
      <w:pPr>
        <w:adjustRightInd w:val="0"/>
        <w:ind w:firstLine="438"/>
        <w:rPr>
          <w:rFonts w:ascii="仿宋" w:hAnsi="仿宋" w:eastAsia="仿宋"/>
          <w:color w:val="auto"/>
          <w:szCs w:val="22"/>
        </w:rPr>
      </w:pPr>
      <w:r>
        <w:rPr>
          <w:rFonts w:hint="eastAsia" w:ascii="仿宋" w:hAnsi="仿宋" w:eastAsia="仿宋"/>
          <w:color w:val="auto"/>
          <w:szCs w:val="22"/>
        </w:rPr>
        <w:t>1.3技术升级</w:t>
      </w:r>
    </w:p>
    <w:p>
      <w:pPr>
        <w:adjustRightInd w:val="0"/>
        <w:ind w:firstLine="438"/>
        <w:rPr>
          <w:rFonts w:ascii="仿宋" w:hAnsi="仿宋" w:eastAsia="仿宋"/>
          <w:color w:val="auto"/>
          <w:szCs w:val="22"/>
        </w:rPr>
      </w:pPr>
      <w:r>
        <w:rPr>
          <w:rFonts w:hint="eastAsia" w:ascii="仿宋" w:hAnsi="仿宋" w:eastAsia="仿宋"/>
          <w:color w:val="auto"/>
          <w:szCs w:val="22"/>
        </w:rPr>
        <w:t>在质保期内，如果投标人和制造商的产品技术升级，投标人应及时通知采购人，如采购人有相应要求，投标人和制造商应对采购人购买的产品进行升级服务。</w:t>
      </w:r>
    </w:p>
    <w:p>
      <w:pPr>
        <w:adjustRightInd w:val="0"/>
        <w:ind w:firstLine="438"/>
        <w:rPr>
          <w:rFonts w:ascii="仿宋" w:hAnsi="仿宋" w:eastAsia="仿宋"/>
          <w:color w:val="auto"/>
          <w:szCs w:val="22"/>
        </w:rPr>
      </w:pPr>
      <w:r>
        <w:rPr>
          <w:rFonts w:hint="eastAsia" w:ascii="仿宋" w:hAnsi="仿宋" w:eastAsia="仿宋"/>
          <w:color w:val="auto"/>
          <w:szCs w:val="22"/>
          <w:lang w:val="en-US" w:eastAsia="zh-CN"/>
        </w:rPr>
        <w:t>2.</w:t>
      </w:r>
      <w:r>
        <w:rPr>
          <w:rFonts w:hint="eastAsia" w:ascii="仿宋" w:hAnsi="仿宋" w:eastAsia="仿宋"/>
          <w:color w:val="auto"/>
          <w:szCs w:val="22"/>
        </w:rPr>
        <w:t>其他服务要求：</w:t>
      </w:r>
    </w:p>
    <w:p>
      <w:pPr>
        <w:adjustRightInd w:val="0"/>
        <w:ind w:firstLine="438"/>
        <w:rPr>
          <w:rFonts w:ascii="仿宋" w:hAnsi="仿宋" w:eastAsia="仿宋"/>
          <w:color w:val="auto"/>
          <w:szCs w:val="22"/>
        </w:rPr>
      </w:pPr>
      <w:r>
        <w:rPr>
          <w:rFonts w:hint="eastAsia" w:ascii="仿宋" w:hAnsi="仿宋" w:eastAsia="仿宋"/>
          <w:color w:val="auto"/>
          <w:szCs w:val="22"/>
          <w:lang w:val="en-US" w:eastAsia="zh-CN"/>
        </w:rPr>
        <w:t>2.1</w:t>
      </w:r>
      <w:r>
        <w:rPr>
          <w:rFonts w:hint="eastAsia" w:ascii="仿宋" w:hAnsi="仿宋" w:eastAsia="仿宋"/>
          <w:color w:val="auto"/>
          <w:szCs w:val="22"/>
        </w:rPr>
        <w:t>同一质量问题，修理两次仍达不到标准要求的，</w:t>
      </w:r>
      <w:r>
        <w:rPr>
          <w:rFonts w:hint="eastAsia" w:ascii="仿宋" w:hAnsi="仿宋" w:eastAsia="仿宋"/>
          <w:color w:val="auto"/>
          <w:szCs w:val="22"/>
          <w:lang w:eastAsia="zh-CN"/>
        </w:rPr>
        <w:t>投标人</w:t>
      </w:r>
      <w:r>
        <w:rPr>
          <w:rFonts w:hint="eastAsia" w:ascii="仿宋" w:hAnsi="仿宋" w:eastAsia="仿宋"/>
          <w:color w:val="auto"/>
          <w:szCs w:val="22"/>
        </w:rPr>
        <w:t>应为采购人免费调换合同规定的产品。</w:t>
      </w:r>
    </w:p>
    <w:p>
      <w:pPr>
        <w:adjustRightInd w:val="0"/>
        <w:ind w:firstLine="438"/>
        <w:rPr>
          <w:rFonts w:ascii="仿宋" w:hAnsi="仿宋" w:eastAsia="仿宋"/>
          <w:color w:val="auto"/>
          <w:szCs w:val="22"/>
        </w:rPr>
      </w:pPr>
      <w:r>
        <w:rPr>
          <w:rFonts w:hint="eastAsia" w:ascii="仿宋" w:hAnsi="仿宋" w:eastAsia="仿宋"/>
          <w:color w:val="auto"/>
          <w:szCs w:val="22"/>
          <w:lang w:val="en-US" w:eastAsia="zh-CN"/>
        </w:rPr>
        <w:t>2.2</w:t>
      </w:r>
      <w:r>
        <w:rPr>
          <w:rFonts w:hint="eastAsia" w:ascii="仿宋" w:hAnsi="仿宋" w:eastAsia="仿宋"/>
          <w:color w:val="auto"/>
          <w:szCs w:val="22"/>
        </w:rPr>
        <w:t>发生严重质量问题，采购人直接选择换货时，</w:t>
      </w:r>
      <w:r>
        <w:rPr>
          <w:rFonts w:hint="eastAsia" w:ascii="仿宋" w:hAnsi="仿宋" w:eastAsia="仿宋"/>
          <w:color w:val="auto"/>
          <w:szCs w:val="22"/>
          <w:lang w:eastAsia="zh-CN"/>
        </w:rPr>
        <w:t>投标人</w:t>
      </w:r>
      <w:r>
        <w:rPr>
          <w:rFonts w:hint="eastAsia" w:ascii="仿宋" w:hAnsi="仿宋" w:eastAsia="仿宋"/>
          <w:color w:val="auto"/>
          <w:szCs w:val="22"/>
        </w:rPr>
        <w:t>应当免费为其调换合同规定的产品。</w:t>
      </w:r>
    </w:p>
    <w:p>
      <w:pPr>
        <w:adjustRightInd w:val="0"/>
        <w:ind w:firstLine="438"/>
        <w:rPr>
          <w:rFonts w:ascii="仿宋" w:hAnsi="仿宋" w:eastAsia="仿宋"/>
          <w:color w:val="auto"/>
          <w:szCs w:val="22"/>
        </w:rPr>
      </w:pPr>
      <w:r>
        <w:rPr>
          <w:rFonts w:hint="eastAsia" w:ascii="仿宋" w:hAnsi="仿宋" w:eastAsia="仿宋"/>
          <w:color w:val="auto"/>
          <w:szCs w:val="22"/>
          <w:lang w:val="en-US" w:eastAsia="zh-CN"/>
        </w:rPr>
        <w:t>2.3</w:t>
      </w:r>
      <w:r>
        <w:rPr>
          <w:rFonts w:hint="eastAsia" w:ascii="仿宋" w:hAnsi="仿宋" w:eastAsia="仿宋"/>
          <w:color w:val="auto"/>
          <w:szCs w:val="22"/>
        </w:rPr>
        <w:t>符合换货条件，因无同规格型号、同样式的产品，</w:t>
      </w:r>
      <w:r>
        <w:rPr>
          <w:rFonts w:hint="eastAsia" w:ascii="仿宋" w:hAnsi="仿宋" w:eastAsia="仿宋"/>
          <w:color w:val="auto"/>
          <w:szCs w:val="22"/>
          <w:lang w:eastAsia="zh-CN"/>
        </w:rPr>
        <w:t>投标人</w:t>
      </w:r>
      <w:r>
        <w:rPr>
          <w:rFonts w:hint="eastAsia" w:ascii="仿宋" w:hAnsi="仿宋" w:eastAsia="仿宋"/>
          <w:color w:val="auto"/>
          <w:szCs w:val="22"/>
        </w:rPr>
        <w:t>应为采购人调换不得低于合同货物规格且买方满意的其他规格型号和样式的产品。</w:t>
      </w:r>
      <w:r>
        <w:rPr>
          <w:rFonts w:hint="eastAsia" w:ascii="仿宋" w:hAnsi="仿宋" w:eastAsia="仿宋"/>
          <w:color w:val="auto"/>
          <w:szCs w:val="22"/>
          <w:lang w:eastAsia="zh-CN"/>
        </w:rPr>
        <w:t>投标人</w:t>
      </w:r>
      <w:r>
        <w:rPr>
          <w:rFonts w:hint="eastAsia" w:ascii="仿宋" w:hAnsi="仿宋" w:eastAsia="仿宋"/>
          <w:color w:val="auto"/>
          <w:szCs w:val="22"/>
        </w:rPr>
        <w:t>不得向采购人提供残次产品、不合格产品或者修理过的产品。</w:t>
      </w:r>
    </w:p>
    <w:p>
      <w:pPr>
        <w:adjustRightInd w:val="0"/>
        <w:ind w:firstLine="438"/>
        <w:rPr>
          <w:rFonts w:ascii="仿宋" w:hAnsi="仿宋" w:eastAsia="仿宋"/>
          <w:color w:val="auto"/>
          <w:szCs w:val="22"/>
        </w:rPr>
      </w:pPr>
      <w:r>
        <w:rPr>
          <w:rFonts w:hint="eastAsia" w:ascii="仿宋" w:hAnsi="仿宋" w:eastAsia="仿宋"/>
          <w:color w:val="auto"/>
          <w:szCs w:val="22"/>
          <w:lang w:val="en-US" w:eastAsia="zh-CN"/>
        </w:rPr>
        <w:t>2.4</w:t>
      </w:r>
      <w:r>
        <w:rPr>
          <w:rFonts w:hint="eastAsia" w:ascii="仿宋" w:hAnsi="仿宋" w:eastAsia="仿宋"/>
          <w:color w:val="auto"/>
          <w:szCs w:val="22"/>
        </w:rPr>
        <w:t>换货后，产品质保期自换货之日起重新计算。</w:t>
      </w:r>
    </w:p>
    <w:p>
      <w:pPr>
        <w:adjustRightInd w:val="0"/>
        <w:ind w:firstLine="438"/>
        <w:rPr>
          <w:rFonts w:hint="eastAsia" w:ascii="仿宋" w:hAnsi="仿宋" w:eastAsia="仿宋"/>
          <w:color w:val="auto"/>
          <w:szCs w:val="22"/>
        </w:rPr>
      </w:pPr>
      <w:r>
        <w:rPr>
          <w:rFonts w:hint="eastAsia" w:ascii="仿宋" w:hAnsi="仿宋" w:eastAsia="仿宋"/>
          <w:color w:val="auto"/>
          <w:szCs w:val="22"/>
          <w:lang w:val="en-US" w:eastAsia="zh-CN"/>
        </w:rPr>
        <w:t>2.5</w:t>
      </w:r>
      <w:r>
        <w:rPr>
          <w:rFonts w:hint="eastAsia" w:ascii="仿宋" w:hAnsi="仿宋" w:eastAsia="仿宋"/>
          <w:color w:val="auto"/>
          <w:szCs w:val="22"/>
        </w:rPr>
        <w:t>因产品质量问题给采购人造成损失的，</w:t>
      </w:r>
      <w:r>
        <w:rPr>
          <w:rFonts w:hint="eastAsia" w:ascii="仿宋" w:hAnsi="仿宋" w:eastAsia="仿宋"/>
          <w:color w:val="auto"/>
          <w:szCs w:val="22"/>
          <w:lang w:eastAsia="zh-CN"/>
        </w:rPr>
        <w:t>投标人</w:t>
      </w:r>
      <w:r>
        <w:rPr>
          <w:rFonts w:hint="eastAsia" w:ascii="仿宋" w:hAnsi="仿宋" w:eastAsia="仿宋"/>
          <w:color w:val="auto"/>
          <w:szCs w:val="22"/>
        </w:rPr>
        <w:t>应按有关法律、法规的规定进行赔偿。</w:t>
      </w:r>
    </w:p>
    <w:p>
      <w:pPr>
        <w:adjustRightInd w:val="0"/>
        <w:ind w:firstLine="438"/>
        <w:rPr>
          <w:rFonts w:hint="eastAsia" w:ascii="仿宋" w:hAnsi="仿宋" w:eastAsia="仿宋"/>
          <w:color w:val="auto"/>
          <w:szCs w:val="22"/>
        </w:rPr>
      </w:pPr>
      <w:r>
        <w:rPr>
          <w:rFonts w:hint="eastAsia" w:ascii="仿宋" w:hAnsi="仿宋" w:eastAsia="仿宋"/>
          <w:color w:val="auto"/>
          <w:szCs w:val="22"/>
          <w:lang w:val="en-US" w:eastAsia="zh-CN"/>
        </w:rPr>
        <w:t>3</w:t>
      </w:r>
      <w:r>
        <w:rPr>
          <w:rFonts w:hint="eastAsia" w:ascii="仿宋" w:hAnsi="仿宋" w:eastAsia="仿宋"/>
          <w:color w:val="auto"/>
          <w:szCs w:val="22"/>
        </w:rPr>
        <w:t>.质保期外服务要求</w:t>
      </w:r>
    </w:p>
    <w:p>
      <w:pPr>
        <w:adjustRightInd w:val="0"/>
        <w:ind w:firstLine="438"/>
        <w:rPr>
          <w:rFonts w:hint="eastAsia" w:ascii="仿宋" w:hAnsi="仿宋" w:eastAsia="仿宋"/>
          <w:color w:val="auto"/>
          <w:szCs w:val="22"/>
        </w:rPr>
      </w:pPr>
      <w:r>
        <w:rPr>
          <w:rFonts w:hint="eastAsia" w:ascii="仿宋" w:hAnsi="仿宋" w:eastAsia="仿宋"/>
          <w:color w:val="auto"/>
          <w:szCs w:val="22"/>
          <w:lang w:val="en-US" w:eastAsia="zh-CN"/>
        </w:rPr>
        <w:t>3</w:t>
      </w:r>
      <w:r>
        <w:rPr>
          <w:rFonts w:hint="eastAsia" w:ascii="仿宋" w:hAnsi="仿宋" w:eastAsia="仿宋"/>
          <w:color w:val="auto"/>
          <w:szCs w:val="22"/>
        </w:rPr>
        <w:t>.1质量保证期过后，投标人和制造商应同样提供免费电话咨询服务，并应承诺提供产品上门维护服务。</w:t>
      </w:r>
    </w:p>
    <w:p>
      <w:pPr>
        <w:adjustRightInd w:val="0"/>
        <w:ind w:firstLine="438"/>
      </w:pPr>
      <w:r>
        <w:rPr>
          <w:rFonts w:hint="eastAsia" w:ascii="仿宋" w:hAnsi="仿宋" w:eastAsia="仿宋"/>
          <w:color w:val="auto"/>
          <w:szCs w:val="22"/>
          <w:lang w:val="en-US" w:eastAsia="zh-CN"/>
        </w:rPr>
        <w:t>3</w:t>
      </w:r>
      <w:r>
        <w:rPr>
          <w:rFonts w:hint="eastAsia" w:ascii="仿宋" w:hAnsi="仿宋" w:eastAsia="仿宋"/>
          <w:color w:val="auto"/>
          <w:szCs w:val="22"/>
        </w:rPr>
        <w:t>.2质量保证期过后，采购人需要继续由原投标人和制造商提供售后服务的，该投标人和制造商应以优惠价格提供售后服务。</w:t>
      </w:r>
    </w:p>
    <w:p>
      <w:pPr>
        <w:adjustRightInd w:val="0"/>
        <w:ind w:firstLine="438"/>
        <w:rPr>
          <w:rFonts w:ascii="仿宋" w:hAnsi="仿宋" w:eastAsia="仿宋"/>
          <w:color w:val="auto"/>
          <w:szCs w:val="22"/>
        </w:rPr>
      </w:pPr>
      <w:r>
        <w:rPr>
          <w:rFonts w:hint="eastAsia" w:ascii="仿宋" w:hAnsi="仿宋" w:eastAsia="仿宋"/>
          <w:color w:val="auto"/>
          <w:szCs w:val="22"/>
        </w:rPr>
        <w:t>（</w:t>
      </w:r>
      <w:r>
        <w:rPr>
          <w:rFonts w:hint="eastAsia" w:ascii="仿宋" w:hAnsi="仿宋" w:eastAsia="仿宋"/>
          <w:color w:val="auto"/>
          <w:szCs w:val="22"/>
          <w:lang w:eastAsia="zh-CN"/>
        </w:rPr>
        <w:t>三</w:t>
      </w:r>
      <w:r>
        <w:rPr>
          <w:rFonts w:hint="eastAsia" w:ascii="仿宋" w:hAnsi="仿宋" w:eastAsia="仿宋"/>
          <w:color w:val="auto"/>
          <w:szCs w:val="22"/>
        </w:rPr>
        <w:t>）故障响应时间要求</w:t>
      </w:r>
    </w:p>
    <w:p>
      <w:pPr>
        <w:adjustRightInd w:val="0"/>
        <w:ind w:firstLine="438"/>
        <w:rPr>
          <w:rFonts w:ascii="仿宋" w:hAnsi="仿宋" w:eastAsia="仿宋"/>
          <w:color w:val="auto"/>
          <w:szCs w:val="22"/>
        </w:rPr>
      </w:pPr>
      <w:r>
        <w:rPr>
          <w:rFonts w:hint="eastAsia" w:ascii="仿宋" w:hAnsi="仿宋" w:eastAsia="仿宋"/>
          <w:color w:val="auto"/>
          <w:szCs w:val="22"/>
          <w:lang w:eastAsia="zh-CN"/>
        </w:rPr>
        <w:t>投标人</w:t>
      </w:r>
      <w:r>
        <w:rPr>
          <w:rFonts w:hint="eastAsia" w:ascii="仿宋" w:hAnsi="仿宋" w:eastAsia="仿宋"/>
          <w:color w:val="auto"/>
          <w:szCs w:val="22"/>
        </w:rPr>
        <w:t>接到</w:t>
      </w:r>
      <w:r>
        <w:rPr>
          <w:rFonts w:hint="eastAsia" w:ascii="仿宋" w:hAnsi="仿宋" w:eastAsia="仿宋"/>
          <w:color w:val="auto"/>
          <w:szCs w:val="22"/>
          <w:lang w:eastAsia="zh-CN"/>
        </w:rPr>
        <w:t>采购人</w:t>
      </w:r>
      <w:r>
        <w:rPr>
          <w:rFonts w:hint="eastAsia" w:ascii="仿宋" w:hAnsi="仿宋" w:eastAsia="仿宋"/>
          <w:color w:val="auto"/>
          <w:szCs w:val="22"/>
        </w:rPr>
        <w:t>产品出现问题的通知后立即作出响应，</w:t>
      </w:r>
      <w:r>
        <w:rPr>
          <w:rFonts w:hint="eastAsia" w:ascii="仿宋" w:hAnsi="仿宋" w:eastAsia="仿宋" w:cs="等线"/>
          <w:color w:val="auto"/>
          <w:kern w:val="0"/>
          <w:szCs w:val="24"/>
          <w:lang w:eastAsia="zh-CN"/>
        </w:rPr>
        <w:t>24小内到达现场进行处理。</w:t>
      </w:r>
    </w:p>
    <w:p>
      <w:pPr>
        <w:adjustRightInd w:val="0"/>
        <w:ind w:firstLine="438"/>
        <w:rPr>
          <w:rFonts w:ascii="仿宋" w:hAnsi="仿宋" w:eastAsia="仿宋"/>
          <w:color w:val="auto"/>
          <w:szCs w:val="22"/>
        </w:rPr>
      </w:pPr>
      <w:r>
        <w:rPr>
          <w:rFonts w:hint="eastAsia" w:ascii="仿宋" w:hAnsi="仿宋" w:eastAsia="仿宋"/>
          <w:color w:val="auto"/>
          <w:szCs w:val="22"/>
        </w:rPr>
        <w:t>（</w:t>
      </w:r>
      <w:r>
        <w:rPr>
          <w:rFonts w:hint="eastAsia" w:ascii="仿宋" w:hAnsi="仿宋" w:eastAsia="仿宋"/>
          <w:color w:val="auto"/>
          <w:szCs w:val="22"/>
          <w:lang w:eastAsia="zh-CN"/>
        </w:rPr>
        <w:t>四</w:t>
      </w:r>
      <w:r>
        <w:rPr>
          <w:rFonts w:hint="eastAsia" w:ascii="仿宋" w:hAnsi="仿宋" w:eastAsia="仿宋"/>
          <w:color w:val="auto"/>
          <w:szCs w:val="22"/>
        </w:rPr>
        <w:t>）备品备件及易损件</w:t>
      </w:r>
    </w:p>
    <w:p>
      <w:pPr>
        <w:adjustRightInd w:val="0"/>
        <w:ind w:firstLine="438"/>
        <w:rPr>
          <w:rFonts w:ascii="仿宋" w:hAnsi="仿宋" w:eastAsia="仿宋"/>
          <w:color w:val="auto"/>
          <w:szCs w:val="22"/>
        </w:rPr>
      </w:pPr>
      <w:r>
        <w:rPr>
          <w:rFonts w:hint="eastAsia" w:ascii="仿宋" w:hAnsi="仿宋" w:eastAsia="仿宋"/>
          <w:color w:val="auto"/>
          <w:szCs w:val="22"/>
        </w:rPr>
        <w:t>投标人和制造商售后服务中，维修使用的备品备件及易损件应为原厂配件，未经采购人同意不得使用非原厂配件。</w:t>
      </w:r>
    </w:p>
    <w:p>
      <w:pPr>
        <w:pStyle w:val="4"/>
        <w:spacing w:before="196" w:after="196"/>
        <w:ind w:firstLine="520"/>
        <w:rPr>
          <w:rFonts w:ascii="仿宋" w:hAnsi="仿宋" w:eastAsia="仿宋"/>
          <w:color w:val="auto"/>
          <w:szCs w:val="22"/>
        </w:rPr>
      </w:pPr>
      <w:bookmarkStart w:id="395" w:name="_Toc10128"/>
      <w:r>
        <w:rPr>
          <w:rFonts w:hint="eastAsia" w:ascii="仿宋" w:hAnsi="仿宋" w:eastAsia="仿宋"/>
          <w:color w:val="auto"/>
          <w:szCs w:val="22"/>
        </w:rPr>
        <w:t>※四、</w:t>
      </w:r>
      <w:bookmarkEnd w:id="384"/>
      <w:bookmarkEnd w:id="385"/>
      <w:bookmarkEnd w:id="386"/>
      <w:bookmarkEnd w:id="387"/>
      <w:bookmarkEnd w:id="388"/>
      <w:bookmarkEnd w:id="389"/>
      <w:bookmarkEnd w:id="390"/>
      <w:bookmarkEnd w:id="391"/>
      <w:bookmarkEnd w:id="392"/>
      <w:r>
        <w:rPr>
          <w:rFonts w:hint="eastAsia" w:ascii="仿宋" w:hAnsi="仿宋" w:eastAsia="仿宋"/>
          <w:color w:val="auto"/>
          <w:szCs w:val="22"/>
        </w:rPr>
        <w:t>付款方式</w:t>
      </w:r>
      <w:bookmarkEnd w:id="393"/>
      <w:bookmarkEnd w:id="394"/>
      <w:bookmarkEnd w:id="395"/>
    </w:p>
    <w:p>
      <w:pPr>
        <w:pStyle w:val="2"/>
        <w:spacing w:line="520" w:lineRule="exact"/>
        <w:ind w:firstLine="438"/>
        <w:rPr>
          <w:rFonts w:hint="eastAsia" w:ascii="仿宋" w:hAnsi="仿宋" w:eastAsia="仿宋" w:cs="等线"/>
          <w:color w:val="auto"/>
          <w:kern w:val="0"/>
          <w:sz w:val="24"/>
          <w:szCs w:val="24"/>
        </w:rPr>
      </w:pPr>
      <w:bookmarkStart w:id="396" w:name="_Toc63600418"/>
      <w:bookmarkStart w:id="397" w:name="_Toc28494"/>
      <w:bookmarkStart w:id="398" w:name="_Toc12604"/>
      <w:bookmarkStart w:id="399" w:name="_Toc19348"/>
      <w:bookmarkStart w:id="400" w:name="_Toc3931"/>
      <w:bookmarkStart w:id="401" w:name="_Toc31146"/>
      <w:bookmarkStart w:id="402" w:name="_Toc22950"/>
      <w:bookmarkStart w:id="403" w:name="_Toc25879"/>
      <w:bookmarkStart w:id="404" w:name="_Toc19510"/>
      <w:r>
        <w:rPr>
          <w:rFonts w:hint="eastAsia" w:ascii="仿宋" w:hAnsi="仿宋" w:eastAsia="仿宋" w:cs="等线"/>
          <w:color w:val="auto"/>
          <w:kern w:val="0"/>
          <w:sz w:val="24"/>
          <w:szCs w:val="24"/>
        </w:rPr>
        <w:t>该项目由采购人自行付款，具体支付方式为：</w:t>
      </w:r>
    </w:p>
    <w:p>
      <w:pPr>
        <w:pStyle w:val="2"/>
        <w:spacing w:line="520" w:lineRule="exact"/>
        <w:ind w:firstLine="438"/>
        <w:rPr>
          <w:rFonts w:hint="eastAsia" w:ascii="仿宋" w:hAnsi="仿宋" w:eastAsia="仿宋" w:cs="等线"/>
          <w:color w:val="auto"/>
          <w:kern w:val="0"/>
          <w:sz w:val="24"/>
          <w:szCs w:val="24"/>
          <w:lang w:eastAsia="zh-CN"/>
        </w:rPr>
      </w:pPr>
      <w:r>
        <w:rPr>
          <w:rFonts w:hint="eastAsia" w:ascii="仿宋" w:hAnsi="仿宋" w:eastAsia="仿宋" w:cs="等线"/>
          <w:color w:val="auto"/>
          <w:kern w:val="0"/>
          <w:sz w:val="24"/>
          <w:szCs w:val="24"/>
          <w:highlight w:val="none"/>
          <w:lang w:eastAsia="zh-CN"/>
        </w:rPr>
        <w:t>合同签订后5个工作日内预付合同金额的</w:t>
      </w:r>
      <w:r>
        <w:rPr>
          <w:rFonts w:hint="eastAsia" w:ascii="仿宋" w:hAnsi="仿宋" w:eastAsia="仿宋" w:cs="等线"/>
          <w:color w:val="auto"/>
          <w:kern w:val="0"/>
          <w:sz w:val="24"/>
          <w:szCs w:val="24"/>
          <w:highlight w:val="none"/>
          <w:lang w:val="en-US" w:eastAsia="zh-CN"/>
        </w:rPr>
        <w:t>50</w:t>
      </w:r>
      <w:r>
        <w:rPr>
          <w:rFonts w:hint="eastAsia" w:ascii="仿宋" w:hAnsi="仿宋" w:eastAsia="仿宋" w:cs="等线"/>
          <w:color w:val="auto"/>
          <w:kern w:val="0"/>
          <w:sz w:val="24"/>
          <w:szCs w:val="24"/>
          <w:highlight w:val="none"/>
          <w:lang w:eastAsia="zh-CN"/>
        </w:rPr>
        <w:t>％；安装调试完成并验收合格后，在收到发票后5个工作日内按程序办理支付手续，一次性支付合同金额的</w:t>
      </w:r>
      <w:r>
        <w:rPr>
          <w:rFonts w:hint="eastAsia" w:ascii="仿宋" w:hAnsi="仿宋" w:eastAsia="仿宋" w:cs="等线"/>
          <w:color w:val="auto"/>
          <w:kern w:val="0"/>
          <w:sz w:val="24"/>
          <w:szCs w:val="24"/>
          <w:highlight w:val="none"/>
          <w:lang w:val="en-US" w:eastAsia="zh-CN"/>
        </w:rPr>
        <w:t>5</w:t>
      </w:r>
      <w:r>
        <w:rPr>
          <w:rFonts w:hint="eastAsia" w:ascii="仿宋" w:hAnsi="仿宋" w:eastAsia="仿宋" w:cs="等线"/>
          <w:color w:val="auto"/>
          <w:kern w:val="0"/>
          <w:sz w:val="24"/>
          <w:szCs w:val="24"/>
          <w:highlight w:val="none"/>
          <w:lang w:eastAsia="zh-CN"/>
        </w:rPr>
        <w:t>0％（中标人垫资不计息）；</w:t>
      </w:r>
    </w:p>
    <w:p>
      <w:pPr>
        <w:pStyle w:val="2"/>
        <w:spacing w:line="520" w:lineRule="exact"/>
        <w:ind w:firstLine="438"/>
        <w:rPr>
          <w:rFonts w:hint="eastAsia" w:ascii="仿宋" w:hAnsi="仿宋" w:eastAsia="仿宋" w:cs="等线"/>
          <w:color w:val="auto"/>
          <w:kern w:val="0"/>
          <w:sz w:val="24"/>
          <w:szCs w:val="24"/>
          <w:lang w:eastAsia="zh-CN"/>
        </w:rPr>
      </w:pPr>
      <w:r>
        <w:rPr>
          <w:rFonts w:hint="eastAsia" w:ascii="仿宋" w:hAnsi="仿宋" w:eastAsia="仿宋" w:cs="等线"/>
          <w:color w:val="auto"/>
          <w:kern w:val="0"/>
          <w:sz w:val="24"/>
          <w:szCs w:val="24"/>
          <w:lang w:eastAsia="zh-CN"/>
        </w:rPr>
        <w:t>采购人向中标人支付预付款时，中标人须提供与预付款同等额度的担保函（含电子保函）。如中标人收到预付款后不履行相关义务，可通过担保函收回已支付的预付款。</w:t>
      </w:r>
    </w:p>
    <w:p>
      <w:pPr>
        <w:pStyle w:val="10"/>
        <w:rPr>
          <w:rFonts w:hint="eastAsia" w:ascii="仿宋" w:hAnsi="仿宋" w:eastAsia="仿宋" w:cs="等线"/>
          <w:color w:val="auto"/>
          <w:kern w:val="0"/>
          <w:sz w:val="24"/>
          <w:szCs w:val="24"/>
          <w:lang w:eastAsia="zh-CN"/>
        </w:rPr>
      </w:pPr>
      <w:r>
        <w:rPr>
          <w:rFonts w:hint="eastAsia" w:ascii="仿宋" w:hAnsi="仿宋" w:eastAsia="仿宋" w:cs="等线"/>
          <w:color w:val="auto"/>
          <w:kern w:val="2"/>
          <w:sz w:val="24"/>
          <w:szCs w:val="24"/>
          <w:lang w:val="en-US" w:eastAsia="zh-CN" w:bidi="ar-SA"/>
        </w:rPr>
        <w:t>承接巴南区保函业务的保函出具担保方必须是中华人民共和国境内注册的可开展非融资担保类业务且通过巴南区财政局备案同意的银行、保险公司、担保公司等。</w:t>
      </w:r>
    </w:p>
    <w:bookmarkEnd w:id="396"/>
    <w:bookmarkEnd w:id="397"/>
    <w:bookmarkEnd w:id="398"/>
    <w:bookmarkEnd w:id="399"/>
    <w:bookmarkEnd w:id="400"/>
    <w:bookmarkEnd w:id="401"/>
    <w:bookmarkEnd w:id="402"/>
    <w:bookmarkEnd w:id="403"/>
    <w:bookmarkEnd w:id="404"/>
    <w:p>
      <w:pPr>
        <w:pStyle w:val="4"/>
        <w:spacing w:before="196" w:after="196"/>
        <w:ind w:firstLine="520"/>
        <w:rPr>
          <w:rFonts w:ascii="仿宋" w:hAnsi="仿宋" w:eastAsia="仿宋"/>
          <w:color w:val="auto"/>
          <w:szCs w:val="22"/>
        </w:rPr>
      </w:pPr>
      <w:bookmarkStart w:id="405" w:name="_Toc14936"/>
      <w:bookmarkStart w:id="406" w:name="_Toc6339"/>
      <w:bookmarkStart w:id="407" w:name="_Toc20755"/>
      <w:bookmarkStart w:id="408" w:name="_Toc5672"/>
      <w:bookmarkStart w:id="409" w:name="_Toc4918"/>
      <w:bookmarkStart w:id="410" w:name="_Toc63600419"/>
      <w:bookmarkStart w:id="411" w:name="_Toc30385"/>
      <w:bookmarkStart w:id="412" w:name="_Toc11826"/>
      <w:bookmarkStart w:id="413" w:name="_Toc15306"/>
      <w:bookmarkStart w:id="414" w:name="_Toc31647"/>
      <w:bookmarkStart w:id="415" w:name="_Toc11553"/>
      <w:bookmarkStart w:id="416" w:name="_Toc22440"/>
      <w:bookmarkStart w:id="417" w:name="_Toc14273"/>
      <w:bookmarkStart w:id="418" w:name="_Toc11406"/>
      <w:r>
        <w:rPr>
          <w:rFonts w:hint="eastAsia" w:ascii="仿宋" w:hAnsi="仿宋" w:eastAsia="仿宋"/>
          <w:color w:val="auto"/>
          <w:szCs w:val="22"/>
        </w:rPr>
        <w:t>五、</w:t>
      </w:r>
      <w:bookmarkStart w:id="419" w:name="_Toc10336"/>
      <w:bookmarkStart w:id="420" w:name="_Toc31219"/>
      <w:bookmarkStart w:id="421" w:name="_Toc16107"/>
      <w:bookmarkStart w:id="422" w:name="_Toc20841"/>
      <w:bookmarkStart w:id="423" w:name="_Toc17992"/>
      <w:bookmarkStart w:id="424" w:name="_Toc25512"/>
      <w:bookmarkStart w:id="425" w:name="_Toc14929"/>
      <w:bookmarkStart w:id="426" w:name="_Toc23495"/>
      <w:bookmarkStart w:id="427" w:name="_Toc8742"/>
      <w:r>
        <w:rPr>
          <w:rFonts w:hint="eastAsia" w:ascii="仿宋" w:hAnsi="仿宋" w:eastAsia="仿宋"/>
          <w:color w:val="auto"/>
          <w:szCs w:val="22"/>
        </w:rPr>
        <w:t>知识产权</w:t>
      </w:r>
      <w:bookmarkEnd w:id="405"/>
      <w:bookmarkEnd w:id="406"/>
      <w:bookmarkEnd w:id="419"/>
      <w:bookmarkEnd w:id="420"/>
      <w:bookmarkEnd w:id="421"/>
      <w:bookmarkEnd w:id="422"/>
      <w:bookmarkEnd w:id="423"/>
      <w:bookmarkEnd w:id="424"/>
      <w:bookmarkEnd w:id="425"/>
      <w:bookmarkEnd w:id="426"/>
      <w:bookmarkEnd w:id="427"/>
    </w:p>
    <w:p>
      <w:pPr>
        <w:ind w:firstLine="438"/>
        <w:rPr>
          <w:rFonts w:ascii="仿宋" w:hAnsi="仿宋" w:eastAsia="仿宋"/>
          <w:color w:val="auto"/>
          <w:szCs w:val="22"/>
        </w:rPr>
      </w:pPr>
      <w:r>
        <w:rPr>
          <w:rFonts w:hint="eastAsia" w:ascii="仿宋" w:hAnsi="仿宋" w:eastAsia="仿宋"/>
          <w:color w:val="auto"/>
          <w:szCs w:val="22"/>
        </w:rPr>
        <w:t>采购人在中华人民共和国境内使用中标人提供的货物及服务时免受第三方提出的侵犯其专利权或其它知识产权的起诉。如果第三方提出侵权指控，中标人应承担由此而引起的一切法律责任和费用。</w:t>
      </w:r>
    </w:p>
    <w:p>
      <w:pPr>
        <w:pStyle w:val="4"/>
        <w:spacing w:before="196" w:after="196"/>
        <w:ind w:firstLine="520"/>
        <w:rPr>
          <w:rFonts w:ascii="仿宋" w:hAnsi="仿宋" w:eastAsia="仿宋"/>
          <w:color w:val="auto"/>
          <w:szCs w:val="22"/>
        </w:rPr>
      </w:pPr>
      <w:bookmarkStart w:id="428" w:name="_Toc19479"/>
      <w:bookmarkStart w:id="429" w:name="_Toc3479"/>
      <w:r>
        <w:rPr>
          <w:rFonts w:hint="eastAsia" w:ascii="仿宋" w:hAnsi="仿宋" w:eastAsia="仿宋"/>
          <w:color w:val="auto"/>
          <w:szCs w:val="22"/>
        </w:rPr>
        <w:t>六、培训</w:t>
      </w:r>
      <w:bookmarkEnd w:id="428"/>
      <w:bookmarkEnd w:id="429"/>
    </w:p>
    <w:p>
      <w:pPr>
        <w:ind w:firstLine="438"/>
        <w:rPr>
          <w:rFonts w:ascii="仿宋" w:hAnsi="仿宋" w:eastAsia="仿宋"/>
          <w:color w:val="auto"/>
          <w:szCs w:val="22"/>
        </w:rPr>
      </w:pPr>
      <w:r>
        <w:rPr>
          <w:rFonts w:hint="eastAsia" w:ascii="仿宋" w:hAnsi="仿宋" w:eastAsia="仿宋"/>
          <w:color w:val="auto"/>
          <w:szCs w:val="22"/>
        </w:rPr>
        <w:t>（一）中标人</w:t>
      </w:r>
      <w:r>
        <w:rPr>
          <w:rFonts w:ascii="仿宋" w:hAnsi="仿宋" w:eastAsia="仿宋"/>
          <w:color w:val="auto"/>
          <w:szCs w:val="22"/>
        </w:rPr>
        <w:t>对其提供的产品应尽培训义务。</w:t>
      </w:r>
      <w:r>
        <w:rPr>
          <w:rFonts w:hint="eastAsia" w:ascii="仿宋" w:hAnsi="仿宋" w:eastAsia="仿宋"/>
          <w:color w:val="auto"/>
          <w:szCs w:val="22"/>
        </w:rPr>
        <w:t>中标人</w:t>
      </w:r>
      <w:r>
        <w:rPr>
          <w:rFonts w:ascii="仿宋" w:hAnsi="仿宋" w:eastAsia="仿宋"/>
          <w:color w:val="auto"/>
          <w:szCs w:val="22"/>
        </w:rPr>
        <w:t>应提供对采购人的基本免费培训，使采购人使用人员能够正常操作。</w:t>
      </w:r>
    </w:p>
    <w:p>
      <w:pPr>
        <w:pStyle w:val="2"/>
        <w:spacing w:line="520" w:lineRule="exact"/>
        <w:ind w:firstLine="438"/>
        <w:rPr>
          <w:rFonts w:ascii="仿宋" w:hAnsi="仿宋" w:eastAsia="仿宋" w:cs="Cambria Math"/>
          <w:color w:val="auto"/>
          <w:sz w:val="24"/>
          <w:szCs w:val="22"/>
        </w:rPr>
      </w:pPr>
      <w:r>
        <w:rPr>
          <w:rFonts w:hint="eastAsia" w:ascii="仿宋" w:hAnsi="仿宋" w:eastAsia="仿宋" w:cs="Cambria Math"/>
          <w:color w:val="auto"/>
          <w:sz w:val="24"/>
          <w:szCs w:val="22"/>
        </w:rPr>
        <w:t>（二）中标人应无限次不限时提供应用培训，直至采购人掌握所有功能、操作。</w:t>
      </w:r>
    </w:p>
    <w:p>
      <w:pPr>
        <w:pStyle w:val="4"/>
        <w:spacing w:before="196" w:after="196"/>
        <w:ind w:firstLine="520"/>
        <w:rPr>
          <w:rFonts w:ascii="仿宋" w:hAnsi="仿宋" w:eastAsia="仿宋"/>
          <w:color w:val="auto"/>
          <w:szCs w:val="22"/>
        </w:rPr>
      </w:pPr>
      <w:bookmarkStart w:id="430" w:name="_Toc32064"/>
      <w:bookmarkStart w:id="431" w:name="_Toc12480"/>
      <w:r>
        <w:rPr>
          <w:rFonts w:hint="eastAsia" w:ascii="仿宋" w:hAnsi="仿宋" w:eastAsia="仿宋"/>
          <w:color w:val="auto"/>
          <w:szCs w:val="22"/>
        </w:rPr>
        <w:t>七、其他</w:t>
      </w:r>
      <w:bookmarkEnd w:id="430"/>
      <w:bookmarkEnd w:id="431"/>
    </w:p>
    <w:p>
      <w:pPr>
        <w:ind w:firstLine="438"/>
        <w:rPr>
          <w:rFonts w:ascii="仿宋" w:hAnsi="仿宋" w:eastAsia="仿宋"/>
          <w:color w:val="auto"/>
          <w:szCs w:val="22"/>
        </w:rPr>
      </w:pPr>
      <w:r>
        <w:rPr>
          <w:rFonts w:hint="eastAsia" w:ascii="仿宋" w:hAnsi="仿宋" w:eastAsia="仿宋"/>
          <w:color w:val="auto"/>
          <w:szCs w:val="22"/>
        </w:rPr>
        <w:t>（</w:t>
      </w:r>
      <w:r>
        <w:rPr>
          <w:rFonts w:hint="eastAsia" w:ascii="仿宋" w:hAnsi="仿宋" w:eastAsia="仿宋"/>
          <w:color w:val="auto"/>
          <w:szCs w:val="22"/>
          <w:lang w:val="en-US" w:eastAsia="zh-CN"/>
        </w:rPr>
        <w:t>一</w:t>
      </w:r>
      <w:r>
        <w:rPr>
          <w:rFonts w:hint="eastAsia" w:ascii="仿宋" w:hAnsi="仿宋" w:eastAsia="仿宋"/>
          <w:color w:val="auto"/>
          <w:szCs w:val="22"/>
        </w:rPr>
        <w:t>）投标人必须在投标文件中对以上条款和服务承诺明确列出，承诺内容必须达到本篇及招标文件其他条款的要求。</w:t>
      </w:r>
    </w:p>
    <w:p>
      <w:pPr>
        <w:ind w:firstLine="438"/>
        <w:rPr>
          <w:rFonts w:ascii="仿宋" w:hAnsi="仿宋" w:eastAsia="仿宋"/>
          <w:color w:val="auto"/>
          <w:szCs w:val="22"/>
        </w:rPr>
      </w:pPr>
      <w:r>
        <w:rPr>
          <w:rFonts w:hint="eastAsia" w:ascii="仿宋" w:hAnsi="仿宋" w:eastAsia="仿宋"/>
          <w:color w:val="auto"/>
          <w:szCs w:val="22"/>
        </w:rPr>
        <w:t>（</w:t>
      </w:r>
      <w:r>
        <w:rPr>
          <w:rFonts w:hint="eastAsia" w:ascii="仿宋" w:hAnsi="仿宋" w:eastAsia="仿宋"/>
          <w:color w:val="auto"/>
          <w:szCs w:val="22"/>
          <w:lang w:val="en-US" w:eastAsia="zh-CN"/>
        </w:rPr>
        <w:t>二</w:t>
      </w:r>
      <w:r>
        <w:rPr>
          <w:rFonts w:hint="eastAsia" w:ascii="仿宋" w:hAnsi="仿宋" w:eastAsia="仿宋"/>
          <w:color w:val="auto"/>
          <w:szCs w:val="22"/>
        </w:rPr>
        <w:t>）中标人确定后，由采购人和成交单位按照相关规定和程序办理有关手续，签订合同。</w:t>
      </w:r>
    </w:p>
    <w:p>
      <w:pPr>
        <w:ind w:firstLine="438"/>
        <w:rPr>
          <w:rFonts w:ascii="仿宋" w:hAnsi="仿宋" w:eastAsia="仿宋"/>
          <w:color w:val="auto"/>
          <w:szCs w:val="22"/>
        </w:rPr>
      </w:pPr>
      <w:r>
        <w:rPr>
          <w:rFonts w:hint="eastAsia" w:ascii="仿宋" w:hAnsi="仿宋" w:eastAsia="仿宋"/>
          <w:color w:val="auto"/>
          <w:szCs w:val="22"/>
        </w:rPr>
        <w:t>（</w:t>
      </w:r>
      <w:r>
        <w:rPr>
          <w:rFonts w:hint="eastAsia" w:ascii="仿宋" w:hAnsi="仿宋" w:eastAsia="仿宋"/>
          <w:color w:val="auto"/>
          <w:szCs w:val="22"/>
          <w:lang w:val="en-US" w:eastAsia="zh-CN"/>
        </w:rPr>
        <w:t>三</w:t>
      </w:r>
      <w:r>
        <w:rPr>
          <w:rFonts w:hint="eastAsia" w:ascii="仿宋" w:hAnsi="仿宋" w:eastAsia="仿宋"/>
          <w:color w:val="auto"/>
          <w:szCs w:val="22"/>
        </w:rPr>
        <w:t>）其他未尽事宜由供需双方在采购合同中详细约定。</w:t>
      </w:r>
    </w:p>
    <w:p>
      <w:pPr>
        <w:pStyle w:val="2"/>
        <w:ind w:firstLine="438"/>
        <w:rPr>
          <w:rFonts w:ascii="仿宋" w:hAnsi="仿宋" w:eastAsia="仿宋" w:cs="Cambria Math"/>
          <w:color w:val="auto"/>
          <w:sz w:val="24"/>
          <w:szCs w:val="22"/>
        </w:rPr>
        <w:sectPr>
          <w:footerReference r:id="rId12" w:type="default"/>
          <w:pgSz w:w="11907" w:h="16840"/>
          <w:pgMar w:top="1134" w:right="1191" w:bottom="1134" w:left="1304" w:header="794" w:footer="992" w:gutter="0"/>
          <w:cols w:space="720" w:num="1"/>
          <w:docGrid w:type="linesAndChars" w:linePitch="393" w:charSpace="-4325"/>
        </w:sectPr>
      </w:pPr>
    </w:p>
    <w:bookmarkEnd w:id="331"/>
    <w:bookmarkEnd w:id="332"/>
    <w:bookmarkEnd w:id="333"/>
    <w:bookmarkEnd w:id="407"/>
    <w:bookmarkEnd w:id="408"/>
    <w:bookmarkEnd w:id="409"/>
    <w:bookmarkEnd w:id="410"/>
    <w:bookmarkEnd w:id="411"/>
    <w:bookmarkEnd w:id="412"/>
    <w:bookmarkEnd w:id="413"/>
    <w:bookmarkEnd w:id="414"/>
    <w:bookmarkEnd w:id="415"/>
    <w:bookmarkEnd w:id="416"/>
    <w:bookmarkEnd w:id="417"/>
    <w:bookmarkEnd w:id="418"/>
    <w:p>
      <w:pPr>
        <w:pStyle w:val="3"/>
        <w:numPr>
          <w:ilvl w:val="0"/>
          <w:numId w:val="1"/>
        </w:numPr>
        <w:tabs>
          <w:tab w:val="clear" w:pos="3360"/>
        </w:tabs>
        <w:spacing w:before="190" w:after="190"/>
        <w:ind w:left="1648" w:hanging="1648" w:hangingChars="400"/>
        <w:rPr>
          <w:rFonts w:hint="eastAsia" w:ascii="方正小标宋简体" w:eastAsia="方正小标宋简体"/>
          <w:color w:val="auto"/>
        </w:rPr>
      </w:pPr>
      <w:bookmarkStart w:id="432" w:name="_Toc5645"/>
      <w:bookmarkStart w:id="433" w:name="_Toc6948"/>
      <w:bookmarkStart w:id="434" w:name="_Toc27938"/>
      <w:bookmarkStart w:id="435" w:name="_Toc28723"/>
      <w:bookmarkStart w:id="436" w:name="_Toc3226"/>
      <w:bookmarkStart w:id="437" w:name="_Toc18366"/>
      <w:bookmarkStart w:id="438" w:name="_Toc21567"/>
      <w:bookmarkStart w:id="439" w:name="_Toc26177"/>
      <w:bookmarkStart w:id="440" w:name="_Toc16359"/>
      <w:bookmarkStart w:id="441" w:name="_Toc3204"/>
      <w:bookmarkStart w:id="442" w:name="_Toc17462"/>
      <w:bookmarkStart w:id="443" w:name="_Toc12798"/>
      <w:bookmarkStart w:id="444" w:name="_Toc30846"/>
      <w:bookmarkStart w:id="445" w:name="_Toc63600421"/>
      <w:r>
        <w:rPr>
          <w:rFonts w:hint="eastAsia" w:ascii="方正小标宋简体" w:eastAsia="方正小标宋简体"/>
          <w:color w:val="auto"/>
        </w:rPr>
        <w:t>资格审查及评标办法</w:t>
      </w:r>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p>
    <w:p>
      <w:pPr>
        <w:pStyle w:val="4"/>
        <w:spacing w:before="190" w:afterLines="0"/>
        <w:ind w:firstLine="506"/>
        <w:rPr>
          <w:rFonts w:ascii="仿宋" w:hAnsi="仿宋" w:eastAsia="仿宋"/>
          <w:color w:val="auto"/>
          <w:szCs w:val="22"/>
        </w:rPr>
      </w:pPr>
      <w:bookmarkStart w:id="446" w:name="_Toc30466"/>
      <w:bookmarkStart w:id="447" w:name="_Toc16097"/>
      <w:bookmarkStart w:id="448" w:name="_Toc20049"/>
      <w:bookmarkStart w:id="449" w:name="_Toc409189625"/>
      <w:bookmarkStart w:id="450" w:name="_Toc63600422"/>
      <w:bookmarkStart w:id="451" w:name="_Toc8611"/>
      <w:bookmarkStart w:id="452" w:name="_Toc31156"/>
      <w:bookmarkStart w:id="453" w:name="_Toc4454"/>
      <w:bookmarkStart w:id="454" w:name="_Toc20488329"/>
      <w:bookmarkStart w:id="455" w:name="_Toc11"/>
      <w:bookmarkStart w:id="456" w:name="_Toc517"/>
      <w:bookmarkStart w:id="457" w:name="_Toc32561"/>
      <w:bookmarkStart w:id="458" w:name="_Toc21628"/>
      <w:bookmarkStart w:id="459" w:name="_Toc20489885"/>
      <w:bookmarkStart w:id="460" w:name="_Toc24664"/>
      <w:bookmarkStart w:id="461" w:name="_Toc27433"/>
      <w:bookmarkStart w:id="462" w:name="_Toc11295"/>
      <w:bookmarkStart w:id="463" w:name="_Toc2796"/>
      <w:r>
        <w:rPr>
          <w:rFonts w:hint="eastAsia" w:ascii="仿宋" w:hAnsi="仿宋" w:eastAsia="仿宋"/>
          <w:color w:val="auto"/>
          <w:szCs w:val="22"/>
        </w:rPr>
        <w:t>一、</w:t>
      </w:r>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r>
        <w:rPr>
          <w:rFonts w:hint="eastAsia" w:ascii="仿宋" w:hAnsi="仿宋" w:eastAsia="仿宋"/>
          <w:color w:val="auto"/>
          <w:szCs w:val="22"/>
        </w:rPr>
        <w:t>资格审查及符合性审查</w:t>
      </w:r>
      <w:bookmarkEnd w:id="463"/>
    </w:p>
    <w:p>
      <w:pPr>
        <w:ind w:firstLine="426"/>
        <w:rPr>
          <w:rFonts w:ascii="仿宋" w:hAnsi="仿宋" w:eastAsia="仿宋"/>
          <w:b/>
          <w:bCs/>
          <w:color w:val="auto"/>
        </w:rPr>
      </w:pPr>
      <w:r>
        <w:rPr>
          <w:rFonts w:hint="eastAsia" w:ascii="仿宋" w:hAnsi="仿宋" w:eastAsia="仿宋"/>
          <w:b/>
          <w:bCs/>
          <w:color w:val="auto"/>
        </w:rPr>
        <w:t>若未通过资格审查及符合性审查的投标文件，不进入评审环节。</w:t>
      </w:r>
    </w:p>
    <w:p>
      <w:pPr>
        <w:ind w:firstLine="426"/>
        <w:rPr>
          <w:rFonts w:ascii="仿宋" w:hAnsi="仿宋" w:eastAsia="仿宋"/>
          <w:b/>
          <w:bCs/>
          <w:color w:val="auto"/>
          <w:szCs w:val="22"/>
        </w:rPr>
      </w:pPr>
      <w:r>
        <w:rPr>
          <w:rFonts w:hint="eastAsia" w:ascii="仿宋" w:hAnsi="仿宋" w:eastAsia="仿宋"/>
          <w:b/>
          <w:bCs/>
          <w:color w:val="auto"/>
          <w:szCs w:val="22"/>
        </w:rPr>
        <w:t>（一）资格审查</w:t>
      </w:r>
    </w:p>
    <w:p>
      <w:pPr>
        <w:ind w:firstLine="424"/>
        <w:rPr>
          <w:rFonts w:ascii="仿宋" w:hAnsi="仿宋" w:eastAsia="仿宋"/>
          <w:color w:val="auto"/>
        </w:rPr>
      </w:pPr>
      <w:r>
        <w:rPr>
          <w:rFonts w:hint="eastAsia" w:ascii="仿宋" w:hAnsi="仿宋" w:eastAsia="仿宋"/>
          <w:color w:val="auto"/>
        </w:rPr>
        <w:t>依据政府采购相关法律法规规定，由采购人或采购代理机构对投标文件中的资格证明文件进行审查。资格审查资料表如下：</w:t>
      </w:r>
    </w:p>
    <w:tbl>
      <w:tblPr>
        <w:tblStyle w:val="23"/>
        <w:tblW w:w="98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709"/>
        <w:gridCol w:w="2924"/>
        <w:gridCol w:w="5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846" w:type="dxa"/>
            <w:vAlign w:val="center"/>
          </w:tcPr>
          <w:p>
            <w:pPr>
              <w:adjustRightInd w:val="0"/>
              <w:snapToGrid w:val="0"/>
              <w:spacing w:line="440" w:lineRule="exact"/>
              <w:ind w:firstLine="0" w:firstLineChars="0"/>
              <w:jc w:val="center"/>
              <w:rPr>
                <w:rFonts w:ascii="仿宋" w:hAnsi="仿宋" w:eastAsia="仿宋" w:cs="黑体"/>
                <w:b/>
                <w:color w:val="auto"/>
                <w:kern w:val="0"/>
                <w:sz w:val="21"/>
                <w:szCs w:val="21"/>
              </w:rPr>
            </w:pPr>
            <w:r>
              <w:rPr>
                <w:rFonts w:hint="eastAsia" w:ascii="仿宋" w:hAnsi="仿宋" w:eastAsia="仿宋" w:cs="黑体"/>
                <w:b/>
                <w:color w:val="auto"/>
                <w:kern w:val="0"/>
                <w:sz w:val="21"/>
                <w:szCs w:val="21"/>
              </w:rPr>
              <w:t>序号</w:t>
            </w:r>
          </w:p>
        </w:tc>
        <w:tc>
          <w:tcPr>
            <w:tcW w:w="3633" w:type="dxa"/>
            <w:gridSpan w:val="2"/>
            <w:vAlign w:val="center"/>
          </w:tcPr>
          <w:p>
            <w:pPr>
              <w:adjustRightInd w:val="0"/>
              <w:snapToGrid w:val="0"/>
              <w:spacing w:line="440" w:lineRule="exact"/>
              <w:ind w:firstLine="0" w:firstLineChars="0"/>
              <w:jc w:val="center"/>
              <w:rPr>
                <w:rFonts w:ascii="仿宋" w:hAnsi="仿宋" w:eastAsia="仿宋" w:cs="黑体"/>
                <w:b/>
                <w:color w:val="auto"/>
                <w:kern w:val="0"/>
                <w:sz w:val="21"/>
                <w:szCs w:val="21"/>
              </w:rPr>
            </w:pPr>
            <w:r>
              <w:rPr>
                <w:rFonts w:hint="eastAsia" w:ascii="仿宋" w:hAnsi="仿宋" w:eastAsia="仿宋" w:cs="黑体"/>
                <w:b/>
                <w:color w:val="auto"/>
                <w:kern w:val="0"/>
                <w:sz w:val="21"/>
                <w:szCs w:val="21"/>
              </w:rPr>
              <w:t>检查因素</w:t>
            </w:r>
          </w:p>
        </w:tc>
        <w:tc>
          <w:tcPr>
            <w:tcW w:w="5385" w:type="dxa"/>
            <w:vAlign w:val="center"/>
          </w:tcPr>
          <w:p>
            <w:pPr>
              <w:adjustRightInd w:val="0"/>
              <w:snapToGrid w:val="0"/>
              <w:spacing w:line="440" w:lineRule="exact"/>
              <w:ind w:firstLine="0" w:firstLineChars="0"/>
              <w:jc w:val="center"/>
              <w:rPr>
                <w:rFonts w:ascii="仿宋" w:hAnsi="仿宋" w:eastAsia="仿宋"/>
                <w:color w:val="auto"/>
              </w:rPr>
            </w:pPr>
            <w:r>
              <w:rPr>
                <w:rFonts w:hint="eastAsia" w:ascii="仿宋" w:hAnsi="仿宋" w:eastAsia="仿宋" w:cs="黑体"/>
                <w:b/>
                <w:color w:val="auto"/>
                <w:kern w:val="0"/>
                <w:sz w:val="21"/>
                <w:szCs w:val="21"/>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6" w:hRule="atLeast"/>
          <w:jc w:val="center"/>
        </w:trPr>
        <w:tc>
          <w:tcPr>
            <w:tcW w:w="846" w:type="dxa"/>
            <w:vMerge w:val="restart"/>
            <w:vAlign w:val="center"/>
          </w:tcPr>
          <w:p>
            <w:pPr>
              <w:adjustRightInd w:val="0"/>
              <w:snapToGrid w:val="0"/>
              <w:spacing w:line="440" w:lineRule="exact"/>
              <w:ind w:firstLine="0" w:firstLineChars="0"/>
              <w:jc w:val="center"/>
              <w:rPr>
                <w:rFonts w:ascii="仿宋" w:hAnsi="仿宋" w:eastAsia="仿宋" w:cs="黑体"/>
                <w:color w:val="auto"/>
                <w:sz w:val="21"/>
                <w:szCs w:val="21"/>
              </w:rPr>
            </w:pPr>
            <w:r>
              <w:rPr>
                <w:rFonts w:hint="eastAsia" w:ascii="仿宋" w:hAnsi="仿宋" w:eastAsia="仿宋" w:cs="黑体"/>
                <w:color w:val="auto"/>
                <w:sz w:val="21"/>
                <w:szCs w:val="21"/>
              </w:rPr>
              <w:t>（一）</w:t>
            </w:r>
          </w:p>
        </w:tc>
        <w:tc>
          <w:tcPr>
            <w:tcW w:w="709" w:type="dxa"/>
            <w:vMerge w:val="restart"/>
            <w:vAlign w:val="center"/>
          </w:tcPr>
          <w:p>
            <w:pPr>
              <w:adjustRightInd w:val="0"/>
              <w:snapToGrid w:val="0"/>
              <w:spacing w:line="440" w:lineRule="exact"/>
              <w:ind w:firstLine="0" w:firstLineChars="0"/>
              <w:jc w:val="left"/>
              <w:rPr>
                <w:rFonts w:ascii="仿宋" w:hAnsi="仿宋" w:eastAsia="仿宋" w:cs="黑体"/>
                <w:color w:val="auto"/>
                <w:sz w:val="21"/>
                <w:szCs w:val="21"/>
              </w:rPr>
            </w:pPr>
            <w:r>
              <w:rPr>
                <w:rFonts w:hint="eastAsia" w:ascii="仿宋" w:hAnsi="仿宋" w:eastAsia="仿宋" w:cs="黑体"/>
                <w:color w:val="auto"/>
                <w:sz w:val="21"/>
                <w:szCs w:val="21"/>
              </w:rPr>
              <w:t>《中华人民共和国政府采购法》第二十二条规定</w:t>
            </w:r>
          </w:p>
        </w:tc>
        <w:tc>
          <w:tcPr>
            <w:tcW w:w="2924" w:type="dxa"/>
            <w:vAlign w:val="center"/>
          </w:tcPr>
          <w:p>
            <w:pPr>
              <w:adjustRightInd w:val="0"/>
              <w:snapToGrid w:val="0"/>
              <w:spacing w:line="440" w:lineRule="exact"/>
              <w:ind w:firstLine="0" w:firstLineChars="0"/>
              <w:rPr>
                <w:rFonts w:ascii="仿宋" w:hAnsi="仿宋" w:eastAsia="仿宋"/>
                <w:color w:val="auto"/>
                <w:sz w:val="21"/>
                <w:szCs w:val="21"/>
              </w:rPr>
            </w:pPr>
            <w:r>
              <w:rPr>
                <w:rFonts w:hint="eastAsia" w:ascii="仿宋" w:hAnsi="仿宋" w:eastAsia="仿宋"/>
                <w:color w:val="auto"/>
                <w:sz w:val="21"/>
                <w:szCs w:val="21"/>
              </w:rPr>
              <w:t>1</w:t>
            </w:r>
            <w:r>
              <w:rPr>
                <w:rFonts w:ascii="仿宋" w:hAnsi="仿宋" w:eastAsia="仿宋"/>
                <w:color w:val="auto"/>
                <w:sz w:val="21"/>
                <w:szCs w:val="21"/>
              </w:rPr>
              <w:t>.</w:t>
            </w:r>
            <w:r>
              <w:rPr>
                <w:rFonts w:hint="eastAsia" w:ascii="仿宋" w:hAnsi="仿宋" w:eastAsia="仿宋"/>
                <w:color w:val="auto"/>
                <w:sz w:val="21"/>
                <w:szCs w:val="21"/>
              </w:rPr>
              <w:t>具有独立承担民事责任的能力</w:t>
            </w:r>
          </w:p>
        </w:tc>
        <w:tc>
          <w:tcPr>
            <w:tcW w:w="5385" w:type="dxa"/>
            <w:vAlign w:val="center"/>
          </w:tcPr>
          <w:p>
            <w:pPr>
              <w:adjustRightInd w:val="0"/>
              <w:snapToGrid w:val="0"/>
              <w:spacing w:line="440" w:lineRule="exact"/>
              <w:ind w:firstLine="0" w:firstLineChars="0"/>
              <w:jc w:val="left"/>
              <w:rPr>
                <w:rFonts w:ascii="仿宋" w:hAnsi="仿宋" w:eastAsia="仿宋" w:cs="黑体"/>
                <w:color w:val="auto"/>
                <w:sz w:val="21"/>
                <w:szCs w:val="21"/>
              </w:rPr>
            </w:pPr>
            <w:r>
              <w:rPr>
                <w:rFonts w:hint="eastAsia" w:ascii="仿宋" w:hAnsi="仿宋" w:eastAsia="仿宋" w:cs="黑体"/>
                <w:color w:val="auto"/>
                <w:sz w:val="21"/>
                <w:szCs w:val="21"/>
              </w:rPr>
              <w:t>1</w:t>
            </w:r>
            <w:r>
              <w:rPr>
                <w:rFonts w:ascii="仿宋" w:hAnsi="仿宋" w:eastAsia="仿宋" w:cs="黑体"/>
                <w:color w:val="auto"/>
                <w:sz w:val="21"/>
                <w:szCs w:val="21"/>
              </w:rPr>
              <w:t>.</w:t>
            </w:r>
            <w:r>
              <w:rPr>
                <w:rFonts w:hint="eastAsia" w:ascii="仿宋" w:hAnsi="仿宋" w:eastAsia="仿宋" w:cs="黑体"/>
                <w:color w:val="auto"/>
                <w:sz w:val="21"/>
                <w:szCs w:val="21"/>
              </w:rPr>
              <w:t>投标人法人营业执照（副本）或事业单位法人证书（副本）或个体工商户营业执照或有效的自然人身份证明或社会团体法人登记证书（提供复印件）；</w:t>
            </w:r>
          </w:p>
          <w:p>
            <w:pPr>
              <w:adjustRightInd w:val="0"/>
              <w:snapToGrid w:val="0"/>
              <w:spacing w:line="440" w:lineRule="exact"/>
              <w:ind w:firstLine="0" w:firstLineChars="0"/>
              <w:jc w:val="left"/>
              <w:rPr>
                <w:rFonts w:ascii="仿宋" w:hAnsi="仿宋" w:eastAsia="仿宋" w:cs="黑体"/>
                <w:color w:val="auto"/>
                <w:sz w:val="21"/>
                <w:szCs w:val="21"/>
              </w:rPr>
            </w:pPr>
            <w:r>
              <w:rPr>
                <w:rFonts w:hint="eastAsia" w:ascii="仿宋" w:hAnsi="仿宋" w:eastAsia="仿宋" w:cs="黑体"/>
                <w:color w:val="auto"/>
                <w:sz w:val="21"/>
                <w:szCs w:val="21"/>
                <w:lang w:val="en-US" w:eastAsia="zh-CN"/>
              </w:rPr>
              <w:t>2.</w:t>
            </w:r>
            <w:r>
              <w:rPr>
                <w:rFonts w:hint="eastAsia" w:ascii="仿宋" w:hAnsi="仿宋" w:eastAsia="仿宋" w:cs="黑体"/>
                <w:color w:val="auto"/>
                <w:sz w:val="21"/>
                <w:szCs w:val="21"/>
              </w:rPr>
              <w:t>投标人法定代表人身份证明书和法定代表人授权代表委托书。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9" w:hRule="atLeast"/>
          <w:jc w:val="center"/>
        </w:trPr>
        <w:tc>
          <w:tcPr>
            <w:tcW w:w="846" w:type="dxa"/>
            <w:vMerge w:val="continue"/>
            <w:vAlign w:val="center"/>
          </w:tcPr>
          <w:p>
            <w:pPr>
              <w:adjustRightInd w:val="0"/>
              <w:snapToGrid w:val="0"/>
              <w:spacing w:line="440" w:lineRule="exact"/>
              <w:ind w:firstLine="384"/>
              <w:jc w:val="center"/>
              <w:rPr>
                <w:rFonts w:ascii="仿宋" w:hAnsi="仿宋" w:eastAsia="仿宋" w:cs="黑体"/>
                <w:color w:val="auto"/>
                <w:sz w:val="22"/>
                <w:szCs w:val="22"/>
              </w:rPr>
            </w:pPr>
          </w:p>
        </w:tc>
        <w:tc>
          <w:tcPr>
            <w:tcW w:w="709" w:type="dxa"/>
            <w:vMerge w:val="continue"/>
            <w:vAlign w:val="center"/>
          </w:tcPr>
          <w:p>
            <w:pPr>
              <w:adjustRightInd w:val="0"/>
              <w:snapToGrid w:val="0"/>
              <w:spacing w:line="440" w:lineRule="exact"/>
              <w:ind w:firstLine="364"/>
              <w:jc w:val="center"/>
              <w:rPr>
                <w:rFonts w:ascii="仿宋" w:hAnsi="仿宋" w:eastAsia="仿宋" w:cs="黑体"/>
                <w:color w:val="auto"/>
                <w:sz w:val="21"/>
                <w:szCs w:val="21"/>
              </w:rPr>
            </w:pPr>
          </w:p>
        </w:tc>
        <w:tc>
          <w:tcPr>
            <w:tcW w:w="2924" w:type="dxa"/>
            <w:vAlign w:val="center"/>
          </w:tcPr>
          <w:p>
            <w:pPr>
              <w:adjustRightInd w:val="0"/>
              <w:snapToGrid w:val="0"/>
              <w:spacing w:line="440" w:lineRule="exact"/>
              <w:ind w:firstLine="0" w:firstLineChars="0"/>
              <w:rPr>
                <w:rFonts w:ascii="仿宋" w:hAnsi="仿宋" w:eastAsia="仿宋"/>
                <w:color w:val="auto"/>
                <w:sz w:val="21"/>
                <w:szCs w:val="21"/>
              </w:rPr>
            </w:pPr>
            <w:r>
              <w:rPr>
                <w:rFonts w:hint="eastAsia" w:ascii="仿宋" w:hAnsi="仿宋" w:eastAsia="仿宋"/>
                <w:color w:val="auto"/>
                <w:sz w:val="21"/>
                <w:szCs w:val="21"/>
              </w:rPr>
              <w:t>2</w:t>
            </w:r>
            <w:r>
              <w:rPr>
                <w:rFonts w:ascii="仿宋" w:hAnsi="仿宋" w:eastAsia="仿宋"/>
                <w:color w:val="auto"/>
                <w:sz w:val="21"/>
                <w:szCs w:val="21"/>
              </w:rPr>
              <w:t>.</w:t>
            </w:r>
            <w:r>
              <w:rPr>
                <w:rFonts w:hint="eastAsia" w:ascii="仿宋" w:hAnsi="仿宋" w:eastAsia="仿宋"/>
                <w:color w:val="auto"/>
                <w:sz w:val="21"/>
                <w:szCs w:val="21"/>
              </w:rPr>
              <w:t>具有良好的商业信誉和健全的财务会计制度</w:t>
            </w:r>
          </w:p>
        </w:tc>
        <w:tc>
          <w:tcPr>
            <w:tcW w:w="5385" w:type="dxa"/>
            <w:vMerge w:val="restart"/>
            <w:vAlign w:val="center"/>
          </w:tcPr>
          <w:p>
            <w:pPr>
              <w:adjustRightInd w:val="0"/>
              <w:snapToGrid w:val="0"/>
              <w:spacing w:line="440" w:lineRule="exact"/>
              <w:ind w:firstLine="0" w:firstLineChars="0"/>
              <w:jc w:val="center"/>
              <w:rPr>
                <w:rFonts w:ascii="仿宋" w:hAnsi="仿宋" w:eastAsia="仿宋" w:cs="黑体"/>
                <w:color w:val="auto"/>
                <w:sz w:val="21"/>
                <w:szCs w:val="21"/>
              </w:rPr>
            </w:pPr>
            <w:r>
              <w:rPr>
                <w:rFonts w:hint="eastAsia" w:ascii="仿宋" w:hAnsi="仿宋" w:eastAsia="仿宋"/>
                <w:bCs/>
                <w:color w:val="auto"/>
                <w:sz w:val="21"/>
                <w:szCs w:val="21"/>
              </w:rPr>
              <w:t>2-5项投标人提供基本资格条件承诺函（</w:t>
            </w:r>
            <w:r>
              <w:rPr>
                <w:rFonts w:hint="eastAsia" w:ascii="仿宋" w:hAnsi="仿宋" w:eastAsia="仿宋" w:cs="仿宋"/>
                <w:color w:val="auto"/>
                <w:sz w:val="21"/>
                <w:szCs w:val="21"/>
                <w:lang w:val="en-US" w:eastAsia="zh-CN"/>
              </w:rPr>
              <w:t>格式详见第七篇）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846" w:type="dxa"/>
            <w:vMerge w:val="continue"/>
            <w:vAlign w:val="center"/>
          </w:tcPr>
          <w:p>
            <w:pPr>
              <w:adjustRightInd w:val="0"/>
              <w:snapToGrid w:val="0"/>
              <w:spacing w:line="440" w:lineRule="exact"/>
              <w:ind w:firstLine="384"/>
              <w:jc w:val="center"/>
              <w:rPr>
                <w:rFonts w:ascii="仿宋" w:hAnsi="仿宋" w:eastAsia="仿宋" w:cs="黑体"/>
                <w:color w:val="auto"/>
                <w:sz w:val="22"/>
                <w:szCs w:val="22"/>
              </w:rPr>
            </w:pPr>
          </w:p>
        </w:tc>
        <w:tc>
          <w:tcPr>
            <w:tcW w:w="709" w:type="dxa"/>
            <w:vMerge w:val="continue"/>
            <w:vAlign w:val="center"/>
          </w:tcPr>
          <w:p>
            <w:pPr>
              <w:adjustRightInd w:val="0"/>
              <w:snapToGrid w:val="0"/>
              <w:spacing w:line="440" w:lineRule="exact"/>
              <w:ind w:firstLine="364"/>
              <w:jc w:val="center"/>
              <w:rPr>
                <w:rFonts w:ascii="仿宋" w:hAnsi="仿宋" w:eastAsia="仿宋" w:cs="黑体"/>
                <w:color w:val="auto"/>
                <w:sz w:val="21"/>
                <w:szCs w:val="21"/>
              </w:rPr>
            </w:pPr>
          </w:p>
        </w:tc>
        <w:tc>
          <w:tcPr>
            <w:tcW w:w="2924" w:type="dxa"/>
            <w:vAlign w:val="center"/>
          </w:tcPr>
          <w:p>
            <w:pPr>
              <w:adjustRightInd w:val="0"/>
              <w:snapToGrid w:val="0"/>
              <w:spacing w:line="440" w:lineRule="exact"/>
              <w:ind w:firstLine="0" w:firstLineChars="0"/>
              <w:rPr>
                <w:rFonts w:ascii="仿宋" w:hAnsi="仿宋" w:eastAsia="仿宋"/>
                <w:color w:val="auto"/>
                <w:sz w:val="21"/>
                <w:szCs w:val="21"/>
              </w:rPr>
            </w:pPr>
            <w:r>
              <w:rPr>
                <w:rFonts w:hint="eastAsia" w:ascii="仿宋" w:hAnsi="仿宋" w:eastAsia="仿宋"/>
                <w:color w:val="auto"/>
                <w:sz w:val="21"/>
                <w:szCs w:val="21"/>
              </w:rPr>
              <w:t>3</w:t>
            </w:r>
            <w:r>
              <w:rPr>
                <w:rFonts w:ascii="仿宋" w:hAnsi="仿宋" w:eastAsia="仿宋"/>
                <w:color w:val="auto"/>
                <w:sz w:val="21"/>
                <w:szCs w:val="21"/>
              </w:rPr>
              <w:t>.</w:t>
            </w:r>
            <w:r>
              <w:rPr>
                <w:rFonts w:hint="eastAsia" w:ascii="仿宋" w:hAnsi="仿宋" w:eastAsia="仿宋"/>
                <w:color w:val="auto"/>
                <w:sz w:val="21"/>
                <w:szCs w:val="21"/>
              </w:rPr>
              <w:t>具有履行合同所必需的设备和专业技术能力</w:t>
            </w:r>
          </w:p>
        </w:tc>
        <w:tc>
          <w:tcPr>
            <w:tcW w:w="5385" w:type="dxa"/>
            <w:vMerge w:val="continue"/>
            <w:vAlign w:val="center"/>
          </w:tcPr>
          <w:p>
            <w:pPr>
              <w:adjustRightInd w:val="0"/>
              <w:snapToGrid w:val="0"/>
              <w:spacing w:line="440" w:lineRule="exact"/>
              <w:ind w:firstLine="0" w:firstLineChars="0"/>
              <w:jc w:val="left"/>
              <w:rPr>
                <w:rFonts w:ascii="仿宋" w:hAnsi="仿宋" w:eastAsia="仿宋" w:cs="黑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3" w:hRule="atLeast"/>
          <w:jc w:val="center"/>
        </w:trPr>
        <w:tc>
          <w:tcPr>
            <w:tcW w:w="846" w:type="dxa"/>
            <w:vMerge w:val="continue"/>
            <w:vAlign w:val="center"/>
          </w:tcPr>
          <w:p>
            <w:pPr>
              <w:adjustRightInd w:val="0"/>
              <w:snapToGrid w:val="0"/>
              <w:spacing w:line="440" w:lineRule="exact"/>
              <w:ind w:firstLine="384"/>
              <w:jc w:val="center"/>
              <w:rPr>
                <w:rFonts w:ascii="仿宋" w:hAnsi="仿宋" w:eastAsia="仿宋" w:cs="黑体"/>
                <w:color w:val="auto"/>
                <w:sz w:val="22"/>
                <w:szCs w:val="22"/>
              </w:rPr>
            </w:pPr>
          </w:p>
        </w:tc>
        <w:tc>
          <w:tcPr>
            <w:tcW w:w="709" w:type="dxa"/>
            <w:vMerge w:val="continue"/>
            <w:vAlign w:val="center"/>
          </w:tcPr>
          <w:p>
            <w:pPr>
              <w:adjustRightInd w:val="0"/>
              <w:snapToGrid w:val="0"/>
              <w:spacing w:line="440" w:lineRule="exact"/>
              <w:ind w:firstLine="364"/>
              <w:jc w:val="center"/>
              <w:rPr>
                <w:rFonts w:ascii="仿宋" w:hAnsi="仿宋" w:eastAsia="仿宋" w:cs="黑体"/>
                <w:color w:val="auto"/>
                <w:sz w:val="21"/>
                <w:szCs w:val="21"/>
              </w:rPr>
            </w:pPr>
          </w:p>
        </w:tc>
        <w:tc>
          <w:tcPr>
            <w:tcW w:w="2924" w:type="dxa"/>
            <w:vAlign w:val="center"/>
          </w:tcPr>
          <w:p>
            <w:pPr>
              <w:adjustRightInd w:val="0"/>
              <w:snapToGrid w:val="0"/>
              <w:spacing w:line="440" w:lineRule="exact"/>
              <w:ind w:firstLine="0" w:firstLineChars="0"/>
              <w:rPr>
                <w:rFonts w:ascii="仿宋" w:hAnsi="仿宋" w:eastAsia="仿宋"/>
                <w:color w:val="auto"/>
                <w:sz w:val="21"/>
                <w:szCs w:val="21"/>
              </w:rPr>
            </w:pPr>
            <w:r>
              <w:rPr>
                <w:rFonts w:hint="eastAsia" w:ascii="仿宋" w:hAnsi="仿宋" w:eastAsia="仿宋"/>
                <w:color w:val="auto"/>
                <w:sz w:val="21"/>
                <w:szCs w:val="21"/>
              </w:rPr>
              <w:t>4</w:t>
            </w:r>
            <w:r>
              <w:rPr>
                <w:rFonts w:ascii="仿宋" w:hAnsi="仿宋" w:eastAsia="仿宋"/>
                <w:color w:val="auto"/>
                <w:sz w:val="21"/>
                <w:szCs w:val="21"/>
              </w:rPr>
              <w:t>.</w:t>
            </w:r>
            <w:r>
              <w:rPr>
                <w:rFonts w:hint="eastAsia" w:ascii="仿宋" w:hAnsi="仿宋" w:eastAsia="仿宋"/>
                <w:color w:val="auto"/>
                <w:sz w:val="21"/>
                <w:szCs w:val="21"/>
              </w:rPr>
              <w:t>有依法缴纳税收和社会保障金的良好记录</w:t>
            </w:r>
          </w:p>
        </w:tc>
        <w:tc>
          <w:tcPr>
            <w:tcW w:w="5385" w:type="dxa"/>
            <w:vMerge w:val="continue"/>
            <w:vAlign w:val="center"/>
          </w:tcPr>
          <w:p>
            <w:pPr>
              <w:adjustRightInd w:val="0"/>
              <w:snapToGrid w:val="0"/>
              <w:spacing w:line="440" w:lineRule="exact"/>
              <w:ind w:firstLine="0" w:firstLineChars="0"/>
              <w:jc w:val="left"/>
              <w:rPr>
                <w:rFonts w:ascii="仿宋" w:hAnsi="仿宋" w:eastAsia="仿宋" w:cs="黑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1" w:hRule="atLeast"/>
          <w:jc w:val="center"/>
        </w:trPr>
        <w:tc>
          <w:tcPr>
            <w:tcW w:w="846" w:type="dxa"/>
            <w:vMerge w:val="continue"/>
            <w:vAlign w:val="center"/>
          </w:tcPr>
          <w:p>
            <w:pPr>
              <w:adjustRightInd w:val="0"/>
              <w:snapToGrid w:val="0"/>
              <w:spacing w:line="440" w:lineRule="exact"/>
              <w:ind w:firstLine="384"/>
              <w:jc w:val="center"/>
              <w:rPr>
                <w:rFonts w:ascii="仿宋" w:hAnsi="仿宋" w:eastAsia="仿宋" w:cs="黑体"/>
                <w:color w:val="auto"/>
                <w:sz w:val="22"/>
                <w:szCs w:val="22"/>
              </w:rPr>
            </w:pPr>
          </w:p>
        </w:tc>
        <w:tc>
          <w:tcPr>
            <w:tcW w:w="709" w:type="dxa"/>
            <w:vMerge w:val="continue"/>
            <w:vAlign w:val="center"/>
          </w:tcPr>
          <w:p>
            <w:pPr>
              <w:adjustRightInd w:val="0"/>
              <w:snapToGrid w:val="0"/>
              <w:spacing w:line="440" w:lineRule="exact"/>
              <w:ind w:firstLine="364"/>
              <w:jc w:val="center"/>
              <w:rPr>
                <w:rFonts w:ascii="仿宋" w:hAnsi="仿宋" w:eastAsia="仿宋" w:cs="黑体"/>
                <w:color w:val="auto"/>
                <w:sz w:val="21"/>
                <w:szCs w:val="21"/>
              </w:rPr>
            </w:pPr>
          </w:p>
        </w:tc>
        <w:tc>
          <w:tcPr>
            <w:tcW w:w="2924" w:type="dxa"/>
            <w:vAlign w:val="center"/>
          </w:tcPr>
          <w:p>
            <w:pPr>
              <w:adjustRightInd w:val="0"/>
              <w:snapToGrid w:val="0"/>
              <w:spacing w:line="440" w:lineRule="exact"/>
              <w:ind w:firstLine="0" w:firstLineChars="0"/>
              <w:rPr>
                <w:rFonts w:ascii="仿宋" w:hAnsi="仿宋" w:eastAsia="仿宋"/>
                <w:color w:val="auto"/>
                <w:sz w:val="21"/>
                <w:szCs w:val="21"/>
              </w:rPr>
            </w:pPr>
            <w:r>
              <w:rPr>
                <w:rFonts w:hint="eastAsia" w:ascii="仿宋" w:hAnsi="仿宋" w:eastAsia="仿宋"/>
                <w:color w:val="auto"/>
                <w:sz w:val="21"/>
                <w:szCs w:val="21"/>
              </w:rPr>
              <w:t>5</w:t>
            </w:r>
            <w:r>
              <w:rPr>
                <w:rFonts w:ascii="仿宋" w:hAnsi="仿宋" w:eastAsia="仿宋"/>
                <w:color w:val="auto"/>
                <w:sz w:val="21"/>
                <w:szCs w:val="21"/>
              </w:rPr>
              <w:t>.</w:t>
            </w:r>
            <w:r>
              <w:rPr>
                <w:rFonts w:hint="eastAsia" w:ascii="仿宋" w:hAnsi="仿宋" w:eastAsia="仿宋"/>
                <w:color w:val="auto"/>
                <w:sz w:val="21"/>
                <w:szCs w:val="21"/>
              </w:rPr>
              <w:t>参加政府采购活动前三年内，在经营活动中没有重大违法记录</w:t>
            </w:r>
          </w:p>
        </w:tc>
        <w:tc>
          <w:tcPr>
            <w:tcW w:w="5385" w:type="dxa"/>
            <w:vMerge w:val="continue"/>
            <w:vAlign w:val="center"/>
          </w:tcPr>
          <w:p>
            <w:pPr>
              <w:adjustRightInd w:val="0"/>
              <w:snapToGrid w:val="0"/>
              <w:spacing w:line="440" w:lineRule="exact"/>
              <w:ind w:firstLine="0" w:firstLineChars="0"/>
              <w:rPr>
                <w:rFonts w:ascii="仿宋" w:hAnsi="仿宋" w:eastAsia="仿宋"/>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846" w:type="dxa"/>
            <w:vMerge w:val="continue"/>
            <w:vAlign w:val="center"/>
          </w:tcPr>
          <w:p>
            <w:pPr>
              <w:adjustRightInd w:val="0"/>
              <w:snapToGrid w:val="0"/>
              <w:spacing w:line="440" w:lineRule="exact"/>
              <w:ind w:firstLine="384"/>
              <w:jc w:val="center"/>
              <w:rPr>
                <w:rFonts w:ascii="仿宋" w:hAnsi="仿宋" w:eastAsia="仿宋" w:cs="黑体"/>
                <w:color w:val="auto"/>
                <w:sz w:val="22"/>
                <w:szCs w:val="22"/>
              </w:rPr>
            </w:pPr>
          </w:p>
        </w:tc>
        <w:tc>
          <w:tcPr>
            <w:tcW w:w="709" w:type="dxa"/>
            <w:vMerge w:val="continue"/>
            <w:vAlign w:val="center"/>
          </w:tcPr>
          <w:p>
            <w:pPr>
              <w:adjustRightInd w:val="0"/>
              <w:snapToGrid w:val="0"/>
              <w:spacing w:line="440" w:lineRule="exact"/>
              <w:ind w:firstLine="364"/>
              <w:jc w:val="center"/>
              <w:rPr>
                <w:rFonts w:ascii="仿宋" w:hAnsi="仿宋" w:eastAsia="仿宋" w:cs="黑体"/>
                <w:color w:val="auto"/>
                <w:sz w:val="21"/>
                <w:szCs w:val="21"/>
              </w:rPr>
            </w:pPr>
          </w:p>
        </w:tc>
        <w:tc>
          <w:tcPr>
            <w:tcW w:w="2924" w:type="dxa"/>
            <w:vAlign w:val="center"/>
          </w:tcPr>
          <w:p>
            <w:pPr>
              <w:adjustRightInd w:val="0"/>
              <w:snapToGrid w:val="0"/>
              <w:spacing w:line="440" w:lineRule="exact"/>
              <w:ind w:firstLine="0" w:firstLineChars="0"/>
              <w:rPr>
                <w:rFonts w:ascii="仿宋" w:hAnsi="仿宋" w:eastAsia="仿宋"/>
                <w:color w:val="auto"/>
                <w:sz w:val="21"/>
                <w:szCs w:val="21"/>
              </w:rPr>
            </w:pPr>
            <w:r>
              <w:rPr>
                <w:rFonts w:hint="eastAsia" w:ascii="仿宋" w:hAnsi="仿宋" w:eastAsia="仿宋"/>
                <w:color w:val="auto"/>
                <w:sz w:val="21"/>
                <w:szCs w:val="21"/>
              </w:rPr>
              <w:t>6</w:t>
            </w:r>
            <w:r>
              <w:rPr>
                <w:rFonts w:ascii="仿宋" w:hAnsi="仿宋" w:eastAsia="仿宋"/>
                <w:color w:val="auto"/>
                <w:sz w:val="21"/>
                <w:szCs w:val="21"/>
              </w:rPr>
              <w:t>.</w:t>
            </w:r>
            <w:r>
              <w:rPr>
                <w:rFonts w:hint="eastAsia" w:ascii="仿宋" w:hAnsi="仿宋" w:eastAsia="仿宋"/>
                <w:color w:val="auto"/>
                <w:sz w:val="21"/>
                <w:szCs w:val="21"/>
              </w:rPr>
              <w:t>法律、行政法规规定的其他条件</w:t>
            </w:r>
          </w:p>
        </w:tc>
        <w:tc>
          <w:tcPr>
            <w:tcW w:w="5385" w:type="dxa"/>
            <w:vAlign w:val="center"/>
          </w:tcPr>
          <w:p>
            <w:pPr>
              <w:adjustRightInd w:val="0"/>
              <w:snapToGrid w:val="0"/>
              <w:spacing w:line="440" w:lineRule="exact"/>
              <w:ind w:firstLine="0" w:firstLineChars="0"/>
              <w:jc w:val="left"/>
              <w:rPr>
                <w:rFonts w:ascii="仿宋" w:hAnsi="仿宋" w:eastAsia="仿宋" w:cs="黑体"/>
                <w:color w:val="auto"/>
                <w:sz w:val="21"/>
                <w:szCs w:val="21"/>
              </w:rPr>
            </w:pPr>
            <w:r>
              <w:rPr>
                <w:rFonts w:hint="eastAsia" w:ascii="仿宋" w:hAnsi="仿宋" w:eastAsia="仿宋" w:cs="黑体"/>
                <w:color w:val="auto"/>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846" w:type="dxa"/>
            <w:vMerge w:val="continue"/>
            <w:vAlign w:val="center"/>
          </w:tcPr>
          <w:p>
            <w:pPr>
              <w:adjustRightInd w:val="0"/>
              <w:snapToGrid w:val="0"/>
              <w:spacing w:line="440" w:lineRule="exact"/>
              <w:ind w:firstLine="0" w:firstLineChars="0"/>
              <w:jc w:val="center"/>
              <w:rPr>
                <w:rFonts w:ascii="仿宋" w:hAnsi="仿宋" w:eastAsia="仿宋" w:cs="黑体"/>
                <w:color w:val="auto"/>
                <w:sz w:val="21"/>
                <w:szCs w:val="21"/>
              </w:rPr>
            </w:pPr>
          </w:p>
        </w:tc>
        <w:tc>
          <w:tcPr>
            <w:tcW w:w="709" w:type="dxa"/>
            <w:vMerge w:val="continue"/>
            <w:vAlign w:val="center"/>
          </w:tcPr>
          <w:p>
            <w:pPr>
              <w:adjustRightInd w:val="0"/>
              <w:snapToGrid w:val="0"/>
              <w:spacing w:line="440" w:lineRule="exact"/>
              <w:ind w:firstLine="0" w:firstLineChars="0"/>
              <w:jc w:val="center"/>
              <w:rPr>
                <w:rFonts w:ascii="仿宋" w:hAnsi="仿宋" w:eastAsia="仿宋" w:cs="黑体"/>
                <w:color w:val="auto"/>
                <w:sz w:val="21"/>
                <w:szCs w:val="21"/>
              </w:rPr>
            </w:pPr>
          </w:p>
        </w:tc>
        <w:tc>
          <w:tcPr>
            <w:tcW w:w="2924" w:type="dxa"/>
            <w:vAlign w:val="center"/>
          </w:tcPr>
          <w:p>
            <w:pPr>
              <w:adjustRightInd w:val="0"/>
              <w:snapToGrid w:val="0"/>
              <w:spacing w:line="440" w:lineRule="exact"/>
              <w:ind w:firstLine="0" w:firstLineChars="0"/>
              <w:rPr>
                <w:rFonts w:ascii="仿宋" w:hAnsi="仿宋" w:eastAsia="仿宋"/>
                <w:color w:val="auto"/>
                <w:sz w:val="21"/>
                <w:szCs w:val="21"/>
              </w:rPr>
            </w:pPr>
            <w:r>
              <w:rPr>
                <w:rFonts w:hint="eastAsia" w:ascii="仿宋" w:hAnsi="仿宋" w:eastAsia="仿宋"/>
                <w:color w:val="auto"/>
                <w:sz w:val="21"/>
                <w:szCs w:val="21"/>
              </w:rPr>
              <w:t>7</w:t>
            </w:r>
            <w:r>
              <w:rPr>
                <w:rFonts w:ascii="仿宋" w:hAnsi="仿宋" w:eastAsia="仿宋"/>
                <w:color w:val="auto"/>
                <w:sz w:val="21"/>
                <w:szCs w:val="21"/>
              </w:rPr>
              <w:t>.</w:t>
            </w:r>
            <w:r>
              <w:rPr>
                <w:rFonts w:hint="eastAsia" w:ascii="仿宋" w:hAnsi="仿宋" w:eastAsia="仿宋"/>
                <w:color w:val="auto"/>
                <w:sz w:val="21"/>
                <w:szCs w:val="21"/>
              </w:rPr>
              <w:t>特定资格条件</w:t>
            </w:r>
          </w:p>
        </w:tc>
        <w:tc>
          <w:tcPr>
            <w:tcW w:w="5385" w:type="dxa"/>
            <w:vAlign w:val="center"/>
          </w:tcPr>
          <w:p>
            <w:pPr>
              <w:adjustRightInd w:val="0"/>
              <w:snapToGrid w:val="0"/>
              <w:spacing w:line="440" w:lineRule="exact"/>
              <w:ind w:firstLine="0" w:firstLineChars="0"/>
              <w:jc w:val="left"/>
              <w:rPr>
                <w:rFonts w:hint="eastAsia" w:ascii="仿宋" w:hAnsi="仿宋" w:eastAsia="仿宋" w:cs="黑体"/>
                <w:color w:val="auto"/>
                <w:sz w:val="21"/>
                <w:szCs w:val="21"/>
                <w:lang w:eastAsia="zh-CN"/>
              </w:rPr>
            </w:pPr>
            <w:r>
              <w:rPr>
                <w:rFonts w:hint="eastAsia" w:ascii="仿宋" w:hAnsi="仿宋" w:eastAsia="仿宋" w:cs="黑体"/>
                <w:color w:val="auto"/>
                <w:sz w:val="2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846" w:type="dxa"/>
            <w:vAlign w:val="center"/>
          </w:tcPr>
          <w:p>
            <w:pPr>
              <w:adjustRightInd w:val="0"/>
              <w:snapToGrid w:val="0"/>
              <w:spacing w:line="440" w:lineRule="exact"/>
              <w:ind w:firstLine="0" w:firstLineChars="0"/>
              <w:jc w:val="center"/>
              <w:rPr>
                <w:rFonts w:ascii="仿宋" w:hAnsi="仿宋" w:eastAsia="仿宋" w:cs="黑体"/>
                <w:color w:val="auto"/>
                <w:sz w:val="21"/>
                <w:szCs w:val="21"/>
              </w:rPr>
            </w:pPr>
            <w:r>
              <w:rPr>
                <w:rFonts w:hint="eastAsia" w:ascii="仿宋" w:hAnsi="仿宋" w:eastAsia="仿宋" w:cs="黑体"/>
                <w:color w:val="auto"/>
                <w:sz w:val="21"/>
                <w:szCs w:val="21"/>
              </w:rPr>
              <w:t>（二）</w:t>
            </w:r>
          </w:p>
        </w:tc>
        <w:tc>
          <w:tcPr>
            <w:tcW w:w="3633" w:type="dxa"/>
            <w:gridSpan w:val="2"/>
            <w:vAlign w:val="center"/>
          </w:tcPr>
          <w:p>
            <w:pPr>
              <w:adjustRightInd w:val="0"/>
              <w:snapToGrid w:val="0"/>
              <w:spacing w:line="440" w:lineRule="exact"/>
              <w:ind w:firstLine="0" w:firstLineChars="0"/>
              <w:jc w:val="center"/>
              <w:rPr>
                <w:rFonts w:ascii="仿宋" w:hAnsi="仿宋" w:eastAsia="仿宋" w:cs="黑体"/>
                <w:color w:val="auto"/>
                <w:sz w:val="21"/>
                <w:szCs w:val="21"/>
              </w:rPr>
            </w:pPr>
            <w:r>
              <w:rPr>
                <w:rFonts w:hint="eastAsia" w:ascii="仿宋" w:hAnsi="仿宋" w:eastAsia="仿宋" w:cs="黑体"/>
                <w:color w:val="auto"/>
                <w:sz w:val="21"/>
                <w:szCs w:val="21"/>
              </w:rPr>
              <w:t>落实政府采购政策需满足的资格要求</w:t>
            </w:r>
          </w:p>
        </w:tc>
        <w:tc>
          <w:tcPr>
            <w:tcW w:w="5385" w:type="dxa"/>
            <w:vAlign w:val="center"/>
          </w:tcPr>
          <w:p>
            <w:pPr>
              <w:adjustRightInd w:val="0"/>
              <w:snapToGrid w:val="0"/>
              <w:spacing w:line="440" w:lineRule="exact"/>
              <w:ind w:firstLine="0" w:firstLineChars="0"/>
              <w:rPr>
                <w:rFonts w:ascii="仿宋" w:hAnsi="仿宋" w:eastAsia="仿宋" w:cs="黑体"/>
                <w:color w:val="auto"/>
                <w:sz w:val="21"/>
                <w:szCs w:val="21"/>
              </w:rPr>
            </w:pPr>
            <w:r>
              <w:rPr>
                <w:rFonts w:hint="eastAsia" w:ascii="仿宋" w:hAnsi="仿宋" w:eastAsia="仿宋" w:cs="黑体"/>
                <w:color w:val="auto"/>
                <w:sz w:val="21"/>
                <w:szCs w:val="21"/>
              </w:rPr>
              <w:t>本项目整体专门面向中型、小型、微型企业采购，服务承接单位应为中小微企业、监狱企业、残疾人福利性单位，提供《中小企业声明函》、监狱企业证明文件、《残疾人福利性单位声明函》（格式见第七篇）</w:t>
            </w:r>
            <w:r>
              <w:rPr>
                <w:rFonts w:hint="eastAsia" w:ascii="仿宋" w:hAnsi="仿宋" w:eastAsia="仿宋" w:cs="黑体"/>
                <w:color w:val="auto"/>
                <w:sz w:val="21"/>
                <w:szCs w:val="21"/>
                <w:lang w:eastAsia="zh-CN"/>
              </w:rPr>
              <w:t>。</w:t>
            </w:r>
          </w:p>
        </w:tc>
      </w:tr>
    </w:tbl>
    <w:p>
      <w:pPr>
        <w:ind w:firstLine="424"/>
        <w:rPr>
          <w:rFonts w:ascii="仿宋" w:hAnsi="仿宋" w:eastAsia="仿宋"/>
          <w:color w:val="auto"/>
        </w:rPr>
      </w:pPr>
      <w:r>
        <w:rPr>
          <w:rFonts w:hint="eastAsia" w:ascii="仿宋" w:hAnsi="仿宋" w:eastAsia="仿宋"/>
          <w:color w:val="auto"/>
        </w:rPr>
        <w:t>说明：以上资格检查证明材料，该年审的应当年审合格，设有效期的应当在有效期内，提供原件的应当有效。提供复印件的应当清晰可见并加盖投标人公章，评审现场能够提供原件以备查验。</w:t>
      </w:r>
    </w:p>
    <w:p>
      <w:pPr>
        <w:ind w:firstLine="424" w:firstLineChars="0"/>
        <w:rPr>
          <w:rFonts w:ascii="仿宋" w:hAnsi="仿宋" w:eastAsia="仿宋"/>
          <w:color w:val="auto"/>
        </w:rPr>
      </w:pPr>
      <w:r>
        <w:rPr>
          <w:rFonts w:hint="eastAsia" w:ascii="仿宋" w:hAnsi="仿宋" w:eastAsia="仿宋"/>
          <w:color w:val="auto"/>
        </w:rPr>
        <w:t>注：</w:t>
      </w:r>
    </w:p>
    <w:p>
      <w:pPr>
        <w:ind w:firstLine="424"/>
        <w:rPr>
          <w:rFonts w:ascii="仿宋" w:hAnsi="仿宋" w:eastAsia="仿宋"/>
          <w:color w:val="auto"/>
        </w:rPr>
      </w:pPr>
      <w:r>
        <w:rPr>
          <w:rFonts w:hint="eastAsia" w:ascii="仿宋" w:hAnsi="仿宋" w:eastAsia="仿宋"/>
          <w:color w:val="auto"/>
        </w:rPr>
        <w:t>①以联合体参与投标的，联合体协议中应确定主办方（主体），代表联合体进行响应和澄清。法定代表人授权委托书由联合体主办方（主体）出具。联合体各方均应满足投标人资格要求。</w:t>
      </w:r>
    </w:p>
    <w:p>
      <w:pPr>
        <w:ind w:firstLine="424"/>
        <w:rPr>
          <w:rFonts w:ascii="仿宋" w:hAnsi="仿宋" w:eastAsia="仿宋"/>
          <w:color w:val="auto"/>
        </w:rPr>
      </w:pPr>
      <w:r>
        <w:rPr>
          <w:rFonts w:hint="eastAsia" w:ascii="仿宋" w:hAnsi="仿宋" w:eastAsia="仿宋"/>
          <w:color w:val="auto"/>
        </w:rPr>
        <w:t>②以联合体形式参加本项目的，联合体各方均为中小企业的，联合体视同中小企业（其中，联合体各方均为小微企业的，联合体视同小微企业）。</w:t>
      </w:r>
    </w:p>
    <w:p>
      <w:pPr>
        <w:ind w:firstLine="424"/>
        <w:rPr>
          <w:rFonts w:ascii="仿宋" w:hAnsi="仿宋" w:eastAsia="仿宋"/>
          <w:color w:val="auto"/>
        </w:rPr>
      </w:pPr>
      <w:r>
        <w:rPr>
          <w:rFonts w:hint="eastAsia" w:ascii="仿宋" w:hAnsi="仿宋" w:eastAsia="仿宋"/>
          <w:color w:val="auto"/>
        </w:rPr>
        <w:t>③投标人按“多证合一”登记制度办理营业执照的，组织机构代码证、税务登记证（副本）和社会保险登记证以投标人所提供的营业执照（副本）复印件为准。</w:t>
      </w:r>
    </w:p>
    <w:p>
      <w:pPr>
        <w:ind w:firstLine="424"/>
        <w:rPr>
          <w:rFonts w:ascii="仿宋" w:hAnsi="仿宋" w:eastAsia="仿宋"/>
          <w:color w:val="auto"/>
        </w:rPr>
      </w:pPr>
      <w:r>
        <w:rPr>
          <w:rFonts w:hint="eastAsia" w:ascii="仿宋" w:hAnsi="仿宋" w:eastAsia="仿宋"/>
          <w:color w:val="auto"/>
        </w:rPr>
        <w:t>④根据《中华人民共和国政府采购法实施条例》第十九条“参加政府采购活动前三年内，在经营活动中没有重大违法记录”中“重大违法记录”，是指投标人因违法经营受到刑事处罚或者责令停产停业、吊销许可证或者执照、较大数额罚款等行政处罚。行政处罚中“较大数额”的认定标准，按照《财政部关于&lt;中华人民共和国政府采购法实施条例&gt;第十九条第一款“较大数额罚款”具体适用问题的意见》（财库〔2022〕3号）执行。</w:t>
      </w:r>
    </w:p>
    <w:p>
      <w:pPr>
        <w:ind w:firstLine="426"/>
        <w:rPr>
          <w:rFonts w:ascii="仿宋" w:hAnsi="仿宋" w:eastAsia="仿宋"/>
          <w:b/>
          <w:bCs/>
          <w:color w:val="auto"/>
        </w:rPr>
      </w:pPr>
      <w:r>
        <w:rPr>
          <w:rFonts w:hint="eastAsia" w:ascii="仿宋" w:hAnsi="仿宋" w:eastAsia="仿宋"/>
          <w:b/>
          <w:bCs/>
          <w:color w:val="auto"/>
        </w:rPr>
        <w:t>（二）符合性审查</w:t>
      </w:r>
    </w:p>
    <w:p>
      <w:pPr>
        <w:ind w:firstLine="424"/>
        <w:rPr>
          <w:rFonts w:ascii="仿宋" w:hAnsi="仿宋" w:eastAsia="仿宋"/>
          <w:color w:val="auto"/>
        </w:rPr>
      </w:pPr>
      <w:r>
        <w:rPr>
          <w:rFonts w:hint="eastAsia" w:ascii="仿宋" w:hAnsi="仿宋" w:eastAsia="仿宋"/>
          <w:color w:val="auto"/>
        </w:rPr>
        <w:t>评标委员会应当对符合资格的投标人的投标文件进行符合性审查，以确定其是否满足招标文件的实质性要求。符合性审查资料表如下：</w:t>
      </w:r>
    </w:p>
    <w:tbl>
      <w:tblPr>
        <w:tblStyle w:val="23"/>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675" w:type="dxa"/>
            <w:vAlign w:val="center"/>
          </w:tcPr>
          <w:p>
            <w:pPr>
              <w:spacing w:line="400" w:lineRule="exact"/>
              <w:ind w:firstLine="0" w:firstLineChars="0"/>
              <w:jc w:val="center"/>
              <w:rPr>
                <w:rFonts w:ascii="仿宋" w:hAnsi="仿宋" w:eastAsia="仿宋"/>
                <w:b/>
                <w:bCs/>
                <w:color w:val="auto"/>
                <w:szCs w:val="24"/>
              </w:rPr>
            </w:pPr>
            <w:r>
              <w:rPr>
                <w:rFonts w:hint="eastAsia" w:ascii="仿宋" w:hAnsi="仿宋" w:eastAsia="仿宋"/>
                <w:b/>
                <w:bCs/>
                <w:color w:val="auto"/>
                <w:szCs w:val="24"/>
              </w:rPr>
              <w:t>序号</w:t>
            </w:r>
          </w:p>
        </w:tc>
        <w:tc>
          <w:tcPr>
            <w:tcW w:w="3544" w:type="dxa"/>
            <w:gridSpan w:val="2"/>
            <w:vAlign w:val="center"/>
          </w:tcPr>
          <w:p>
            <w:pPr>
              <w:spacing w:line="400" w:lineRule="exact"/>
              <w:ind w:firstLine="0" w:firstLineChars="0"/>
              <w:jc w:val="center"/>
              <w:rPr>
                <w:rFonts w:ascii="仿宋" w:hAnsi="仿宋" w:eastAsia="仿宋"/>
                <w:b/>
                <w:bCs/>
                <w:color w:val="auto"/>
                <w:szCs w:val="24"/>
              </w:rPr>
            </w:pPr>
            <w:r>
              <w:rPr>
                <w:rFonts w:hint="eastAsia" w:ascii="仿宋" w:hAnsi="仿宋" w:eastAsia="仿宋"/>
                <w:b/>
                <w:bCs/>
                <w:color w:val="auto"/>
                <w:szCs w:val="24"/>
              </w:rPr>
              <w:t>评审因素</w:t>
            </w:r>
          </w:p>
        </w:tc>
        <w:tc>
          <w:tcPr>
            <w:tcW w:w="5409" w:type="dxa"/>
            <w:vAlign w:val="center"/>
          </w:tcPr>
          <w:p>
            <w:pPr>
              <w:spacing w:line="400" w:lineRule="exact"/>
              <w:ind w:firstLine="0" w:firstLineChars="0"/>
              <w:jc w:val="center"/>
              <w:rPr>
                <w:rFonts w:ascii="仿宋" w:hAnsi="仿宋" w:eastAsia="仿宋"/>
                <w:b/>
                <w:bCs/>
                <w:color w:val="auto"/>
                <w:szCs w:val="24"/>
              </w:rPr>
            </w:pPr>
            <w:r>
              <w:rPr>
                <w:rFonts w:hint="eastAsia" w:ascii="仿宋" w:hAnsi="仿宋" w:eastAsia="仿宋"/>
                <w:b/>
                <w:bCs/>
                <w:color w:val="auto"/>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675" w:type="dxa"/>
            <w:vMerge w:val="restart"/>
            <w:vAlign w:val="center"/>
          </w:tcPr>
          <w:p>
            <w:pPr>
              <w:spacing w:line="400" w:lineRule="exact"/>
              <w:ind w:firstLine="0" w:firstLineChars="0"/>
              <w:jc w:val="center"/>
              <w:rPr>
                <w:rFonts w:ascii="仿宋" w:hAnsi="仿宋" w:eastAsia="仿宋"/>
                <w:color w:val="auto"/>
                <w:szCs w:val="24"/>
              </w:rPr>
            </w:pPr>
            <w:r>
              <w:rPr>
                <w:rFonts w:hint="eastAsia" w:ascii="仿宋" w:hAnsi="仿宋" w:eastAsia="仿宋"/>
                <w:color w:val="auto"/>
                <w:szCs w:val="24"/>
              </w:rPr>
              <w:t>1</w:t>
            </w:r>
          </w:p>
        </w:tc>
        <w:tc>
          <w:tcPr>
            <w:tcW w:w="1560" w:type="dxa"/>
            <w:vMerge w:val="restart"/>
            <w:vAlign w:val="center"/>
          </w:tcPr>
          <w:p>
            <w:pPr>
              <w:spacing w:line="400" w:lineRule="exact"/>
              <w:ind w:firstLine="0" w:firstLineChars="0"/>
              <w:jc w:val="left"/>
              <w:rPr>
                <w:rFonts w:ascii="仿宋" w:hAnsi="仿宋" w:eastAsia="仿宋"/>
                <w:color w:val="auto"/>
                <w:szCs w:val="24"/>
              </w:rPr>
            </w:pPr>
            <w:r>
              <w:rPr>
                <w:rFonts w:hint="eastAsia" w:ascii="仿宋" w:hAnsi="仿宋" w:eastAsia="仿宋"/>
                <w:color w:val="auto"/>
                <w:szCs w:val="24"/>
              </w:rPr>
              <w:t>有效性审查</w:t>
            </w:r>
          </w:p>
        </w:tc>
        <w:tc>
          <w:tcPr>
            <w:tcW w:w="1984" w:type="dxa"/>
            <w:vAlign w:val="center"/>
          </w:tcPr>
          <w:p>
            <w:pPr>
              <w:spacing w:line="400" w:lineRule="exact"/>
              <w:ind w:firstLine="0" w:firstLineChars="0"/>
              <w:jc w:val="left"/>
              <w:rPr>
                <w:rFonts w:ascii="仿宋" w:hAnsi="仿宋" w:eastAsia="仿宋"/>
                <w:color w:val="auto"/>
                <w:szCs w:val="24"/>
              </w:rPr>
            </w:pPr>
            <w:r>
              <w:rPr>
                <w:rFonts w:hint="eastAsia" w:ascii="仿宋" w:hAnsi="仿宋" w:eastAsia="仿宋"/>
                <w:color w:val="auto"/>
                <w:szCs w:val="24"/>
              </w:rPr>
              <w:t>投标文件签署或盖章</w:t>
            </w:r>
          </w:p>
        </w:tc>
        <w:tc>
          <w:tcPr>
            <w:tcW w:w="5409" w:type="dxa"/>
            <w:vAlign w:val="center"/>
          </w:tcPr>
          <w:p>
            <w:pPr>
              <w:spacing w:line="400" w:lineRule="exact"/>
              <w:ind w:firstLine="0" w:firstLineChars="0"/>
              <w:jc w:val="left"/>
              <w:rPr>
                <w:rFonts w:ascii="仿宋" w:hAnsi="仿宋" w:eastAsia="仿宋"/>
                <w:color w:val="auto"/>
                <w:szCs w:val="24"/>
              </w:rPr>
            </w:pPr>
            <w:r>
              <w:rPr>
                <w:rFonts w:hint="eastAsia" w:ascii="仿宋" w:hAnsi="仿宋" w:eastAsia="仿宋"/>
                <w:color w:val="auto"/>
                <w:szCs w:val="24"/>
              </w:rPr>
              <w:t>投标文件上法定代表人（或其授权代表）或自然人（投标人为自然人）的签署或盖章齐全。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675" w:type="dxa"/>
            <w:vMerge w:val="continue"/>
            <w:vAlign w:val="center"/>
          </w:tcPr>
          <w:p>
            <w:pPr>
              <w:spacing w:line="400" w:lineRule="exact"/>
              <w:ind w:firstLine="424"/>
              <w:jc w:val="center"/>
              <w:rPr>
                <w:rFonts w:ascii="仿宋" w:hAnsi="仿宋" w:eastAsia="仿宋"/>
                <w:color w:val="auto"/>
                <w:szCs w:val="24"/>
              </w:rPr>
            </w:pPr>
          </w:p>
        </w:tc>
        <w:tc>
          <w:tcPr>
            <w:tcW w:w="1560" w:type="dxa"/>
            <w:vMerge w:val="continue"/>
            <w:vAlign w:val="center"/>
          </w:tcPr>
          <w:p>
            <w:pPr>
              <w:spacing w:line="400" w:lineRule="exact"/>
              <w:ind w:firstLine="0" w:firstLineChars="0"/>
              <w:jc w:val="left"/>
              <w:rPr>
                <w:rFonts w:ascii="仿宋" w:hAnsi="仿宋" w:eastAsia="仿宋"/>
                <w:color w:val="auto"/>
                <w:szCs w:val="24"/>
              </w:rPr>
            </w:pPr>
          </w:p>
        </w:tc>
        <w:tc>
          <w:tcPr>
            <w:tcW w:w="1984" w:type="dxa"/>
            <w:vAlign w:val="center"/>
          </w:tcPr>
          <w:p>
            <w:pPr>
              <w:spacing w:line="400" w:lineRule="exact"/>
              <w:ind w:firstLine="0" w:firstLineChars="0"/>
              <w:jc w:val="left"/>
              <w:rPr>
                <w:rFonts w:ascii="仿宋" w:hAnsi="仿宋" w:eastAsia="仿宋"/>
                <w:color w:val="auto"/>
                <w:szCs w:val="24"/>
              </w:rPr>
            </w:pPr>
            <w:r>
              <w:rPr>
                <w:rFonts w:hint="eastAsia" w:ascii="仿宋" w:hAnsi="仿宋" w:eastAsia="仿宋"/>
                <w:color w:val="auto"/>
                <w:szCs w:val="24"/>
              </w:rPr>
              <w:t>投标方案</w:t>
            </w:r>
          </w:p>
        </w:tc>
        <w:tc>
          <w:tcPr>
            <w:tcW w:w="5409" w:type="dxa"/>
            <w:vAlign w:val="center"/>
          </w:tcPr>
          <w:p>
            <w:pPr>
              <w:spacing w:line="400" w:lineRule="exact"/>
              <w:ind w:firstLine="0" w:firstLineChars="0"/>
              <w:jc w:val="left"/>
              <w:rPr>
                <w:rFonts w:ascii="仿宋" w:hAnsi="仿宋" w:eastAsia="仿宋"/>
                <w:color w:val="auto"/>
                <w:szCs w:val="24"/>
              </w:rPr>
            </w:pPr>
            <w:r>
              <w:rPr>
                <w:rFonts w:hint="eastAsia" w:ascii="仿宋" w:hAnsi="仿宋" w:eastAsia="仿宋"/>
                <w:color w:val="auto"/>
                <w:szCs w:val="24"/>
              </w:rPr>
              <w:t>每个包只能有一个方案投标。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675" w:type="dxa"/>
            <w:vMerge w:val="continue"/>
            <w:vAlign w:val="center"/>
          </w:tcPr>
          <w:p>
            <w:pPr>
              <w:spacing w:line="400" w:lineRule="exact"/>
              <w:ind w:firstLine="424"/>
              <w:jc w:val="center"/>
              <w:rPr>
                <w:rFonts w:ascii="仿宋" w:hAnsi="仿宋" w:eastAsia="仿宋"/>
                <w:color w:val="auto"/>
                <w:szCs w:val="24"/>
              </w:rPr>
            </w:pPr>
          </w:p>
        </w:tc>
        <w:tc>
          <w:tcPr>
            <w:tcW w:w="1560" w:type="dxa"/>
            <w:vMerge w:val="continue"/>
            <w:vAlign w:val="center"/>
          </w:tcPr>
          <w:p>
            <w:pPr>
              <w:spacing w:line="400" w:lineRule="exact"/>
              <w:ind w:firstLine="0" w:firstLineChars="0"/>
              <w:jc w:val="left"/>
              <w:rPr>
                <w:rFonts w:ascii="仿宋" w:hAnsi="仿宋" w:eastAsia="仿宋"/>
                <w:color w:val="auto"/>
                <w:szCs w:val="24"/>
              </w:rPr>
            </w:pPr>
          </w:p>
        </w:tc>
        <w:tc>
          <w:tcPr>
            <w:tcW w:w="1984" w:type="dxa"/>
            <w:vAlign w:val="center"/>
          </w:tcPr>
          <w:p>
            <w:pPr>
              <w:spacing w:line="400" w:lineRule="exact"/>
              <w:ind w:firstLine="0" w:firstLineChars="0"/>
              <w:jc w:val="left"/>
              <w:rPr>
                <w:rFonts w:ascii="仿宋" w:hAnsi="仿宋" w:eastAsia="仿宋"/>
                <w:color w:val="auto"/>
                <w:szCs w:val="24"/>
              </w:rPr>
            </w:pPr>
            <w:r>
              <w:rPr>
                <w:rFonts w:hint="eastAsia" w:ascii="仿宋" w:hAnsi="仿宋" w:eastAsia="仿宋"/>
                <w:color w:val="auto"/>
                <w:szCs w:val="24"/>
              </w:rPr>
              <w:t>报价唯一</w:t>
            </w:r>
          </w:p>
        </w:tc>
        <w:tc>
          <w:tcPr>
            <w:tcW w:w="5409" w:type="dxa"/>
            <w:vAlign w:val="center"/>
          </w:tcPr>
          <w:p>
            <w:pPr>
              <w:spacing w:line="400" w:lineRule="exact"/>
              <w:ind w:firstLine="0" w:firstLineChars="0"/>
              <w:jc w:val="left"/>
              <w:rPr>
                <w:rFonts w:ascii="仿宋" w:hAnsi="仿宋" w:eastAsia="仿宋"/>
                <w:color w:val="auto"/>
                <w:szCs w:val="24"/>
              </w:rPr>
            </w:pPr>
            <w:r>
              <w:rPr>
                <w:rFonts w:hint="eastAsia" w:ascii="仿宋" w:hAnsi="仿宋" w:eastAsia="仿宋"/>
                <w:color w:val="auto"/>
                <w:szCs w:val="24"/>
              </w:rPr>
              <w:t>只能在预算金额和最高限价内报价，只能有一个有效报价，不得提交选择性报价。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675" w:type="dxa"/>
            <w:vAlign w:val="center"/>
          </w:tcPr>
          <w:p>
            <w:pPr>
              <w:spacing w:line="400" w:lineRule="exact"/>
              <w:ind w:firstLine="0" w:firstLineChars="0"/>
              <w:jc w:val="center"/>
              <w:rPr>
                <w:rFonts w:ascii="仿宋" w:hAnsi="仿宋" w:eastAsia="仿宋"/>
                <w:color w:val="auto"/>
                <w:szCs w:val="24"/>
              </w:rPr>
            </w:pPr>
            <w:r>
              <w:rPr>
                <w:rFonts w:hint="eastAsia" w:ascii="仿宋" w:hAnsi="仿宋" w:eastAsia="仿宋"/>
                <w:color w:val="auto"/>
                <w:szCs w:val="24"/>
              </w:rPr>
              <w:t>2</w:t>
            </w:r>
          </w:p>
        </w:tc>
        <w:tc>
          <w:tcPr>
            <w:tcW w:w="1560" w:type="dxa"/>
            <w:vAlign w:val="center"/>
          </w:tcPr>
          <w:p>
            <w:pPr>
              <w:spacing w:line="400" w:lineRule="exact"/>
              <w:ind w:firstLine="0" w:firstLineChars="0"/>
              <w:jc w:val="left"/>
              <w:rPr>
                <w:rFonts w:ascii="仿宋" w:hAnsi="仿宋" w:eastAsia="仿宋"/>
                <w:color w:val="auto"/>
                <w:szCs w:val="24"/>
              </w:rPr>
            </w:pPr>
            <w:r>
              <w:rPr>
                <w:rFonts w:hint="eastAsia" w:ascii="仿宋" w:hAnsi="仿宋" w:eastAsia="仿宋"/>
                <w:color w:val="auto"/>
                <w:szCs w:val="24"/>
              </w:rPr>
              <w:t>完整性审查</w:t>
            </w:r>
          </w:p>
        </w:tc>
        <w:tc>
          <w:tcPr>
            <w:tcW w:w="1984" w:type="dxa"/>
            <w:vAlign w:val="center"/>
          </w:tcPr>
          <w:p>
            <w:pPr>
              <w:spacing w:line="400" w:lineRule="exact"/>
              <w:ind w:firstLine="0" w:firstLineChars="0"/>
              <w:jc w:val="left"/>
              <w:rPr>
                <w:rFonts w:ascii="仿宋" w:hAnsi="仿宋" w:eastAsia="仿宋"/>
                <w:color w:val="auto"/>
                <w:szCs w:val="24"/>
              </w:rPr>
            </w:pPr>
            <w:r>
              <w:rPr>
                <w:rFonts w:hint="eastAsia" w:ascii="仿宋" w:hAnsi="仿宋" w:eastAsia="仿宋"/>
                <w:color w:val="auto"/>
                <w:szCs w:val="24"/>
              </w:rPr>
              <w:t>投标文件份数</w:t>
            </w:r>
          </w:p>
        </w:tc>
        <w:tc>
          <w:tcPr>
            <w:tcW w:w="5409" w:type="dxa"/>
            <w:vAlign w:val="center"/>
          </w:tcPr>
          <w:p>
            <w:pPr>
              <w:spacing w:line="400" w:lineRule="exact"/>
              <w:ind w:firstLine="0" w:firstLineChars="0"/>
              <w:jc w:val="left"/>
              <w:rPr>
                <w:rFonts w:ascii="仿宋" w:hAnsi="仿宋" w:eastAsia="仿宋"/>
                <w:color w:val="auto"/>
                <w:szCs w:val="24"/>
              </w:rPr>
            </w:pPr>
            <w:r>
              <w:rPr>
                <w:rFonts w:hint="eastAsia" w:ascii="仿宋" w:hAnsi="仿宋" w:eastAsia="仿宋"/>
                <w:color w:val="auto"/>
                <w:szCs w:val="24"/>
                <w:lang w:val="zh-CN"/>
              </w:rPr>
              <w:t>投标文件</w:t>
            </w:r>
            <w:r>
              <w:rPr>
                <w:rFonts w:hint="eastAsia" w:ascii="仿宋" w:hAnsi="仿宋" w:eastAsia="仿宋"/>
                <w:color w:val="auto"/>
                <w:szCs w:val="24"/>
              </w:rPr>
              <w:t>电子投标文件、备份电子投标文件</w:t>
            </w:r>
            <w:r>
              <w:rPr>
                <w:rFonts w:hint="eastAsia" w:ascii="仿宋" w:hAnsi="仿宋" w:eastAsia="仿宋"/>
                <w:color w:val="auto"/>
                <w:szCs w:val="24"/>
                <w:lang w:val="zh-CN"/>
              </w:rPr>
              <w:t>数量符合招标文件要求。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675" w:type="dxa"/>
            <w:vAlign w:val="center"/>
          </w:tcPr>
          <w:p>
            <w:pPr>
              <w:spacing w:line="400" w:lineRule="exact"/>
              <w:ind w:firstLine="0" w:firstLineChars="0"/>
              <w:jc w:val="center"/>
              <w:rPr>
                <w:rFonts w:ascii="仿宋" w:hAnsi="仿宋" w:eastAsia="仿宋"/>
                <w:color w:val="auto"/>
                <w:szCs w:val="24"/>
              </w:rPr>
            </w:pPr>
            <w:r>
              <w:rPr>
                <w:rFonts w:hint="eastAsia" w:ascii="仿宋" w:hAnsi="仿宋" w:eastAsia="仿宋"/>
                <w:color w:val="auto"/>
                <w:szCs w:val="24"/>
              </w:rPr>
              <w:t>3</w:t>
            </w:r>
          </w:p>
        </w:tc>
        <w:tc>
          <w:tcPr>
            <w:tcW w:w="1560" w:type="dxa"/>
            <w:vAlign w:val="center"/>
          </w:tcPr>
          <w:p>
            <w:pPr>
              <w:spacing w:line="400" w:lineRule="exact"/>
              <w:ind w:firstLine="0" w:firstLineChars="0"/>
              <w:jc w:val="left"/>
              <w:rPr>
                <w:rFonts w:ascii="仿宋" w:hAnsi="仿宋" w:eastAsia="仿宋"/>
                <w:color w:val="auto"/>
                <w:szCs w:val="24"/>
              </w:rPr>
            </w:pPr>
            <w:r>
              <w:rPr>
                <w:rFonts w:hint="eastAsia" w:ascii="仿宋" w:hAnsi="仿宋" w:eastAsia="仿宋"/>
                <w:color w:val="auto"/>
                <w:szCs w:val="24"/>
              </w:rPr>
              <w:t>技术部分</w:t>
            </w:r>
          </w:p>
        </w:tc>
        <w:tc>
          <w:tcPr>
            <w:tcW w:w="1984" w:type="dxa"/>
            <w:vAlign w:val="center"/>
          </w:tcPr>
          <w:p>
            <w:pPr>
              <w:spacing w:line="400" w:lineRule="exact"/>
              <w:ind w:firstLine="0" w:firstLineChars="0"/>
              <w:jc w:val="left"/>
              <w:rPr>
                <w:rFonts w:ascii="仿宋" w:hAnsi="仿宋" w:eastAsia="仿宋"/>
                <w:color w:val="auto"/>
                <w:szCs w:val="24"/>
              </w:rPr>
            </w:pPr>
            <w:r>
              <w:rPr>
                <w:rFonts w:hint="eastAsia" w:ascii="仿宋" w:hAnsi="仿宋" w:eastAsia="仿宋"/>
                <w:color w:val="auto"/>
                <w:szCs w:val="24"/>
              </w:rPr>
              <w:t>投标文件内容</w:t>
            </w:r>
          </w:p>
        </w:tc>
        <w:tc>
          <w:tcPr>
            <w:tcW w:w="5409" w:type="dxa"/>
            <w:vAlign w:val="center"/>
          </w:tcPr>
          <w:p>
            <w:pPr>
              <w:spacing w:line="400" w:lineRule="exact"/>
              <w:ind w:firstLine="0" w:firstLineChars="0"/>
              <w:jc w:val="left"/>
              <w:rPr>
                <w:rFonts w:ascii="仿宋" w:hAnsi="仿宋" w:eastAsia="仿宋"/>
                <w:color w:val="auto"/>
                <w:szCs w:val="24"/>
              </w:rPr>
            </w:pPr>
            <w:r>
              <w:rPr>
                <w:rFonts w:hint="eastAsia" w:ascii="仿宋" w:hAnsi="仿宋" w:eastAsia="仿宋"/>
                <w:color w:val="auto"/>
                <w:szCs w:val="24"/>
              </w:rPr>
              <w:t>本招标文件第二篇中（※）号标注的部分。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75" w:type="dxa"/>
            <w:vAlign w:val="center"/>
          </w:tcPr>
          <w:p>
            <w:pPr>
              <w:spacing w:line="400" w:lineRule="exact"/>
              <w:ind w:firstLine="0" w:firstLineChars="0"/>
              <w:jc w:val="center"/>
              <w:rPr>
                <w:rFonts w:ascii="仿宋" w:hAnsi="仿宋" w:eastAsia="仿宋"/>
                <w:color w:val="auto"/>
                <w:szCs w:val="24"/>
              </w:rPr>
            </w:pPr>
            <w:r>
              <w:rPr>
                <w:rFonts w:hint="eastAsia" w:ascii="仿宋" w:hAnsi="仿宋" w:eastAsia="仿宋"/>
                <w:color w:val="auto"/>
                <w:szCs w:val="24"/>
              </w:rPr>
              <w:t>4</w:t>
            </w:r>
          </w:p>
        </w:tc>
        <w:tc>
          <w:tcPr>
            <w:tcW w:w="1560" w:type="dxa"/>
            <w:vAlign w:val="center"/>
          </w:tcPr>
          <w:p>
            <w:pPr>
              <w:spacing w:line="400" w:lineRule="exact"/>
              <w:ind w:firstLine="0" w:firstLineChars="0"/>
              <w:jc w:val="left"/>
              <w:rPr>
                <w:rFonts w:ascii="仿宋" w:hAnsi="仿宋" w:eastAsia="仿宋"/>
                <w:color w:val="auto"/>
                <w:szCs w:val="24"/>
              </w:rPr>
            </w:pPr>
            <w:r>
              <w:rPr>
                <w:rFonts w:hint="eastAsia" w:ascii="仿宋" w:hAnsi="仿宋" w:eastAsia="仿宋"/>
                <w:color w:val="auto"/>
                <w:szCs w:val="24"/>
              </w:rPr>
              <w:t>商务部分</w:t>
            </w:r>
          </w:p>
        </w:tc>
        <w:tc>
          <w:tcPr>
            <w:tcW w:w="1984" w:type="dxa"/>
            <w:vAlign w:val="center"/>
          </w:tcPr>
          <w:p>
            <w:pPr>
              <w:spacing w:line="400" w:lineRule="exact"/>
              <w:ind w:firstLine="0" w:firstLineChars="0"/>
              <w:jc w:val="left"/>
              <w:rPr>
                <w:rFonts w:ascii="仿宋" w:hAnsi="仿宋" w:eastAsia="仿宋"/>
                <w:color w:val="auto"/>
                <w:szCs w:val="24"/>
              </w:rPr>
            </w:pPr>
            <w:r>
              <w:rPr>
                <w:rFonts w:hint="eastAsia" w:ascii="仿宋" w:hAnsi="仿宋" w:eastAsia="仿宋"/>
                <w:color w:val="auto"/>
                <w:szCs w:val="24"/>
              </w:rPr>
              <w:t>投标文件内容</w:t>
            </w:r>
          </w:p>
        </w:tc>
        <w:tc>
          <w:tcPr>
            <w:tcW w:w="5409" w:type="dxa"/>
            <w:vAlign w:val="center"/>
          </w:tcPr>
          <w:p>
            <w:pPr>
              <w:spacing w:line="400" w:lineRule="exact"/>
              <w:ind w:firstLine="0" w:firstLineChars="0"/>
              <w:jc w:val="left"/>
              <w:rPr>
                <w:rFonts w:ascii="仿宋" w:hAnsi="仿宋" w:eastAsia="仿宋"/>
                <w:color w:val="auto"/>
                <w:szCs w:val="24"/>
              </w:rPr>
            </w:pPr>
            <w:r>
              <w:rPr>
                <w:rFonts w:hint="eastAsia" w:ascii="仿宋" w:hAnsi="仿宋" w:eastAsia="仿宋"/>
                <w:color w:val="auto"/>
                <w:szCs w:val="24"/>
              </w:rPr>
              <w:t>本招标文件第三篇中（※）号标注的部分。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75" w:type="dxa"/>
            <w:vAlign w:val="center"/>
          </w:tcPr>
          <w:p>
            <w:pPr>
              <w:spacing w:line="400" w:lineRule="exact"/>
              <w:ind w:firstLine="0" w:firstLineChars="0"/>
              <w:jc w:val="center"/>
              <w:rPr>
                <w:rFonts w:ascii="仿宋" w:hAnsi="仿宋" w:eastAsia="仿宋"/>
                <w:color w:val="auto"/>
                <w:szCs w:val="24"/>
              </w:rPr>
            </w:pPr>
            <w:r>
              <w:rPr>
                <w:rFonts w:hint="eastAsia" w:ascii="仿宋" w:hAnsi="仿宋" w:eastAsia="仿宋"/>
                <w:color w:val="auto"/>
                <w:szCs w:val="24"/>
              </w:rPr>
              <w:t>5</w:t>
            </w:r>
          </w:p>
        </w:tc>
        <w:tc>
          <w:tcPr>
            <w:tcW w:w="1560" w:type="dxa"/>
            <w:vAlign w:val="center"/>
          </w:tcPr>
          <w:p>
            <w:pPr>
              <w:spacing w:line="400" w:lineRule="exact"/>
              <w:ind w:firstLine="0" w:firstLineChars="0"/>
              <w:jc w:val="left"/>
              <w:rPr>
                <w:rFonts w:ascii="仿宋" w:hAnsi="仿宋" w:eastAsia="仿宋"/>
                <w:color w:val="auto"/>
                <w:szCs w:val="24"/>
              </w:rPr>
            </w:pPr>
            <w:r>
              <w:rPr>
                <w:rFonts w:hint="eastAsia" w:ascii="仿宋" w:hAnsi="仿宋" w:eastAsia="仿宋"/>
                <w:color w:val="auto"/>
                <w:szCs w:val="24"/>
              </w:rPr>
              <w:t>投标有效期</w:t>
            </w:r>
          </w:p>
        </w:tc>
        <w:tc>
          <w:tcPr>
            <w:tcW w:w="1984" w:type="dxa"/>
            <w:vAlign w:val="center"/>
          </w:tcPr>
          <w:p>
            <w:pPr>
              <w:spacing w:line="400" w:lineRule="exact"/>
              <w:ind w:firstLine="0" w:firstLineChars="0"/>
              <w:jc w:val="left"/>
              <w:rPr>
                <w:rFonts w:ascii="仿宋" w:hAnsi="仿宋" w:eastAsia="仿宋"/>
                <w:color w:val="auto"/>
                <w:szCs w:val="24"/>
              </w:rPr>
            </w:pPr>
            <w:r>
              <w:rPr>
                <w:rFonts w:hint="eastAsia" w:ascii="仿宋" w:hAnsi="仿宋" w:eastAsia="仿宋"/>
                <w:color w:val="auto"/>
                <w:szCs w:val="24"/>
              </w:rPr>
              <w:t>投标文件内容</w:t>
            </w:r>
          </w:p>
        </w:tc>
        <w:tc>
          <w:tcPr>
            <w:tcW w:w="5409" w:type="dxa"/>
            <w:vAlign w:val="center"/>
          </w:tcPr>
          <w:p>
            <w:pPr>
              <w:spacing w:line="400" w:lineRule="exact"/>
              <w:ind w:firstLine="0" w:firstLineChars="0"/>
              <w:jc w:val="left"/>
              <w:rPr>
                <w:rFonts w:ascii="仿宋" w:hAnsi="仿宋" w:eastAsia="仿宋"/>
                <w:color w:val="auto"/>
                <w:szCs w:val="24"/>
              </w:rPr>
            </w:pPr>
            <w:r>
              <w:rPr>
                <w:rFonts w:hint="eastAsia" w:ascii="仿宋" w:hAnsi="仿宋" w:eastAsia="仿宋"/>
                <w:color w:val="auto"/>
                <w:szCs w:val="24"/>
              </w:rPr>
              <w:t>投标有效期为投标截止时间起90天。</w:t>
            </w:r>
          </w:p>
        </w:tc>
      </w:tr>
    </w:tbl>
    <w:p>
      <w:pPr>
        <w:pStyle w:val="4"/>
        <w:spacing w:before="190" w:after="190"/>
        <w:ind w:firstLine="506"/>
        <w:rPr>
          <w:rFonts w:ascii="仿宋" w:hAnsi="仿宋" w:eastAsia="仿宋"/>
          <w:color w:val="auto"/>
          <w:szCs w:val="22"/>
        </w:rPr>
      </w:pPr>
      <w:bookmarkStart w:id="464" w:name="_Toc63600423"/>
      <w:bookmarkStart w:id="465" w:name="_Toc4701"/>
      <w:bookmarkStart w:id="466" w:name="_Toc3532"/>
      <w:r>
        <w:rPr>
          <w:rFonts w:hint="eastAsia" w:ascii="仿宋" w:hAnsi="仿宋" w:eastAsia="仿宋"/>
          <w:color w:val="auto"/>
          <w:szCs w:val="22"/>
        </w:rPr>
        <w:t>二、评标方法</w:t>
      </w:r>
      <w:bookmarkEnd w:id="464"/>
      <w:bookmarkEnd w:id="465"/>
      <w:bookmarkEnd w:id="466"/>
    </w:p>
    <w:p>
      <w:pPr>
        <w:ind w:firstLine="424"/>
        <w:rPr>
          <w:rFonts w:ascii="仿宋" w:hAnsi="仿宋" w:eastAsia="仿宋"/>
          <w:color w:val="auto"/>
        </w:rPr>
      </w:pPr>
      <w:r>
        <w:rPr>
          <w:rFonts w:hint="eastAsia" w:ascii="仿宋" w:hAnsi="仿宋" w:eastAsia="仿宋"/>
          <w:color w:val="auto"/>
        </w:rPr>
        <w:t>本项目采用最低评标价法进行评标。</w:t>
      </w:r>
    </w:p>
    <w:p>
      <w:pPr>
        <w:ind w:firstLine="424"/>
        <w:rPr>
          <w:rFonts w:ascii="仿宋" w:hAnsi="仿宋" w:eastAsia="仿宋"/>
          <w:color w:val="auto"/>
        </w:rPr>
      </w:pPr>
      <w:r>
        <w:rPr>
          <w:rFonts w:hint="eastAsia" w:ascii="仿宋" w:hAnsi="仿宋" w:eastAsia="仿宋"/>
          <w:color w:val="auto"/>
        </w:rPr>
        <w:t>最低评标价法，是指投标文件满足招标文件全部实质性要求且投标报价最低的投标人为中标候选人的评标方法。</w:t>
      </w:r>
    </w:p>
    <w:p>
      <w:pPr>
        <w:ind w:firstLine="424"/>
        <w:rPr>
          <w:rFonts w:ascii="仿宋" w:hAnsi="仿宋" w:eastAsia="仿宋"/>
          <w:color w:val="auto"/>
        </w:rPr>
      </w:pPr>
      <w:r>
        <w:rPr>
          <w:rFonts w:hint="eastAsia" w:ascii="仿宋" w:hAnsi="仿宋" w:eastAsia="仿宋"/>
          <w:color w:val="auto"/>
        </w:rPr>
        <w:t>澄清有关问题。对投标文件中含义不明确、同类问题表述不一致或者有明显文字和计算错误的内容，评标委员会可以书面形式（应当由评标委员会成员签字）要求投标人作出必要澄清、说明或者纠正。投标人的澄清、说明或者补正应当采用书面形式，由其法定代表人（或其授权代表）或自然人（投标人为自然人）签字，其澄清的内容不得超出投标文件的范围或者改变投标文件的实质性内容。</w:t>
      </w:r>
    </w:p>
    <w:p>
      <w:pPr>
        <w:ind w:firstLine="424"/>
        <w:rPr>
          <w:rFonts w:ascii="仿宋" w:hAnsi="仿宋" w:eastAsia="仿宋"/>
          <w:color w:val="auto"/>
          <w:szCs w:val="22"/>
        </w:rPr>
      </w:pPr>
      <w:r>
        <w:rPr>
          <w:rFonts w:hint="eastAsia" w:ascii="仿宋" w:hAnsi="仿宋" w:eastAsia="仿宋"/>
          <w:color w:val="auto"/>
        </w:rPr>
        <w:t>（一）</w:t>
      </w:r>
      <w:bookmarkStart w:id="467" w:name="_Hlk63496383"/>
      <w:r>
        <w:rPr>
          <w:rFonts w:hint="eastAsia" w:ascii="仿宋" w:hAnsi="仿宋" w:eastAsia="仿宋"/>
          <w:color w:val="auto"/>
        </w:rPr>
        <w:t>比较与评价。按招标文件中规定的评标方法和标准，对资格审查和符合性审查合格的投标文件进行商务和技术评估。</w:t>
      </w:r>
    </w:p>
    <w:bookmarkEnd w:id="467"/>
    <w:p>
      <w:pPr>
        <w:ind w:firstLine="424"/>
        <w:rPr>
          <w:rFonts w:ascii="仿宋" w:hAnsi="仿宋" w:eastAsia="仿宋"/>
          <w:color w:val="auto"/>
        </w:rPr>
      </w:pPr>
      <w:r>
        <w:rPr>
          <w:rFonts w:hint="eastAsia" w:ascii="仿宋" w:hAnsi="仿宋" w:eastAsia="仿宋"/>
          <w:color w:val="auto"/>
        </w:rPr>
        <w:t>同一合同项（包）下为非单一品目核心产品品牌的货物采购招标中，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ind w:firstLine="424"/>
        <w:rPr>
          <w:rFonts w:ascii="仿宋" w:hAnsi="仿宋" w:eastAsia="仿宋"/>
          <w:color w:val="auto"/>
        </w:rPr>
      </w:pPr>
      <w:r>
        <w:rPr>
          <w:rFonts w:hint="eastAsia" w:ascii="仿宋" w:hAnsi="仿宋" w:eastAsia="仿宋"/>
          <w:color w:val="auto"/>
        </w:rPr>
        <w:t>（二）推荐中标候选人名单。</w:t>
      </w:r>
    </w:p>
    <w:p>
      <w:pPr>
        <w:ind w:firstLine="424"/>
        <w:rPr>
          <w:rFonts w:hint="eastAsia" w:ascii="仿宋" w:hAnsi="仿宋" w:eastAsia="仿宋"/>
          <w:color w:val="auto"/>
          <w:szCs w:val="24"/>
        </w:rPr>
      </w:pPr>
      <w:r>
        <w:rPr>
          <w:rFonts w:hint="eastAsia" w:ascii="仿宋" w:hAnsi="仿宋" w:eastAsia="仿宋"/>
          <w:color w:val="auto"/>
          <w:szCs w:val="24"/>
        </w:rPr>
        <w:t>推荐投标文件满足招标文件全部实质性要求，投标报价进行政策性扣减，并依据扣减后的价格按照由低到高的顺序排名前三的投标人为中标候选人，其中排名第一的投标人为第一中标候选人。</w:t>
      </w:r>
    </w:p>
    <w:p>
      <w:pPr>
        <w:ind w:firstLine="424"/>
        <w:rPr>
          <w:rFonts w:ascii="仿宋" w:hAnsi="仿宋" w:eastAsia="仿宋"/>
          <w:color w:val="auto"/>
          <w:szCs w:val="24"/>
        </w:rPr>
      </w:pPr>
      <w:r>
        <w:rPr>
          <w:rFonts w:hint="eastAsia" w:ascii="仿宋" w:hAnsi="仿宋" w:eastAsia="仿宋"/>
          <w:color w:val="auto"/>
          <w:szCs w:val="24"/>
        </w:rPr>
        <w:t>评标结果按投标报价由低到高顺序排列，若投标报价相同的并列。</w:t>
      </w:r>
    </w:p>
    <w:p>
      <w:pPr>
        <w:pStyle w:val="4"/>
        <w:spacing w:before="190" w:after="190"/>
        <w:ind w:firstLine="506"/>
        <w:rPr>
          <w:rFonts w:ascii="仿宋" w:hAnsi="仿宋" w:eastAsia="仿宋"/>
          <w:color w:val="auto"/>
          <w:szCs w:val="22"/>
        </w:rPr>
      </w:pPr>
      <w:bookmarkStart w:id="468" w:name="_Toc25199"/>
      <w:bookmarkStart w:id="469" w:name="_Toc22514"/>
      <w:bookmarkStart w:id="470" w:name="_Toc12313"/>
      <w:bookmarkStart w:id="471" w:name="_Toc10624"/>
      <w:bookmarkStart w:id="472" w:name="_Toc17124"/>
      <w:bookmarkStart w:id="473" w:name="_Toc63600424"/>
      <w:bookmarkStart w:id="474" w:name="_Toc24579"/>
      <w:bookmarkStart w:id="475" w:name="_Toc409189626"/>
      <w:bookmarkStart w:id="476" w:name="_Toc25258"/>
      <w:bookmarkStart w:id="477" w:name="_Toc23541"/>
      <w:bookmarkStart w:id="478" w:name="_Toc20489886"/>
      <w:bookmarkStart w:id="479" w:name="_Toc19917"/>
      <w:bookmarkStart w:id="480" w:name="_Toc26574"/>
      <w:bookmarkStart w:id="481" w:name="_Toc2230"/>
      <w:bookmarkStart w:id="482" w:name="_Toc20488330"/>
      <w:bookmarkStart w:id="483" w:name="_Toc17974"/>
      <w:bookmarkStart w:id="484" w:name="_Toc6861"/>
      <w:bookmarkStart w:id="485" w:name="_Toc3813"/>
      <w:r>
        <w:rPr>
          <w:rFonts w:hint="eastAsia" w:ascii="仿宋" w:hAnsi="仿宋" w:eastAsia="仿宋"/>
          <w:color w:val="auto"/>
          <w:szCs w:val="22"/>
        </w:rPr>
        <w:t>三、评标标准</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p>
    <w:p>
      <w:pPr>
        <w:ind w:firstLine="426"/>
        <w:rPr>
          <w:rFonts w:hint="eastAsia" w:ascii="仿宋" w:hAnsi="仿宋" w:eastAsia="仿宋"/>
          <w:color w:val="auto"/>
        </w:rPr>
      </w:pPr>
      <w:bookmarkStart w:id="486" w:name="_Toc20488331"/>
      <w:bookmarkStart w:id="487" w:name="_Toc20489887"/>
      <w:r>
        <w:rPr>
          <w:rFonts w:hint="eastAsia" w:ascii="仿宋" w:hAnsi="仿宋" w:eastAsia="仿宋"/>
          <w:color w:val="auto"/>
        </w:rPr>
        <w:t>（一）关于技术（质量）、商务偏离</w:t>
      </w:r>
    </w:p>
    <w:p>
      <w:pPr>
        <w:ind w:firstLine="426"/>
        <w:rPr>
          <w:rFonts w:hint="eastAsia" w:ascii="仿宋" w:hAnsi="仿宋" w:eastAsia="仿宋"/>
          <w:color w:val="auto"/>
        </w:rPr>
      </w:pPr>
      <w:r>
        <w:rPr>
          <w:rFonts w:hint="eastAsia" w:ascii="仿宋" w:hAnsi="仿宋" w:eastAsia="仿宋"/>
          <w:color w:val="auto"/>
        </w:rPr>
        <w:t>1.投标文件投标应答有一条及以上不满足招标文件“第二篇 项目技术（质量）需求”要求的（“※”号标注的部分除外），投标人将失去成为中标候选人的资格；</w:t>
      </w:r>
    </w:p>
    <w:p>
      <w:pPr>
        <w:ind w:firstLine="426"/>
        <w:rPr>
          <w:rFonts w:hint="eastAsia" w:ascii="仿宋" w:hAnsi="仿宋" w:eastAsia="仿宋"/>
          <w:color w:val="auto"/>
        </w:rPr>
      </w:pPr>
      <w:r>
        <w:rPr>
          <w:rFonts w:hint="eastAsia" w:ascii="仿宋" w:hAnsi="仿宋" w:eastAsia="仿宋"/>
          <w:color w:val="auto"/>
        </w:rPr>
        <w:t>2.投标文件投标应答有一条及以上不满足招标文件“第三篇 项目商务需求”要求的（“※”号标注的部分除外），投标人将失去成为中标候选人的资格；</w:t>
      </w:r>
    </w:p>
    <w:p>
      <w:pPr>
        <w:ind w:firstLine="426"/>
        <w:rPr>
          <w:rFonts w:ascii="仿宋" w:hAnsi="仿宋" w:eastAsia="仿宋"/>
          <w:color w:val="auto"/>
        </w:rPr>
      </w:pPr>
      <w:r>
        <w:rPr>
          <w:rFonts w:hint="eastAsia" w:ascii="仿宋" w:hAnsi="仿宋" w:eastAsia="仿宋"/>
          <w:color w:val="auto"/>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ind w:firstLine="424"/>
        <w:rPr>
          <w:rFonts w:ascii="仿宋" w:hAnsi="仿宋" w:eastAsia="仿宋"/>
          <w:color w:val="auto"/>
        </w:rPr>
      </w:pPr>
      <w:r>
        <w:rPr>
          <w:rFonts w:hint="eastAsia" w:ascii="仿宋" w:hAnsi="仿宋" w:eastAsia="仿宋"/>
          <w:color w:val="auto"/>
        </w:rPr>
        <w:t>（二）投标报价政策性扣减</w:t>
      </w:r>
    </w:p>
    <w:p>
      <w:pPr>
        <w:ind w:firstLine="424"/>
        <w:rPr>
          <w:rFonts w:hint="eastAsia" w:ascii="仿宋" w:hAnsi="仿宋" w:eastAsia="仿宋"/>
          <w:color w:val="auto"/>
        </w:rPr>
      </w:pPr>
      <w:r>
        <w:rPr>
          <w:rFonts w:hint="eastAsia" w:ascii="仿宋" w:hAnsi="仿宋" w:eastAsia="仿宋"/>
          <w:color w:val="auto"/>
        </w:rPr>
        <w:t>1.中小企业划分标准按照《工业和信息化部、国家统计局、国家发展和改革委员会、财政部关于印发中小企业划型标准规定的通知》（工信部联企业〔2011〕300号）执行。</w:t>
      </w:r>
    </w:p>
    <w:p>
      <w:pPr>
        <w:ind w:firstLine="424"/>
        <w:rPr>
          <w:rFonts w:hint="eastAsia" w:ascii="仿宋" w:hAnsi="仿宋" w:eastAsia="仿宋"/>
          <w:color w:val="auto"/>
        </w:rPr>
      </w:pPr>
      <w:r>
        <w:rPr>
          <w:rFonts w:hint="eastAsia" w:ascii="仿宋" w:hAnsi="仿宋" w:eastAsia="仿宋"/>
          <w:b/>
          <w:bCs/>
          <w:color w:val="auto"/>
        </w:rPr>
        <w:t>2.本项目整体专门面向中小微企业采购，对其不再执行价格评审优惠的扶持政策。</w:t>
      </w:r>
    </w:p>
    <w:p>
      <w:pPr>
        <w:ind w:firstLine="424"/>
        <w:rPr>
          <w:rFonts w:hint="eastAsia" w:ascii="仿宋" w:hAnsi="仿宋" w:eastAsia="仿宋"/>
          <w:color w:val="auto"/>
        </w:rPr>
      </w:pPr>
      <w:r>
        <w:rPr>
          <w:rFonts w:hint="eastAsia" w:ascii="仿宋" w:hAnsi="仿宋" w:eastAsia="仿宋"/>
          <w:color w:val="auto"/>
        </w:rPr>
        <w:t>3.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的扣除，用扣除后的价格参加评审。</w:t>
      </w:r>
    </w:p>
    <w:p>
      <w:pPr>
        <w:ind w:firstLine="424"/>
        <w:rPr>
          <w:rFonts w:hint="eastAsia" w:ascii="仿宋" w:hAnsi="仿宋" w:eastAsia="仿宋"/>
          <w:color w:val="auto"/>
        </w:rPr>
      </w:pPr>
      <w:r>
        <w:rPr>
          <w:rFonts w:hint="eastAsia" w:ascii="仿宋" w:hAnsi="仿宋" w:eastAsia="仿宋"/>
          <w:color w:val="auto"/>
        </w:rPr>
        <w:t>4.依照&lt;财政部、司法部关于政府采购支持监狱企业发展有关问题的通知&gt;（财库〔2014〕68号）之规定，在政府采购活动中，监狱企业视同小型、微型企业，享受预留份额、评审中价格扣除等促进中小企业发展的政府采购政策。提供由省级以上监狱管理局、戒毒管理局（含新疆生产建设兵团）出具的属于监狱企业的证明文件。</w:t>
      </w:r>
    </w:p>
    <w:p>
      <w:pPr>
        <w:ind w:firstLine="424"/>
        <w:rPr>
          <w:rFonts w:hint="eastAsia" w:ascii="仿宋" w:hAnsi="仿宋" w:eastAsia="仿宋"/>
          <w:color w:val="auto"/>
        </w:rPr>
      </w:pPr>
      <w:r>
        <w:rPr>
          <w:rFonts w:hint="eastAsia" w:ascii="仿宋" w:hAnsi="仿宋" w:eastAsia="仿宋"/>
          <w:color w:val="auto"/>
        </w:rPr>
        <w:t>5.依照&lt;财政部、司法部、中国残疾人联合会关于促进残疾人就业政府采购政策的通知&gt;（财库〔2017〕141号）之规定，在政府采购活动中，残疾人福利性单位视同小型、微型企业，享受预留份额、评审中价格扣除等促进中小企业发展的政府采购政策。提供《残疾人福利性单位声明函》（见格式文件），并对真实性负责。</w:t>
      </w:r>
    </w:p>
    <w:p>
      <w:pPr>
        <w:pStyle w:val="4"/>
        <w:spacing w:before="190" w:after="190"/>
        <w:ind w:firstLine="506"/>
        <w:rPr>
          <w:rFonts w:ascii="仿宋" w:hAnsi="仿宋" w:eastAsia="仿宋"/>
          <w:color w:val="auto"/>
          <w:szCs w:val="22"/>
        </w:rPr>
      </w:pPr>
      <w:bookmarkStart w:id="488" w:name="_Toc30567"/>
      <w:bookmarkStart w:id="489" w:name="_Toc18051"/>
      <w:bookmarkStart w:id="490" w:name="_Toc16611"/>
      <w:bookmarkStart w:id="491" w:name="_Toc25080"/>
      <w:bookmarkStart w:id="492" w:name="_Toc27710"/>
      <w:bookmarkStart w:id="493" w:name="_Toc8000"/>
      <w:bookmarkStart w:id="494" w:name="_Toc5616"/>
      <w:bookmarkStart w:id="495" w:name="_Toc63600425"/>
      <w:bookmarkStart w:id="496" w:name="_Toc6342"/>
      <w:bookmarkStart w:id="497" w:name="_Toc25801"/>
      <w:bookmarkStart w:id="498" w:name="_Toc25924"/>
      <w:bookmarkStart w:id="499" w:name="_Toc32581"/>
      <w:bookmarkStart w:id="500" w:name="_Toc28079"/>
      <w:bookmarkStart w:id="501" w:name="_Toc30624"/>
      <w:bookmarkStart w:id="502" w:name="_Toc21833"/>
      <w:r>
        <w:rPr>
          <w:rFonts w:hint="eastAsia" w:ascii="仿宋" w:hAnsi="仿宋" w:eastAsia="仿宋"/>
          <w:color w:val="auto"/>
          <w:szCs w:val="22"/>
        </w:rPr>
        <w:t>四、无效投标条款</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p>
    <w:p>
      <w:pPr>
        <w:ind w:firstLine="424"/>
        <w:rPr>
          <w:rFonts w:ascii="仿宋" w:hAnsi="仿宋" w:eastAsia="仿宋"/>
          <w:color w:val="auto"/>
          <w:szCs w:val="22"/>
        </w:rPr>
      </w:pPr>
      <w:r>
        <w:rPr>
          <w:rFonts w:hint="eastAsia" w:ascii="仿宋" w:hAnsi="仿宋" w:eastAsia="仿宋"/>
          <w:color w:val="auto"/>
          <w:szCs w:val="22"/>
        </w:rPr>
        <w:t>投标人或其投标文件出现下列情况之一者，应为无效投标：</w:t>
      </w:r>
    </w:p>
    <w:p>
      <w:pPr>
        <w:ind w:firstLine="424"/>
        <w:rPr>
          <w:rFonts w:ascii="仿宋" w:hAnsi="仿宋" w:eastAsia="仿宋"/>
          <w:color w:val="auto"/>
          <w:szCs w:val="22"/>
        </w:rPr>
      </w:pPr>
      <w:r>
        <w:rPr>
          <w:rFonts w:hint="eastAsia" w:ascii="仿宋" w:hAnsi="仿宋" w:eastAsia="仿宋"/>
          <w:color w:val="auto"/>
          <w:szCs w:val="22"/>
        </w:rPr>
        <w:t>（一）投标文件未按招标文件要求签署、盖章的；</w:t>
      </w:r>
    </w:p>
    <w:p>
      <w:pPr>
        <w:ind w:firstLine="424"/>
        <w:rPr>
          <w:rFonts w:ascii="仿宋" w:hAnsi="仿宋" w:eastAsia="仿宋"/>
          <w:color w:val="auto"/>
          <w:szCs w:val="22"/>
        </w:rPr>
      </w:pPr>
      <w:r>
        <w:rPr>
          <w:rFonts w:hint="eastAsia" w:ascii="仿宋" w:hAnsi="仿宋" w:eastAsia="仿宋"/>
          <w:color w:val="auto"/>
          <w:szCs w:val="22"/>
        </w:rPr>
        <w:t>（二）不具备招标文件中规定的资格要求的；</w:t>
      </w:r>
    </w:p>
    <w:p>
      <w:pPr>
        <w:ind w:firstLine="424"/>
        <w:rPr>
          <w:rFonts w:ascii="仿宋" w:hAnsi="仿宋" w:eastAsia="仿宋"/>
          <w:color w:val="auto"/>
          <w:szCs w:val="22"/>
        </w:rPr>
      </w:pPr>
      <w:r>
        <w:rPr>
          <w:rFonts w:hint="eastAsia" w:ascii="仿宋" w:hAnsi="仿宋" w:eastAsia="仿宋"/>
          <w:color w:val="auto"/>
          <w:szCs w:val="22"/>
        </w:rPr>
        <w:t>（三）报价超过招标文件中规定的最高限价或者分项最高限价的；</w:t>
      </w:r>
    </w:p>
    <w:p>
      <w:pPr>
        <w:ind w:firstLine="424"/>
        <w:rPr>
          <w:rFonts w:ascii="仿宋" w:hAnsi="仿宋" w:eastAsia="仿宋"/>
          <w:color w:val="auto"/>
          <w:szCs w:val="22"/>
        </w:rPr>
      </w:pPr>
      <w:r>
        <w:rPr>
          <w:rFonts w:hint="eastAsia" w:ascii="仿宋" w:hAnsi="仿宋" w:eastAsia="仿宋"/>
          <w:color w:val="auto"/>
          <w:szCs w:val="22"/>
        </w:rPr>
        <w:t>（四）投标文件含有采购人不能接受的附加条件的；</w:t>
      </w:r>
    </w:p>
    <w:p>
      <w:pPr>
        <w:ind w:firstLine="424"/>
        <w:rPr>
          <w:rFonts w:ascii="仿宋" w:hAnsi="仿宋" w:eastAsia="仿宋"/>
          <w:color w:val="auto"/>
          <w:szCs w:val="22"/>
        </w:rPr>
      </w:pPr>
      <w:r>
        <w:rPr>
          <w:rFonts w:hint="eastAsia" w:ascii="仿宋" w:hAnsi="仿宋" w:eastAsia="仿宋"/>
          <w:color w:val="auto"/>
          <w:szCs w:val="22"/>
        </w:rPr>
        <w:t>（五）投标人串通投标的；</w:t>
      </w:r>
    </w:p>
    <w:p>
      <w:pPr>
        <w:ind w:firstLine="424"/>
        <w:rPr>
          <w:rFonts w:ascii="仿宋" w:hAnsi="仿宋" w:eastAsia="仿宋"/>
          <w:color w:val="auto"/>
          <w:szCs w:val="22"/>
        </w:rPr>
      </w:pPr>
      <w:r>
        <w:rPr>
          <w:rFonts w:hint="eastAsia" w:ascii="仿宋" w:hAnsi="仿宋" w:eastAsia="仿宋"/>
          <w:color w:val="auto"/>
          <w:szCs w:val="22"/>
        </w:rPr>
        <w:t>（六）法律、法规和招标文件规定的其他无效情形。</w:t>
      </w:r>
    </w:p>
    <w:p>
      <w:pPr>
        <w:pStyle w:val="4"/>
        <w:spacing w:before="190" w:after="190"/>
        <w:ind w:firstLine="506"/>
        <w:rPr>
          <w:rFonts w:ascii="仿宋" w:hAnsi="仿宋" w:eastAsia="仿宋"/>
          <w:color w:val="auto"/>
          <w:szCs w:val="22"/>
        </w:rPr>
      </w:pPr>
      <w:bookmarkStart w:id="503" w:name="_Toc2190"/>
      <w:bookmarkStart w:id="504" w:name="_Toc18206"/>
      <w:bookmarkStart w:id="505" w:name="_Toc7084"/>
      <w:bookmarkStart w:id="506" w:name="_Toc24427"/>
      <w:bookmarkStart w:id="507" w:name="_Toc29332"/>
      <w:bookmarkStart w:id="508" w:name="_Toc30007"/>
      <w:bookmarkStart w:id="509" w:name="_Toc1142"/>
      <w:bookmarkStart w:id="510" w:name="_Toc8975"/>
      <w:bookmarkStart w:id="511" w:name="_Toc11644"/>
      <w:bookmarkStart w:id="512" w:name="_Toc6063"/>
      <w:bookmarkStart w:id="513" w:name="_Toc54"/>
      <w:bookmarkStart w:id="514" w:name="_Toc63600426"/>
      <w:bookmarkStart w:id="515" w:name="_Toc8390"/>
      <w:bookmarkStart w:id="516" w:name="_Toc20489888"/>
      <w:bookmarkStart w:id="517" w:name="_Toc409189628"/>
      <w:bookmarkStart w:id="518" w:name="_Toc20488332"/>
      <w:bookmarkStart w:id="519" w:name="_Toc17252"/>
      <w:bookmarkStart w:id="520" w:name="_Toc27499"/>
      <w:bookmarkStart w:id="521" w:name="_Toc384905307"/>
      <w:bookmarkStart w:id="522" w:name="_Toc384905069"/>
      <w:r>
        <w:rPr>
          <w:rFonts w:hint="eastAsia" w:ascii="仿宋" w:hAnsi="仿宋" w:eastAsia="仿宋"/>
          <w:color w:val="auto"/>
          <w:szCs w:val="22"/>
        </w:rPr>
        <w:t>五、废标条款</w:t>
      </w:r>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p>
    <w:bookmarkEnd w:id="521"/>
    <w:bookmarkEnd w:id="522"/>
    <w:p>
      <w:pPr>
        <w:ind w:firstLine="424"/>
        <w:rPr>
          <w:rFonts w:ascii="仿宋" w:hAnsi="仿宋" w:eastAsia="仿宋"/>
          <w:color w:val="auto"/>
        </w:rPr>
      </w:pPr>
      <w:r>
        <w:rPr>
          <w:rFonts w:hint="eastAsia" w:ascii="仿宋" w:hAnsi="仿宋" w:eastAsia="仿宋"/>
          <w:color w:val="auto"/>
        </w:rPr>
        <w:t>评标委员会评审时出现以下情况之一的，应予废标：</w:t>
      </w:r>
    </w:p>
    <w:p>
      <w:pPr>
        <w:ind w:firstLine="424"/>
        <w:rPr>
          <w:rFonts w:ascii="仿宋" w:hAnsi="仿宋" w:eastAsia="仿宋"/>
          <w:color w:val="auto"/>
          <w:szCs w:val="22"/>
        </w:rPr>
      </w:pPr>
      <w:r>
        <w:rPr>
          <w:rFonts w:hint="eastAsia" w:ascii="仿宋" w:hAnsi="仿宋" w:eastAsia="仿宋"/>
          <w:color w:val="auto"/>
          <w:szCs w:val="22"/>
        </w:rPr>
        <w:t>（一）符合专业条件的投标人或者对招标文件作实质响应的投标人不足三家的；</w:t>
      </w:r>
    </w:p>
    <w:p>
      <w:pPr>
        <w:ind w:firstLine="424"/>
        <w:rPr>
          <w:rFonts w:ascii="仿宋" w:hAnsi="仿宋" w:eastAsia="仿宋"/>
          <w:color w:val="auto"/>
          <w:szCs w:val="22"/>
        </w:rPr>
      </w:pPr>
      <w:r>
        <w:rPr>
          <w:rFonts w:hint="eastAsia" w:ascii="仿宋" w:hAnsi="仿宋" w:eastAsia="仿宋"/>
          <w:color w:val="auto"/>
          <w:szCs w:val="22"/>
        </w:rPr>
        <w:t>（二）投标人的报价均超过了采购预算，采购人不能支付的；</w:t>
      </w:r>
    </w:p>
    <w:p>
      <w:pPr>
        <w:ind w:firstLine="424"/>
        <w:rPr>
          <w:rFonts w:ascii="仿宋" w:hAnsi="仿宋" w:eastAsia="仿宋"/>
          <w:color w:val="auto"/>
          <w:szCs w:val="22"/>
        </w:rPr>
      </w:pPr>
      <w:r>
        <w:rPr>
          <w:rFonts w:hint="eastAsia" w:ascii="仿宋" w:hAnsi="仿宋" w:eastAsia="仿宋"/>
          <w:color w:val="auto"/>
          <w:szCs w:val="22"/>
        </w:rPr>
        <w:t>（三）出现影响采购公正的违法、违规行为的；</w:t>
      </w:r>
    </w:p>
    <w:p>
      <w:pPr>
        <w:ind w:firstLine="424"/>
        <w:rPr>
          <w:rFonts w:ascii="仿宋" w:hAnsi="仿宋" w:eastAsia="仿宋"/>
          <w:color w:val="auto"/>
          <w:szCs w:val="22"/>
        </w:rPr>
      </w:pPr>
      <w:r>
        <w:rPr>
          <w:rFonts w:hint="eastAsia" w:ascii="仿宋" w:hAnsi="仿宋" w:eastAsia="仿宋"/>
          <w:color w:val="auto"/>
          <w:szCs w:val="22"/>
        </w:rPr>
        <w:t>（四）因重大变故，采购任务取消的。</w:t>
      </w:r>
    </w:p>
    <w:p>
      <w:pPr>
        <w:ind w:firstLine="424"/>
        <w:rPr>
          <w:rFonts w:ascii="仿宋" w:hAnsi="仿宋" w:eastAsia="仿宋"/>
          <w:color w:val="auto"/>
        </w:rPr>
      </w:pPr>
      <w:r>
        <w:rPr>
          <w:rFonts w:hint="eastAsia" w:ascii="仿宋" w:hAnsi="仿宋" w:eastAsia="仿宋"/>
          <w:color w:val="auto"/>
          <w:szCs w:val="22"/>
        </w:rPr>
        <w:t>废标后，除采购任务取消情形外，应当重新组织采购。</w:t>
      </w:r>
    </w:p>
    <w:p>
      <w:pPr>
        <w:ind w:firstLine="424"/>
        <w:rPr>
          <w:color w:val="auto"/>
        </w:rPr>
        <w:sectPr>
          <w:pgSz w:w="11907" w:h="16840"/>
          <w:pgMar w:top="1134" w:right="1191" w:bottom="1134" w:left="1304" w:header="794" w:footer="992" w:gutter="0"/>
          <w:cols w:space="720" w:num="1"/>
          <w:docGrid w:type="linesAndChars" w:linePitch="380" w:charSpace="-5735"/>
        </w:sectPr>
      </w:pPr>
      <w:bookmarkStart w:id="523" w:name="_Toc394390666"/>
    </w:p>
    <w:p>
      <w:pPr>
        <w:pStyle w:val="3"/>
        <w:numPr>
          <w:ilvl w:val="0"/>
          <w:numId w:val="1"/>
        </w:numPr>
        <w:tabs>
          <w:tab w:val="clear" w:pos="3360"/>
        </w:tabs>
        <w:spacing w:before="190" w:after="190"/>
        <w:rPr>
          <w:rFonts w:hint="eastAsia" w:ascii="方正小标宋简体" w:eastAsia="方正小标宋简体"/>
          <w:color w:val="auto"/>
          <w:szCs w:val="22"/>
        </w:rPr>
      </w:pPr>
      <w:bookmarkStart w:id="524" w:name="_Toc31628"/>
      <w:bookmarkStart w:id="525" w:name="_Toc1769"/>
      <w:bookmarkStart w:id="526" w:name="_Toc31893"/>
      <w:bookmarkStart w:id="527" w:name="_Toc4767"/>
      <w:bookmarkStart w:id="528" w:name="_Toc31811"/>
      <w:bookmarkStart w:id="529" w:name="_Toc20488333"/>
      <w:bookmarkStart w:id="530" w:name="_Toc28332"/>
      <w:bookmarkStart w:id="531" w:name="_Toc6398"/>
      <w:bookmarkStart w:id="532" w:name="_Toc13045"/>
      <w:bookmarkStart w:id="533" w:name="_Toc3367"/>
      <w:bookmarkStart w:id="534" w:name="_Toc1202"/>
      <w:bookmarkStart w:id="535" w:name="_Toc11779"/>
      <w:bookmarkStart w:id="536" w:name="_Toc63600427"/>
      <w:bookmarkStart w:id="537" w:name="_Toc20489889"/>
      <w:bookmarkStart w:id="538" w:name="_Toc12166"/>
      <w:bookmarkStart w:id="539" w:name="_Toc31671"/>
      <w:bookmarkStart w:id="540" w:name="_Toc30481"/>
      <w:r>
        <w:rPr>
          <w:rFonts w:hint="eastAsia" w:ascii="方正小标宋简体" w:eastAsia="方正小标宋简体"/>
          <w:color w:val="auto"/>
          <w:szCs w:val="22"/>
        </w:rPr>
        <w:t>投标</w:t>
      </w:r>
      <w:bookmarkEnd w:id="523"/>
      <w:r>
        <w:rPr>
          <w:rFonts w:hint="eastAsia" w:ascii="方正小标宋简体" w:eastAsia="方正小标宋简体"/>
          <w:color w:val="auto"/>
          <w:szCs w:val="22"/>
        </w:rPr>
        <w:t>人须知</w:t>
      </w:r>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
    <w:p>
      <w:pPr>
        <w:pStyle w:val="4"/>
        <w:spacing w:before="190" w:after="190"/>
        <w:ind w:firstLine="506"/>
        <w:rPr>
          <w:rFonts w:ascii="仿宋" w:hAnsi="仿宋" w:eastAsia="仿宋"/>
          <w:color w:val="auto"/>
          <w:szCs w:val="22"/>
        </w:rPr>
      </w:pPr>
      <w:bookmarkStart w:id="541" w:name="_Toc28133"/>
      <w:bookmarkStart w:id="542" w:name="_Toc703"/>
      <w:bookmarkStart w:id="543" w:name="_Toc20488334"/>
      <w:bookmarkStart w:id="544" w:name="_Toc3710"/>
      <w:bookmarkStart w:id="545" w:name="_Toc10769"/>
      <w:bookmarkStart w:id="546" w:name="_Toc13191"/>
      <w:bookmarkStart w:id="547" w:name="_Toc19701"/>
      <w:bookmarkStart w:id="548" w:name="_Toc409189629"/>
      <w:bookmarkStart w:id="549" w:name="_Toc20489890"/>
      <w:bookmarkStart w:id="550" w:name="_Toc28710"/>
      <w:bookmarkStart w:id="551" w:name="_Toc31386"/>
      <w:bookmarkStart w:id="552" w:name="_Toc18560"/>
      <w:bookmarkStart w:id="553" w:name="_Toc27165"/>
      <w:bookmarkStart w:id="554" w:name="_Toc2711"/>
      <w:bookmarkStart w:id="555" w:name="_Toc30219"/>
      <w:bookmarkStart w:id="556" w:name="_Toc18543"/>
      <w:bookmarkStart w:id="557" w:name="_Toc63600428"/>
      <w:r>
        <w:rPr>
          <w:rFonts w:hint="eastAsia" w:ascii="仿宋" w:hAnsi="仿宋" w:eastAsia="仿宋"/>
          <w:color w:val="auto"/>
          <w:szCs w:val="22"/>
        </w:rPr>
        <w:t>一、投标人</w:t>
      </w:r>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p>
    <w:p>
      <w:pPr>
        <w:ind w:firstLine="424"/>
        <w:rPr>
          <w:rFonts w:ascii="仿宋" w:hAnsi="仿宋" w:eastAsia="仿宋"/>
          <w:color w:val="auto"/>
        </w:rPr>
      </w:pPr>
      <w:r>
        <w:rPr>
          <w:rFonts w:hint="eastAsia" w:ascii="仿宋" w:hAnsi="仿宋" w:eastAsia="仿宋"/>
          <w:color w:val="auto"/>
        </w:rPr>
        <w:t>（一）投标人</w:t>
      </w:r>
    </w:p>
    <w:p>
      <w:pPr>
        <w:ind w:firstLine="424"/>
        <w:rPr>
          <w:rFonts w:ascii="仿宋" w:hAnsi="仿宋" w:eastAsia="仿宋"/>
          <w:color w:val="auto"/>
        </w:rPr>
      </w:pPr>
      <w:r>
        <w:rPr>
          <w:rFonts w:hint="eastAsia" w:ascii="仿宋" w:hAnsi="仿宋" w:eastAsia="仿宋"/>
          <w:color w:val="auto"/>
        </w:rPr>
        <w:t>投标人是指响应招标、参加投标竞争的法人、其他组织或者自然人。</w:t>
      </w:r>
    </w:p>
    <w:p>
      <w:pPr>
        <w:ind w:firstLine="424"/>
        <w:rPr>
          <w:rFonts w:ascii="仿宋" w:hAnsi="仿宋" w:eastAsia="仿宋"/>
          <w:color w:val="auto"/>
        </w:rPr>
      </w:pPr>
      <w:r>
        <w:rPr>
          <w:rFonts w:hint="eastAsia" w:ascii="仿宋" w:hAnsi="仿宋" w:eastAsia="仿宋"/>
          <w:color w:val="auto"/>
        </w:rPr>
        <w:t>（二）合格投标人条件</w:t>
      </w:r>
    </w:p>
    <w:p>
      <w:pPr>
        <w:ind w:firstLine="424"/>
        <w:rPr>
          <w:rFonts w:ascii="仿宋" w:hAnsi="仿宋" w:eastAsia="仿宋"/>
          <w:color w:val="auto"/>
        </w:rPr>
      </w:pPr>
      <w:r>
        <w:rPr>
          <w:rFonts w:hint="eastAsia" w:ascii="仿宋" w:hAnsi="仿宋" w:eastAsia="仿宋"/>
          <w:color w:val="auto"/>
        </w:rPr>
        <w:t>合格投标人应完全符合招标文件第一篇中规定的投标人资格条件，并对招标文件作出实质性响应。</w:t>
      </w:r>
    </w:p>
    <w:p>
      <w:pPr>
        <w:ind w:firstLine="424"/>
        <w:rPr>
          <w:rFonts w:ascii="仿宋" w:hAnsi="仿宋" w:eastAsia="仿宋"/>
          <w:color w:val="auto"/>
        </w:rPr>
      </w:pPr>
      <w:r>
        <w:rPr>
          <w:rFonts w:hint="eastAsia" w:ascii="仿宋" w:hAnsi="仿宋" w:eastAsia="仿宋"/>
          <w:color w:val="auto"/>
        </w:rPr>
        <w:t>（三）投标人的风险</w:t>
      </w:r>
    </w:p>
    <w:p>
      <w:pPr>
        <w:ind w:firstLine="424"/>
        <w:rPr>
          <w:rFonts w:ascii="仿宋" w:hAnsi="仿宋" w:eastAsia="仿宋"/>
          <w:color w:val="auto"/>
        </w:rPr>
      </w:pPr>
      <w:r>
        <w:rPr>
          <w:rFonts w:hint="eastAsia" w:ascii="仿宋" w:hAnsi="仿宋" w:eastAsia="仿宋"/>
          <w:color w:val="auto"/>
        </w:rPr>
        <w:t>投标人没有按照招标文件要求提供全部资料，或者投标人没有对招标文件在各方面作出实质性响应，可能导致投标被拒绝或评定为无效投标。</w:t>
      </w:r>
    </w:p>
    <w:p>
      <w:pPr>
        <w:ind w:firstLine="424"/>
        <w:rPr>
          <w:rFonts w:ascii="仿宋" w:hAnsi="仿宋" w:eastAsia="仿宋"/>
          <w:color w:val="auto"/>
        </w:rPr>
      </w:pPr>
      <w:r>
        <w:rPr>
          <w:rFonts w:hint="eastAsia" w:ascii="仿宋" w:hAnsi="仿宋" w:eastAsia="仿宋"/>
          <w:color w:val="auto"/>
        </w:rPr>
        <w:t>（四）法律责任</w:t>
      </w:r>
    </w:p>
    <w:p>
      <w:pPr>
        <w:ind w:firstLine="424"/>
        <w:rPr>
          <w:rFonts w:ascii="仿宋" w:hAnsi="仿宋" w:eastAsia="仿宋"/>
          <w:color w:val="auto"/>
        </w:rPr>
      </w:pPr>
      <w:r>
        <w:rPr>
          <w:rFonts w:hint="eastAsia" w:ascii="仿宋" w:hAnsi="仿宋" w:eastAsia="仿宋"/>
          <w:color w:val="auto"/>
        </w:rPr>
        <w:t>投标人违反《中华人民共和国政府采购法》、《中华人民共和国政府采购实施条例》等相关规定，将按规定追究投标人法律责任。</w:t>
      </w:r>
    </w:p>
    <w:p>
      <w:pPr>
        <w:pStyle w:val="4"/>
        <w:spacing w:before="190" w:after="190"/>
        <w:ind w:firstLine="506"/>
        <w:rPr>
          <w:rFonts w:ascii="仿宋" w:hAnsi="仿宋" w:eastAsia="仿宋"/>
          <w:color w:val="auto"/>
          <w:szCs w:val="22"/>
        </w:rPr>
      </w:pPr>
      <w:bookmarkStart w:id="558" w:name="_Toc95"/>
      <w:bookmarkStart w:id="559" w:name="_Toc20488335"/>
      <w:bookmarkStart w:id="560" w:name="_Toc63600429"/>
      <w:bookmarkStart w:id="561" w:name="_Toc23695"/>
      <w:bookmarkStart w:id="562" w:name="_Toc32608"/>
      <w:bookmarkStart w:id="563" w:name="_Toc31561"/>
      <w:bookmarkStart w:id="564" w:name="_Toc15775"/>
      <w:bookmarkStart w:id="565" w:name="_Toc31001"/>
      <w:bookmarkStart w:id="566" w:name="_Toc8274"/>
      <w:bookmarkStart w:id="567" w:name="_Toc22043"/>
      <w:bookmarkStart w:id="568" w:name="_Toc20489891"/>
      <w:bookmarkStart w:id="569" w:name="_Toc22"/>
      <w:bookmarkStart w:id="570" w:name="_Toc457"/>
      <w:bookmarkStart w:id="571" w:name="_Toc6772"/>
      <w:bookmarkStart w:id="572" w:name="_Toc18261"/>
      <w:bookmarkStart w:id="573" w:name="_Toc17147"/>
      <w:bookmarkStart w:id="574" w:name="_Toc409189631"/>
      <w:r>
        <w:rPr>
          <w:rFonts w:hint="eastAsia" w:ascii="仿宋" w:hAnsi="仿宋" w:eastAsia="仿宋"/>
          <w:color w:val="auto"/>
          <w:szCs w:val="22"/>
        </w:rPr>
        <w:t>二、招标文件</w:t>
      </w:r>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p>
    <w:p>
      <w:pPr>
        <w:ind w:firstLine="424"/>
        <w:rPr>
          <w:rFonts w:ascii="仿宋" w:hAnsi="仿宋" w:eastAsia="仿宋"/>
          <w:color w:val="auto"/>
        </w:rPr>
      </w:pPr>
      <w:r>
        <w:rPr>
          <w:rFonts w:hint="eastAsia" w:ascii="仿宋" w:hAnsi="仿宋" w:eastAsia="仿宋"/>
          <w:color w:val="auto"/>
        </w:rPr>
        <w:t>招标文件是投标人编制投标文件的依据，是评标委员会评判依据和标准。招标文件也是采购人与中标人签订合同的基础。</w:t>
      </w:r>
    </w:p>
    <w:p>
      <w:pPr>
        <w:ind w:firstLine="424"/>
        <w:rPr>
          <w:rFonts w:ascii="仿宋" w:hAnsi="仿宋" w:eastAsia="仿宋"/>
          <w:color w:val="auto"/>
        </w:rPr>
      </w:pPr>
      <w:r>
        <w:rPr>
          <w:rFonts w:hint="eastAsia" w:ascii="仿宋" w:hAnsi="仿宋" w:eastAsia="仿宋"/>
          <w:color w:val="auto"/>
        </w:rPr>
        <w:t>（一）招标文件由投标邀请书；项目技术（质量）需求；项目商务要求；评标方法、评标标准、无效投标条款和废标条款；投标人须知；合同主要条款、合同范本；投标文件格式等七部分组成。</w:t>
      </w:r>
    </w:p>
    <w:p>
      <w:pPr>
        <w:ind w:firstLine="424"/>
        <w:rPr>
          <w:rFonts w:ascii="仿宋" w:hAnsi="仿宋" w:eastAsia="仿宋"/>
          <w:color w:val="auto"/>
        </w:rPr>
      </w:pPr>
      <w:r>
        <w:rPr>
          <w:rFonts w:hint="eastAsia" w:ascii="仿宋" w:hAnsi="仿宋" w:eastAsia="仿宋"/>
          <w:color w:val="auto"/>
        </w:rPr>
        <w:t>（二）采购代理机构对招标文件所作的一切有效的书面通知、修改及补充，都是招标文件不可分割的部分。</w:t>
      </w:r>
    </w:p>
    <w:p>
      <w:pPr>
        <w:ind w:firstLine="424"/>
        <w:jc w:val="left"/>
        <w:rPr>
          <w:rFonts w:ascii="仿宋" w:hAnsi="仿宋" w:eastAsia="仿宋"/>
          <w:color w:val="auto"/>
          <w:szCs w:val="22"/>
        </w:rPr>
      </w:pPr>
      <w:r>
        <w:rPr>
          <w:rFonts w:hint="eastAsia" w:ascii="仿宋" w:hAnsi="仿宋" w:eastAsia="仿宋"/>
          <w:color w:val="auto"/>
          <w:szCs w:val="22"/>
        </w:rPr>
        <w:t>（三）本项目的招标文件、补遗文件（如果有）一律在重庆市政府采购网（https://www.ccgp-chongqing.gov.cn/）上发布，请各投标人注意下载；无论投标人下载与否，均视同投标人已知晓本项目招标文件、澄清文件的内容。</w:t>
      </w:r>
    </w:p>
    <w:p>
      <w:pPr>
        <w:ind w:firstLine="424"/>
        <w:rPr>
          <w:rFonts w:ascii="仿宋" w:hAnsi="仿宋" w:eastAsia="仿宋"/>
          <w:color w:val="auto"/>
        </w:rPr>
      </w:pPr>
      <w:r>
        <w:rPr>
          <w:rFonts w:hint="eastAsia" w:ascii="仿宋" w:hAnsi="仿宋" w:eastAsia="仿宋"/>
          <w:color w:val="auto"/>
        </w:rPr>
        <w:t>（四）采购代理机构对已发出的招标文件需要进行澄清或修改的，应以书面形式或公告形式通知所有招标文件收受人。该澄清或者修改的内容为招标文件的组成部分。</w:t>
      </w:r>
    </w:p>
    <w:p>
      <w:pPr>
        <w:pStyle w:val="4"/>
        <w:spacing w:before="190" w:after="190"/>
        <w:ind w:firstLine="506"/>
        <w:rPr>
          <w:rFonts w:ascii="仿宋" w:hAnsi="仿宋" w:eastAsia="仿宋"/>
          <w:color w:val="auto"/>
          <w:szCs w:val="22"/>
        </w:rPr>
      </w:pPr>
      <w:bookmarkStart w:id="575" w:name="_Toc25778"/>
      <w:bookmarkStart w:id="576" w:name="_Toc4287"/>
      <w:bookmarkStart w:id="577" w:name="_Toc9962"/>
      <w:bookmarkStart w:id="578" w:name="_Toc20489892"/>
      <w:bookmarkStart w:id="579" w:name="_Toc5827"/>
      <w:bookmarkStart w:id="580" w:name="_Toc28490"/>
      <w:bookmarkStart w:id="581" w:name="_Toc7784"/>
      <w:bookmarkStart w:id="582" w:name="_Toc7510"/>
      <w:bookmarkStart w:id="583" w:name="_Toc19071"/>
      <w:bookmarkStart w:id="584" w:name="_Toc5751"/>
      <w:bookmarkStart w:id="585" w:name="_Toc18325"/>
      <w:bookmarkStart w:id="586" w:name="_Toc20488336"/>
      <w:bookmarkStart w:id="587" w:name="_Toc4467"/>
      <w:bookmarkStart w:id="588" w:name="_Toc409189632"/>
      <w:bookmarkStart w:id="589" w:name="_Toc2523"/>
      <w:bookmarkStart w:id="590" w:name="_Toc16747"/>
      <w:bookmarkStart w:id="591" w:name="_Toc63600430"/>
      <w:r>
        <w:rPr>
          <w:rFonts w:hint="eastAsia" w:ascii="仿宋" w:hAnsi="仿宋" w:eastAsia="仿宋"/>
          <w:color w:val="auto"/>
          <w:szCs w:val="22"/>
        </w:rPr>
        <w:t>三、投标文件</w:t>
      </w:r>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p>
    <w:p>
      <w:pPr>
        <w:ind w:firstLine="424"/>
        <w:rPr>
          <w:rFonts w:ascii="仿宋" w:hAnsi="仿宋" w:eastAsia="仿宋"/>
          <w:color w:val="auto"/>
        </w:rPr>
      </w:pPr>
      <w:r>
        <w:rPr>
          <w:rFonts w:hint="eastAsia" w:ascii="仿宋" w:hAnsi="仿宋" w:eastAsia="仿宋"/>
          <w:color w:val="auto"/>
        </w:rPr>
        <w:t>投标人应当按照招标文件的要求编制投标文件，并对招标文件提出的要求和条件作出实质性响应，投标文件应编制完整的页码、目录。</w:t>
      </w:r>
    </w:p>
    <w:p>
      <w:pPr>
        <w:ind w:firstLine="424"/>
        <w:rPr>
          <w:rFonts w:ascii="仿宋" w:hAnsi="仿宋" w:eastAsia="仿宋"/>
          <w:color w:val="auto"/>
        </w:rPr>
      </w:pPr>
      <w:r>
        <w:rPr>
          <w:rFonts w:hint="eastAsia" w:ascii="仿宋" w:hAnsi="仿宋" w:eastAsia="仿宋"/>
          <w:color w:val="auto"/>
        </w:rPr>
        <w:t>（一）投标文件组成</w:t>
      </w:r>
    </w:p>
    <w:p>
      <w:pPr>
        <w:ind w:firstLine="424"/>
        <w:rPr>
          <w:rFonts w:ascii="仿宋" w:hAnsi="仿宋" w:eastAsia="仿宋"/>
          <w:color w:val="auto"/>
        </w:rPr>
      </w:pPr>
      <w:r>
        <w:rPr>
          <w:rFonts w:hint="eastAsia" w:ascii="仿宋" w:hAnsi="仿宋" w:eastAsia="仿宋"/>
          <w:color w:val="auto"/>
        </w:rPr>
        <w:t>投标文件由第七篇“投标文件格式”规定的部分和投标人所作的一切有效补充、修改和承诺等文件组成，投标人应按照第七篇“投标文件格式”规定的目录顺序组织编写，否则有可能影响评委对投标文件的评审。</w:t>
      </w:r>
    </w:p>
    <w:p>
      <w:pPr>
        <w:ind w:firstLine="424"/>
        <w:rPr>
          <w:rFonts w:ascii="仿宋" w:hAnsi="仿宋" w:eastAsia="仿宋"/>
          <w:color w:val="auto"/>
        </w:rPr>
      </w:pPr>
      <w:r>
        <w:rPr>
          <w:rFonts w:hint="eastAsia" w:ascii="仿宋" w:hAnsi="仿宋" w:eastAsia="仿宋"/>
          <w:color w:val="auto"/>
        </w:rPr>
        <w:t>（二）联合投标</w:t>
      </w:r>
    </w:p>
    <w:p>
      <w:pPr>
        <w:ind w:firstLine="424"/>
        <w:rPr>
          <w:rFonts w:ascii="仿宋" w:hAnsi="仿宋" w:eastAsia="仿宋"/>
          <w:color w:val="auto"/>
        </w:rPr>
      </w:pPr>
      <w:r>
        <w:rPr>
          <w:rFonts w:hint="eastAsia" w:ascii="仿宋" w:hAnsi="仿宋" w:eastAsia="仿宋"/>
          <w:color w:val="auto"/>
        </w:rPr>
        <w:t>1.两个以上投标人可以组成一个投标联合体，以一个投标人的身份投标。</w:t>
      </w:r>
    </w:p>
    <w:p>
      <w:pPr>
        <w:ind w:firstLine="424"/>
        <w:rPr>
          <w:rFonts w:ascii="仿宋" w:hAnsi="仿宋" w:eastAsia="仿宋"/>
          <w:color w:val="auto"/>
        </w:rPr>
      </w:pPr>
      <w:r>
        <w:rPr>
          <w:rFonts w:hint="eastAsia" w:ascii="仿宋" w:hAnsi="仿宋" w:eastAsia="仿宋"/>
          <w:color w:val="auto"/>
        </w:rPr>
        <w:t>2.以联合体形式参加投标的，联合体各方均应满足投标人资格要求（详见“第一篇”）。</w:t>
      </w:r>
      <w:r>
        <w:rPr>
          <w:rFonts w:ascii="仿宋" w:hAnsi="仿宋" w:eastAsia="仿宋"/>
          <w:color w:val="auto"/>
        </w:rPr>
        <w:t>联合体中有同类资质的投标人按照联合体分工承担相同工作的，应当按照资质等级较低的投标人确定资质等级。</w:t>
      </w:r>
    </w:p>
    <w:p>
      <w:pPr>
        <w:ind w:firstLine="424"/>
        <w:rPr>
          <w:rFonts w:ascii="仿宋" w:hAnsi="仿宋" w:eastAsia="仿宋"/>
          <w:color w:val="auto"/>
        </w:rPr>
      </w:pPr>
      <w:r>
        <w:rPr>
          <w:rFonts w:hint="eastAsia" w:ascii="仿宋" w:hAnsi="仿宋" w:eastAsia="仿宋"/>
          <w:color w:val="auto"/>
        </w:rPr>
        <w:t>3.联合体各方之间应当签订共同投标协议，共同投标协议中应确定主办方（主体），代表联合体进行投标和澄清。共同投标协议应明确约定联合体各方承担的工作和相应的责任，并将共同投标协议连同投标文件一并提交采购代理机构。</w:t>
      </w:r>
    </w:p>
    <w:p>
      <w:pPr>
        <w:ind w:firstLine="424"/>
        <w:rPr>
          <w:rFonts w:ascii="仿宋" w:hAnsi="仿宋" w:eastAsia="仿宋"/>
          <w:color w:val="auto"/>
        </w:rPr>
      </w:pPr>
      <w:r>
        <w:rPr>
          <w:rFonts w:hint="eastAsia" w:ascii="仿宋" w:hAnsi="仿宋" w:eastAsia="仿宋"/>
          <w:color w:val="auto"/>
        </w:rPr>
        <w:t>4.</w:t>
      </w:r>
      <w:r>
        <w:rPr>
          <w:rFonts w:ascii="仿宋" w:hAnsi="仿宋" w:eastAsia="仿宋"/>
          <w:color w:val="auto"/>
        </w:rPr>
        <w:t>以联合体形式参加政府采购活动的，联合体各方不得再单独参加或者与其他投标人另外组成联合体参加同一合同项下的政府采购活动。</w:t>
      </w:r>
    </w:p>
    <w:p>
      <w:pPr>
        <w:ind w:firstLine="424"/>
        <w:rPr>
          <w:rFonts w:ascii="仿宋" w:hAnsi="仿宋" w:eastAsia="仿宋"/>
          <w:color w:val="auto"/>
        </w:rPr>
      </w:pPr>
      <w:r>
        <w:rPr>
          <w:rFonts w:hint="eastAsia" w:ascii="仿宋" w:hAnsi="仿宋" w:eastAsia="仿宋"/>
          <w:color w:val="auto"/>
        </w:rPr>
        <w:t>5.联合体投标业绩计算，按照共同投标协议分工认定。</w:t>
      </w:r>
    </w:p>
    <w:p>
      <w:pPr>
        <w:ind w:firstLine="424"/>
        <w:rPr>
          <w:rFonts w:ascii="仿宋" w:hAnsi="仿宋" w:eastAsia="仿宋"/>
          <w:color w:val="auto"/>
        </w:rPr>
      </w:pPr>
      <w:r>
        <w:rPr>
          <w:rFonts w:hint="eastAsia" w:ascii="仿宋" w:hAnsi="仿宋" w:eastAsia="仿宋"/>
          <w:color w:val="auto"/>
        </w:rPr>
        <w:t>6.两个以上的自然人、法人或者其他组织组成一个联合体，以一个投标人的身份共同参加政府采购活动的，应当对所有联合体成员进行信用记录查询，联合体成员存在不良信用记录的，视同联合体存在不良信用记录。</w:t>
      </w:r>
    </w:p>
    <w:p>
      <w:pPr>
        <w:ind w:firstLine="424"/>
        <w:rPr>
          <w:rFonts w:ascii="仿宋" w:hAnsi="仿宋" w:eastAsia="仿宋"/>
          <w:color w:val="auto"/>
        </w:rPr>
      </w:pPr>
      <w:r>
        <w:rPr>
          <w:rFonts w:hint="eastAsia" w:ascii="仿宋" w:hAnsi="仿宋" w:eastAsia="仿宋"/>
          <w:color w:val="auto"/>
        </w:rPr>
        <w:t>7.以联合体投标的，共同投标协议中应确定主办方（主体），代表联合体进行投标和澄清。法定代表人授权委托书由联合体主办方（主体）出具。联合体各方均应满足投标人资格要求（详见“第一篇”）。</w:t>
      </w:r>
    </w:p>
    <w:p>
      <w:pPr>
        <w:ind w:firstLine="424"/>
        <w:rPr>
          <w:rFonts w:ascii="仿宋" w:hAnsi="仿宋" w:eastAsia="仿宋"/>
          <w:color w:val="auto"/>
        </w:rPr>
      </w:pPr>
      <w:r>
        <w:rPr>
          <w:rFonts w:hint="eastAsia" w:ascii="仿宋" w:hAnsi="仿宋" w:eastAsia="仿宋"/>
          <w:color w:val="auto"/>
        </w:rPr>
        <w:t>（三）投标有效期</w:t>
      </w:r>
    </w:p>
    <w:p>
      <w:pPr>
        <w:ind w:firstLine="424"/>
        <w:rPr>
          <w:rFonts w:ascii="仿宋" w:hAnsi="仿宋" w:eastAsia="仿宋"/>
          <w:color w:val="auto"/>
        </w:rPr>
      </w:pPr>
      <w:r>
        <w:rPr>
          <w:rFonts w:hint="eastAsia" w:ascii="仿宋" w:hAnsi="仿宋" w:eastAsia="仿宋"/>
          <w:color w:val="auto"/>
        </w:rPr>
        <w:t>投标有效期为投标截止时间起90天。</w:t>
      </w:r>
    </w:p>
    <w:p>
      <w:pPr>
        <w:ind w:firstLine="424"/>
        <w:rPr>
          <w:rFonts w:ascii="仿宋" w:hAnsi="仿宋" w:eastAsia="仿宋"/>
          <w:color w:val="auto"/>
        </w:rPr>
      </w:pPr>
      <w:r>
        <w:rPr>
          <w:rFonts w:hint="eastAsia" w:ascii="仿宋" w:hAnsi="仿宋" w:eastAsia="仿宋"/>
          <w:color w:val="auto"/>
        </w:rPr>
        <w:t>（四）投标文件的份数和签署</w:t>
      </w:r>
    </w:p>
    <w:p>
      <w:pPr>
        <w:ind w:firstLine="424"/>
        <w:rPr>
          <w:rFonts w:ascii="仿宋" w:hAnsi="仿宋" w:eastAsia="仿宋"/>
          <w:color w:val="auto"/>
        </w:rPr>
      </w:pPr>
      <w:r>
        <w:rPr>
          <w:rFonts w:hint="eastAsia" w:ascii="仿宋" w:hAnsi="仿宋" w:eastAsia="仿宋"/>
          <w:color w:val="auto"/>
        </w:rPr>
        <w:t>1.电子投标文件：</w:t>
      </w:r>
    </w:p>
    <w:p>
      <w:pPr>
        <w:ind w:firstLine="424"/>
        <w:rPr>
          <w:rFonts w:ascii="仿宋" w:hAnsi="仿宋" w:eastAsia="仿宋"/>
          <w:color w:val="auto"/>
        </w:rPr>
      </w:pPr>
      <w:r>
        <w:rPr>
          <w:rFonts w:hint="eastAsia" w:ascii="仿宋" w:hAnsi="仿宋" w:eastAsia="仿宋"/>
          <w:color w:val="auto"/>
        </w:rPr>
        <w:t>1.1电子投标文件一式二份，一份为加密投标文件，一份为备份投标文件。加密投标文件应与备份投标文件保持一致，系统会对备份投标文件与加密投标文件一致性进行核验。</w:t>
      </w:r>
    </w:p>
    <w:p>
      <w:pPr>
        <w:ind w:firstLine="424"/>
        <w:rPr>
          <w:rFonts w:ascii="仿宋" w:hAnsi="仿宋" w:eastAsia="仿宋"/>
          <w:color w:val="auto"/>
        </w:rPr>
      </w:pPr>
      <w:r>
        <w:rPr>
          <w:rFonts w:hint="eastAsia" w:ascii="仿宋" w:hAnsi="仿宋" w:eastAsia="仿宋"/>
          <w:color w:val="auto"/>
        </w:rPr>
        <w:t>1.2.在电子加密投标文件中，招标文件第七篇投标文件格式中规定签署、盖章的地方必须按其规定签署、盖章。</w:t>
      </w:r>
    </w:p>
    <w:p>
      <w:pPr>
        <w:ind w:firstLine="424"/>
        <w:rPr>
          <w:rFonts w:ascii="仿宋" w:hAnsi="仿宋" w:eastAsia="仿宋"/>
          <w:color w:val="auto"/>
        </w:rPr>
      </w:pPr>
      <w:r>
        <w:rPr>
          <w:rFonts w:hint="eastAsia" w:ascii="仿宋" w:hAnsi="仿宋" w:eastAsia="仿宋"/>
          <w:color w:val="auto"/>
        </w:rPr>
        <w:t>1.3.在电子投标文件中每页必须电子签章。</w:t>
      </w:r>
    </w:p>
    <w:p>
      <w:pPr>
        <w:ind w:firstLine="424"/>
        <w:rPr>
          <w:rFonts w:ascii="仿宋" w:hAnsi="仿宋" w:eastAsia="仿宋"/>
          <w:color w:val="auto"/>
        </w:rPr>
      </w:pPr>
      <w:r>
        <w:rPr>
          <w:rFonts w:hint="eastAsia" w:ascii="仿宋" w:hAnsi="仿宋" w:eastAsia="仿宋"/>
          <w:color w:val="auto"/>
        </w:rPr>
        <w:t>2.若投标人对投标文件的错处作必要修改，则应在修改处加盖投标人公章或由法定代表人（或其授权代表）或自然人（投标人为自然人）签署确认。</w:t>
      </w:r>
    </w:p>
    <w:p>
      <w:pPr>
        <w:ind w:firstLine="424"/>
        <w:rPr>
          <w:rFonts w:ascii="仿宋" w:hAnsi="仿宋" w:eastAsia="仿宋"/>
          <w:color w:val="auto"/>
        </w:rPr>
      </w:pPr>
      <w:r>
        <w:rPr>
          <w:rFonts w:hint="eastAsia" w:ascii="仿宋" w:hAnsi="仿宋" w:eastAsia="仿宋"/>
          <w:color w:val="auto"/>
        </w:rPr>
        <w:t>3.电报、电话、传真形式的投标文件概不接受。</w:t>
      </w:r>
    </w:p>
    <w:p>
      <w:pPr>
        <w:ind w:firstLine="424"/>
        <w:rPr>
          <w:rFonts w:ascii="仿宋" w:hAnsi="仿宋" w:eastAsia="仿宋"/>
          <w:color w:val="auto"/>
        </w:rPr>
      </w:pPr>
      <w:r>
        <w:rPr>
          <w:rFonts w:hint="eastAsia" w:ascii="仿宋" w:hAnsi="仿宋" w:eastAsia="仿宋"/>
          <w:color w:val="auto"/>
        </w:rPr>
        <w:t>（五）投标报价</w:t>
      </w:r>
    </w:p>
    <w:p>
      <w:pPr>
        <w:ind w:firstLine="424"/>
        <w:rPr>
          <w:rFonts w:ascii="仿宋" w:hAnsi="仿宋" w:eastAsia="仿宋"/>
          <w:color w:val="auto"/>
        </w:rPr>
      </w:pPr>
      <w:r>
        <w:rPr>
          <w:rFonts w:hint="eastAsia" w:ascii="仿宋" w:hAnsi="仿宋" w:eastAsia="仿宋"/>
          <w:color w:val="auto"/>
        </w:rPr>
        <w:t>1.投标人应严格按照“投标文件格式”中“开标一览表”和“分项报价明细表”的格式填写报价。</w:t>
      </w:r>
    </w:p>
    <w:p>
      <w:pPr>
        <w:ind w:firstLine="424"/>
        <w:rPr>
          <w:rFonts w:ascii="仿宋" w:hAnsi="仿宋" w:eastAsia="仿宋"/>
          <w:color w:val="auto"/>
        </w:rPr>
      </w:pPr>
      <w:r>
        <w:rPr>
          <w:rFonts w:hint="eastAsia" w:ascii="仿宋" w:hAnsi="仿宋" w:eastAsia="仿宋"/>
          <w:color w:val="auto"/>
        </w:rPr>
        <w:t>2.投标人的报价为一次性报价，即在投标有效期内投标价格固定不变。</w:t>
      </w:r>
    </w:p>
    <w:p>
      <w:pPr>
        <w:ind w:firstLine="424"/>
        <w:rPr>
          <w:rFonts w:ascii="仿宋" w:hAnsi="仿宋" w:eastAsia="仿宋"/>
          <w:color w:val="auto"/>
        </w:rPr>
      </w:pPr>
      <w:r>
        <w:rPr>
          <w:rFonts w:hint="eastAsia" w:ascii="仿宋" w:hAnsi="仿宋" w:eastAsia="仿宋"/>
          <w:color w:val="auto"/>
        </w:rPr>
        <w:t>3.本项目只接受一个投标报价，有选择的或有条件的报价将不予接受。</w:t>
      </w:r>
    </w:p>
    <w:p>
      <w:pPr>
        <w:ind w:firstLine="424"/>
        <w:rPr>
          <w:rFonts w:ascii="仿宋" w:hAnsi="仿宋" w:eastAsia="仿宋"/>
          <w:color w:val="auto"/>
        </w:rPr>
      </w:pPr>
      <w:r>
        <w:rPr>
          <w:rFonts w:hint="eastAsia" w:ascii="仿宋" w:hAnsi="仿宋" w:eastAsia="仿宋"/>
          <w:color w:val="auto"/>
        </w:rPr>
        <w:t>（六）修正错误</w:t>
      </w:r>
    </w:p>
    <w:p>
      <w:pPr>
        <w:ind w:firstLine="424"/>
        <w:rPr>
          <w:rFonts w:ascii="仿宋" w:hAnsi="仿宋" w:eastAsia="仿宋"/>
          <w:color w:val="auto"/>
        </w:rPr>
      </w:pPr>
      <w:r>
        <w:rPr>
          <w:rFonts w:hint="eastAsia" w:ascii="仿宋" w:hAnsi="仿宋" w:eastAsia="仿宋"/>
          <w:color w:val="auto"/>
        </w:rPr>
        <w:t>若投标文件出现计算或表达上的错误，修正错误的原则如下：</w:t>
      </w:r>
    </w:p>
    <w:p>
      <w:pPr>
        <w:ind w:firstLine="424"/>
        <w:rPr>
          <w:rFonts w:ascii="仿宋" w:hAnsi="仿宋" w:eastAsia="仿宋"/>
          <w:color w:val="auto"/>
        </w:rPr>
      </w:pPr>
      <w:r>
        <w:rPr>
          <w:rFonts w:hint="eastAsia" w:ascii="仿宋" w:hAnsi="仿宋" w:eastAsia="仿宋"/>
          <w:color w:val="auto"/>
        </w:rPr>
        <w:t>1.投标文件中开标一览表（报价表）内容与投标文件中相应内容不一致的，以开标一览表（报价表）为准；</w:t>
      </w:r>
    </w:p>
    <w:p>
      <w:pPr>
        <w:ind w:firstLine="424"/>
        <w:rPr>
          <w:rFonts w:ascii="仿宋" w:hAnsi="仿宋" w:eastAsia="仿宋"/>
          <w:color w:val="auto"/>
        </w:rPr>
      </w:pPr>
      <w:r>
        <w:rPr>
          <w:rFonts w:hint="eastAsia" w:ascii="仿宋" w:hAnsi="仿宋" w:eastAsia="仿宋"/>
          <w:color w:val="auto"/>
        </w:rPr>
        <w:t>2.大写金额和小写金额不一致的，以大写金额为准；</w:t>
      </w:r>
    </w:p>
    <w:p>
      <w:pPr>
        <w:ind w:firstLine="424"/>
        <w:rPr>
          <w:rFonts w:ascii="仿宋" w:hAnsi="仿宋" w:eastAsia="仿宋"/>
          <w:color w:val="auto"/>
        </w:rPr>
      </w:pPr>
      <w:r>
        <w:rPr>
          <w:rFonts w:hint="eastAsia" w:ascii="仿宋" w:hAnsi="仿宋" w:eastAsia="仿宋"/>
          <w:color w:val="auto"/>
        </w:rPr>
        <w:t>3.单价金额小数点或者百分比有明显错位的，以开标一览表的总价为准，并修改单价；</w:t>
      </w:r>
    </w:p>
    <w:p>
      <w:pPr>
        <w:ind w:firstLine="424"/>
        <w:rPr>
          <w:rFonts w:ascii="仿宋" w:hAnsi="仿宋" w:eastAsia="仿宋"/>
          <w:color w:val="auto"/>
        </w:rPr>
      </w:pPr>
      <w:r>
        <w:rPr>
          <w:rFonts w:hint="eastAsia" w:ascii="仿宋" w:hAnsi="仿宋" w:eastAsia="仿宋"/>
          <w:color w:val="auto"/>
        </w:rPr>
        <w:t>4.总价金额与按单价汇总金额不一致的，以单价金额计算结果为准。</w:t>
      </w:r>
    </w:p>
    <w:p>
      <w:pPr>
        <w:ind w:firstLine="424"/>
        <w:rPr>
          <w:rFonts w:ascii="仿宋" w:hAnsi="仿宋" w:eastAsia="仿宋"/>
          <w:color w:val="auto"/>
        </w:rPr>
      </w:pPr>
      <w:r>
        <w:rPr>
          <w:rFonts w:hint="eastAsia" w:ascii="仿宋" w:hAnsi="仿宋" w:eastAsia="仿宋"/>
          <w:color w:val="auto"/>
        </w:rPr>
        <w:t>评标委员会按上述修正错误的原则及方法调整或修正投标人投标报价，若同时出现两种以上不一致的，按照前款规定的顺序修正。</w:t>
      </w:r>
    </w:p>
    <w:p>
      <w:pPr>
        <w:ind w:firstLine="424"/>
        <w:rPr>
          <w:rFonts w:ascii="仿宋" w:hAnsi="仿宋" w:eastAsia="仿宋"/>
          <w:color w:val="auto"/>
        </w:rPr>
      </w:pPr>
      <w:r>
        <w:rPr>
          <w:rFonts w:hint="eastAsia" w:ascii="仿宋" w:hAnsi="仿宋" w:eastAsia="仿宋"/>
          <w:color w:val="auto"/>
        </w:rPr>
        <w:t>修正的方式为投标人作出书面澄清、说明或者补正，并加盖公章，或者由法定代表人或其授权的代表签字。投标人的澄清、说明或者补正不得超出投标文件的范围或者改变投标文件的实质性内容。</w:t>
      </w:r>
    </w:p>
    <w:p>
      <w:pPr>
        <w:ind w:firstLine="424"/>
        <w:rPr>
          <w:rFonts w:ascii="仿宋" w:hAnsi="仿宋" w:eastAsia="仿宋"/>
          <w:color w:val="auto"/>
        </w:rPr>
      </w:pPr>
      <w:r>
        <w:rPr>
          <w:rFonts w:hint="eastAsia" w:ascii="仿宋" w:hAnsi="仿宋" w:eastAsia="仿宋"/>
          <w:color w:val="auto"/>
        </w:rPr>
        <w:t>调整后的投标报价对投标人具有约束作用，如果投标人不接受修正后的报价，则其投标将作为无效投标处理。</w:t>
      </w:r>
    </w:p>
    <w:p>
      <w:pPr>
        <w:ind w:firstLine="424"/>
        <w:rPr>
          <w:rFonts w:ascii="仿宋" w:hAnsi="仿宋" w:eastAsia="仿宋"/>
          <w:color w:val="auto"/>
        </w:rPr>
      </w:pPr>
      <w:r>
        <w:rPr>
          <w:rFonts w:hint="eastAsia" w:ascii="仿宋" w:hAnsi="仿宋" w:eastAsia="仿宋"/>
          <w:color w:val="auto"/>
        </w:rPr>
        <w:t>（七）投标文件的递交</w:t>
      </w:r>
    </w:p>
    <w:p>
      <w:pPr>
        <w:ind w:firstLine="424"/>
        <w:rPr>
          <w:rFonts w:ascii="仿宋" w:hAnsi="仿宋" w:eastAsia="仿宋"/>
          <w:color w:val="auto"/>
        </w:rPr>
      </w:pPr>
      <w:r>
        <w:rPr>
          <w:rFonts w:hint="eastAsia" w:ascii="仿宋" w:hAnsi="仿宋" w:eastAsia="仿宋"/>
          <w:color w:val="auto"/>
        </w:rPr>
        <w:t>1、电子投标文件</w:t>
      </w:r>
    </w:p>
    <w:p>
      <w:pPr>
        <w:ind w:firstLine="424"/>
        <w:rPr>
          <w:rFonts w:ascii="仿宋" w:hAnsi="仿宋" w:eastAsia="仿宋"/>
          <w:color w:val="auto"/>
        </w:rPr>
      </w:pPr>
      <w:r>
        <w:rPr>
          <w:rFonts w:hint="eastAsia" w:ascii="仿宋" w:hAnsi="仿宋" w:eastAsia="仿宋"/>
          <w:color w:val="auto"/>
        </w:rPr>
        <w:t>电子投标文件的递交（上传）按《电子招投标系统投标人操作指南》操作。</w:t>
      </w:r>
    </w:p>
    <w:p>
      <w:pPr>
        <w:pStyle w:val="4"/>
        <w:spacing w:before="190" w:after="190"/>
        <w:ind w:firstLine="506"/>
        <w:rPr>
          <w:rFonts w:ascii="仿宋" w:hAnsi="仿宋" w:eastAsia="仿宋"/>
          <w:color w:val="auto"/>
          <w:szCs w:val="22"/>
        </w:rPr>
      </w:pPr>
      <w:bookmarkStart w:id="592" w:name="_Toc5623"/>
      <w:bookmarkStart w:id="593" w:name="_Toc16997"/>
      <w:bookmarkStart w:id="594" w:name="_Toc8168"/>
      <w:bookmarkStart w:id="595" w:name="_Toc28518"/>
      <w:bookmarkStart w:id="596" w:name="_Toc4234"/>
      <w:bookmarkStart w:id="597" w:name="_Toc21044"/>
      <w:bookmarkStart w:id="598" w:name="_Toc8694"/>
      <w:bookmarkStart w:id="599" w:name="_Toc20488337"/>
      <w:bookmarkStart w:id="600" w:name="_Toc14401"/>
      <w:bookmarkStart w:id="601" w:name="_Toc19323"/>
      <w:bookmarkStart w:id="602" w:name="_Toc409189633"/>
      <w:bookmarkStart w:id="603" w:name="_Toc406"/>
      <w:bookmarkStart w:id="604" w:name="_Toc3433"/>
      <w:bookmarkStart w:id="605" w:name="_Toc26601"/>
      <w:bookmarkStart w:id="606" w:name="_Toc20489893"/>
      <w:bookmarkStart w:id="607" w:name="_Toc63600431"/>
      <w:bookmarkStart w:id="608" w:name="_Toc1613"/>
      <w:r>
        <w:rPr>
          <w:rFonts w:hint="eastAsia" w:ascii="仿宋" w:hAnsi="仿宋" w:eastAsia="仿宋"/>
          <w:color w:val="auto"/>
          <w:szCs w:val="22"/>
        </w:rPr>
        <w:t>四、开标</w:t>
      </w:r>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p>
    <w:p>
      <w:pPr>
        <w:ind w:firstLine="424"/>
        <w:rPr>
          <w:rFonts w:ascii="仿宋" w:hAnsi="仿宋" w:eastAsia="仿宋"/>
          <w:color w:val="auto"/>
        </w:rPr>
      </w:pPr>
      <w:r>
        <w:rPr>
          <w:rFonts w:hint="eastAsia" w:ascii="仿宋" w:hAnsi="仿宋" w:eastAsia="仿宋"/>
          <w:color w:val="auto"/>
        </w:rPr>
        <w:t>（一）开标应当在招标文件中“投标邀请书”确定的时间和地点公开进行。</w:t>
      </w:r>
    </w:p>
    <w:p>
      <w:pPr>
        <w:ind w:firstLine="424"/>
        <w:rPr>
          <w:rFonts w:ascii="仿宋" w:hAnsi="仿宋" w:eastAsia="仿宋"/>
          <w:color w:val="auto"/>
        </w:rPr>
      </w:pPr>
      <w:r>
        <w:rPr>
          <w:rFonts w:hint="eastAsia" w:ascii="仿宋" w:hAnsi="仿宋" w:eastAsia="仿宋"/>
          <w:color w:val="auto"/>
        </w:rPr>
        <w:t>（二）采购代理机构可视采购具体情况，延长投标截止时间和开标时间，变更时间以发布补遗公告形式通知所有潜在投标人。</w:t>
      </w:r>
    </w:p>
    <w:p>
      <w:pPr>
        <w:ind w:firstLine="424"/>
        <w:rPr>
          <w:rFonts w:ascii="仿宋" w:hAnsi="仿宋" w:eastAsia="仿宋"/>
          <w:color w:val="auto"/>
        </w:rPr>
      </w:pPr>
      <w:r>
        <w:rPr>
          <w:rFonts w:hint="eastAsia" w:ascii="仿宋" w:hAnsi="仿宋" w:eastAsia="仿宋"/>
          <w:color w:val="auto"/>
        </w:rPr>
        <w:t>（三）开标由采购代理机构主持，邀请采购人、投标人和有关监督部门代表参加，有关监督部门可视情况派员现场监督。</w:t>
      </w:r>
    </w:p>
    <w:p>
      <w:pPr>
        <w:ind w:firstLine="424"/>
        <w:rPr>
          <w:rFonts w:ascii="仿宋" w:hAnsi="仿宋" w:eastAsia="仿宋"/>
          <w:color w:val="auto"/>
        </w:rPr>
      </w:pPr>
      <w:r>
        <w:rPr>
          <w:rFonts w:hint="eastAsia" w:ascii="仿宋" w:hAnsi="仿宋" w:eastAsia="仿宋"/>
          <w:color w:val="auto"/>
        </w:rPr>
        <w:t>（四）开标时，采取电子开标。投标人在规定的时间内解密电子投标文件，开标室将展示投标人名称、投标价格和《开标一览表》。投标人不足三家的，不得开标。</w:t>
      </w:r>
    </w:p>
    <w:p>
      <w:pPr>
        <w:ind w:firstLine="424"/>
        <w:rPr>
          <w:rFonts w:ascii="仿宋" w:hAnsi="仿宋" w:eastAsia="仿宋"/>
          <w:color w:val="auto"/>
        </w:rPr>
      </w:pPr>
      <w:r>
        <w:rPr>
          <w:rFonts w:hint="eastAsia" w:ascii="仿宋" w:hAnsi="仿宋" w:eastAsia="仿宋"/>
          <w:color w:val="auto"/>
        </w:rPr>
        <w:t>（五）未宣读的投标价格、价格折扣和招标文件允许提供的备选投标方案等实质性内容等，评标时不予承认。</w:t>
      </w:r>
    </w:p>
    <w:p>
      <w:pPr>
        <w:ind w:firstLine="424"/>
        <w:rPr>
          <w:rFonts w:ascii="仿宋" w:hAnsi="仿宋" w:eastAsia="仿宋"/>
          <w:color w:val="auto"/>
        </w:rPr>
      </w:pPr>
      <w:r>
        <w:rPr>
          <w:rFonts w:hint="eastAsia" w:ascii="仿宋" w:hAnsi="仿宋" w:eastAsia="仿宋"/>
          <w:color w:val="auto"/>
        </w:rPr>
        <w:t>（六）开标过程由政府采购交易管理系统同步记录，并存档备查。</w:t>
      </w:r>
    </w:p>
    <w:p>
      <w:pPr>
        <w:ind w:firstLine="424"/>
        <w:rPr>
          <w:rFonts w:ascii="仿宋" w:hAnsi="仿宋" w:eastAsia="仿宋"/>
          <w:color w:val="auto"/>
        </w:rPr>
      </w:pPr>
      <w:r>
        <w:rPr>
          <w:rFonts w:hint="eastAsia" w:ascii="仿宋" w:hAnsi="仿宋" w:eastAsia="仿宋"/>
          <w:color w:val="auto"/>
        </w:rPr>
        <w:t>（七）投标人未参加开标的，视同认可开标结果。</w:t>
      </w:r>
    </w:p>
    <w:p>
      <w:pPr>
        <w:pStyle w:val="4"/>
        <w:spacing w:before="190" w:after="190"/>
        <w:ind w:firstLine="506"/>
        <w:rPr>
          <w:rFonts w:ascii="仿宋" w:hAnsi="仿宋" w:eastAsia="仿宋"/>
          <w:color w:val="auto"/>
          <w:szCs w:val="22"/>
        </w:rPr>
      </w:pPr>
      <w:bookmarkStart w:id="609" w:name="_Toc29890"/>
      <w:bookmarkStart w:id="610" w:name="_Toc32559"/>
      <w:bookmarkStart w:id="611" w:name="_Toc409189634"/>
      <w:bookmarkStart w:id="612" w:name="_Toc25629"/>
      <w:bookmarkStart w:id="613" w:name="_Toc20488338"/>
      <w:bookmarkStart w:id="614" w:name="_Toc1718"/>
      <w:bookmarkStart w:id="615" w:name="_Toc8642"/>
      <w:bookmarkStart w:id="616" w:name="_Toc63600432"/>
      <w:bookmarkStart w:id="617" w:name="_Toc7668"/>
      <w:bookmarkStart w:id="618" w:name="_Toc29126"/>
      <w:bookmarkStart w:id="619" w:name="_Toc17314"/>
      <w:bookmarkStart w:id="620" w:name="_Toc27859"/>
      <w:bookmarkStart w:id="621" w:name="_Toc20489894"/>
      <w:bookmarkStart w:id="622" w:name="_Toc10972"/>
      <w:bookmarkStart w:id="623" w:name="_Toc26484"/>
      <w:bookmarkStart w:id="624" w:name="_Toc5499"/>
      <w:bookmarkStart w:id="625" w:name="_Toc4067"/>
      <w:r>
        <w:rPr>
          <w:rFonts w:hint="eastAsia" w:ascii="仿宋" w:hAnsi="仿宋" w:eastAsia="仿宋"/>
          <w:color w:val="auto"/>
          <w:szCs w:val="22"/>
        </w:rPr>
        <w:t>五、评标</w:t>
      </w:r>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p>
    <w:p>
      <w:pPr>
        <w:ind w:firstLine="424"/>
        <w:rPr>
          <w:rFonts w:ascii="仿宋" w:hAnsi="仿宋" w:eastAsia="仿宋"/>
          <w:color w:val="auto"/>
        </w:rPr>
      </w:pPr>
      <w:r>
        <w:rPr>
          <w:rFonts w:hint="eastAsia" w:ascii="仿宋" w:hAnsi="仿宋" w:eastAsia="仿宋"/>
          <w:color w:val="auto"/>
        </w:rPr>
        <w:t>见第四篇“评标”内容。</w:t>
      </w:r>
    </w:p>
    <w:p>
      <w:pPr>
        <w:pStyle w:val="4"/>
        <w:spacing w:before="190" w:after="190"/>
        <w:ind w:firstLine="506"/>
        <w:rPr>
          <w:rFonts w:ascii="仿宋" w:hAnsi="仿宋" w:eastAsia="仿宋"/>
          <w:color w:val="auto"/>
          <w:szCs w:val="22"/>
        </w:rPr>
      </w:pPr>
      <w:bookmarkStart w:id="626" w:name="_Toc20488339"/>
      <w:bookmarkStart w:id="627" w:name="_Toc63600433"/>
      <w:bookmarkStart w:id="628" w:name="_Toc12180"/>
      <w:bookmarkStart w:id="629" w:name="_Toc18724"/>
      <w:bookmarkStart w:id="630" w:name="_Toc13776"/>
      <w:bookmarkStart w:id="631" w:name="_Toc20427"/>
      <w:bookmarkStart w:id="632" w:name="_Toc32161"/>
      <w:bookmarkStart w:id="633" w:name="_Toc6623"/>
      <w:bookmarkStart w:id="634" w:name="_Toc22323"/>
      <w:bookmarkStart w:id="635" w:name="_Toc15081"/>
      <w:bookmarkStart w:id="636" w:name="_Toc31083"/>
      <w:bookmarkStart w:id="637" w:name="_Toc20489895"/>
      <w:bookmarkStart w:id="638" w:name="_Toc409189635"/>
      <w:bookmarkStart w:id="639" w:name="_Toc775"/>
      <w:bookmarkStart w:id="640" w:name="_Toc6826"/>
      <w:bookmarkStart w:id="641" w:name="_Toc25896"/>
      <w:bookmarkStart w:id="642" w:name="_Toc20656"/>
      <w:r>
        <w:rPr>
          <w:rFonts w:hint="eastAsia" w:ascii="仿宋" w:hAnsi="仿宋" w:eastAsia="仿宋"/>
          <w:color w:val="auto"/>
          <w:szCs w:val="22"/>
        </w:rPr>
        <w:t>六、定标</w:t>
      </w:r>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p>
    <w:p>
      <w:pPr>
        <w:ind w:firstLine="424"/>
        <w:rPr>
          <w:rFonts w:ascii="仿宋" w:hAnsi="仿宋" w:eastAsia="仿宋"/>
          <w:color w:val="auto"/>
        </w:rPr>
      </w:pPr>
      <w:bookmarkStart w:id="643" w:name="_Toc409189636"/>
      <w:r>
        <w:rPr>
          <w:rFonts w:hint="eastAsia" w:ascii="仿宋" w:hAnsi="仿宋" w:eastAsia="仿宋"/>
          <w:color w:val="auto"/>
        </w:rPr>
        <w:t>（一）定标原则</w:t>
      </w:r>
    </w:p>
    <w:p>
      <w:pPr>
        <w:ind w:firstLine="424"/>
        <w:rPr>
          <w:rFonts w:ascii="仿宋" w:hAnsi="仿宋" w:eastAsia="仿宋"/>
          <w:color w:val="auto"/>
          <w:szCs w:val="22"/>
        </w:rPr>
      </w:pPr>
      <w:r>
        <w:rPr>
          <w:rFonts w:hint="eastAsia" w:ascii="仿宋" w:hAnsi="仿宋" w:eastAsia="仿宋"/>
          <w:color w:val="auto"/>
          <w:szCs w:val="22"/>
        </w:rPr>
        <w:t>采购人或其授权的评标委员会应按照评标报告中推荐的中标候选人排名顺序确定中标人。</w:t>
      </w:r>
    </w:p>
    <w:p>
      <w:pPr>
        <w:ind w:firstLine="424"/>
        <w:rPr>
          <w:rFonts w:ascii="仿宋" w:hAnsi="仿宋" w:eastAsia="仿宋"/>
          <w:color w:val="auto"/>
        </w:rPr>
      </w:pPr>
      <w:r>
        <w:rPr>
          <w:rFonts w:hint="eastAsia" w:ascii="仿宋" w:hAnsi="仿宋" w:eastAsia="仿宋"/>
          <w:color w:val="auto"/>
        </w:rPr>
        <w:t>（二）定标程序</w:t>
      </w:r>
    </w:p>
    <w:p>
      <w:pPr>
        <w:ind w:firstLine="424"/>
        <w:rPr>
          <w:rFonts w:ascii="仿宋" w:hAnsi="仿宋" w:eastAsia="仿宋"/>
          <w:color w:val="auto"/>
          <w:szCs w:val="22"/>
        </w:rPr>
      </w:pPr>
      <w:bookmarkStart w:id="644" w:name="_Toc63600434"/>
      <w:bookmarkStart w:id="645" w:name="_Toc9559"/>
      <w:bookmarkStart w:id="646" w:name="_Toc19033"/>
      <w:bookmarkStart w:id="647" w:name="_Toc25109"/>
      <w:bookmarkStart w:id="648" w:name="_Toc20489896"/>
      <w:bookmarkStart w:id="649" w:name="_Toc11197"/>
      <w:bookmarkStart w:id="650" w:name="_Toc14481"/>
      <w:bookmarkStart w:id="651" w:name="_Toc20519"/>
      <w:bookmarkStart w:id="652" w:name="_Toc1679"/>
      <w:bookmarkStart w:id="653" w:name="_Toc13349"/>
      <w:bookmarkStart w:id="654" w:name="_Toc23283"/>
      <w:bookmarkStart w:id="655" w:name="_Toc20140"/>
      <w:bookmarkStart w:id="656" w:name="_Toc20488340"/>
      <w:bookmarkStart w:id="657" w:name="_Toc13051"/>
      <w:bookmarkStart w:id="658" w:name="_Toc7213"/>
      <w:r>
        <w:rPr>
          <w:rFonts w:hint="eastAsia" w:ascii="仿宋" w:hAnsi="仿宋" w:eastAsia="仿宋"/>
          <w:color w:val="auto"/>
          <w:szCs w:val="22"/>
        </w:rPr>
        <w:t>1.采购代理机构应当在评标结束后2个工作日内将评标报告送采购人。</w:t>
      </w:r>
    </w:p>
    <w:p>
      <w:pPr>
        <w:ind w:firstLine="424"/>
        <w:rPr>
          <w:rFonts w:ascii="仿宋" w:hAnsi="仿宋" w:eastAsia="仿宋"/>
          <w:color w:val="auto"/>
          <w:szCs w:val="22"/>
        </w:rPr>
      </w:pPr>
      <w:r>
        <w:rPr>
          <w:rFonts w:hint="eastAsia" w:ascii="仿宋" w:hAnsi="仿宋" w:eastAsia="仿宋"/>
          <w:color w:val="auto"/>
          <w:szCs w:val="22"/>
        </w:rPr>
        <w:t>2.采购人应当自收到评标报告之日起2个工作日内，在评标报告确定的中标候选人名单中按顺序确定中标人。</w:t>
      </w:r>
    </w:p>
    <w:p>
      <w:pPr>
        <w:ind w:firstLine="424"/>
        <w:rPr>
          <w:rFonts w:ascii="仿宋" w:hAnsi="仿宋" w:eastAsia="仿宋"/>
          <w:color w:val="auto"/>
          <w:szCs w:val="22"/>
        </w:rPr>
      </w:pPr>
      <w:r>
        <w:rPr>
          <w:rFonts w:hint="eastAsia" w:ascii="仿宋" w:hAnsi="仿宋" w:eastAsia="仿宋"/>
          <w:color w:val="auto"/>
          <w:szCs w:val="22"/>
        </w:rPr>
        <w:t>中标候选人并列的，由采购人或者采购人委托评标委员会按照招标文件规定的方式确定中标人；招标文件未规定的，采取随机抽取的方式确定。</w:t>
      </w:r>
    </w:p>
    <w:p>
      <w:pPr>
        <w:ind w:firstLine="424"/>
        <w:rPr>
          <w:rFonts w:ascii="仿宋" w:hAnsi="仿宋" w:eastAsia="仿宋"/>
          <w:color w:val="auto"/>
          <w:szCs w:val="22"/>
        </w:rPr>
      </w:pPr>
      <w:r>
        <w:rPr>
          <w:rFonts w:hint="eastAsia" w:ascii="仿宋" w:hAnsi="仿宋" w:eastAsia="仿宋"/>
          <w:color w:val="auto"/>
          <w:szCs w:val="22"/>
        </w:rPr>
        <w:t>采购人在收到评标报告2个工作日内未按评标报告推荐的中标候选人顺序确定中标人，又不能说明合法理由的，视同按评标报告推荐的顺序确定排名第一的中标候选人为中标人。</w:t>
      </w:r>
    </w:p>
    <w:p>
      <w:pPr>
        <w:ind w:firstLine="424"/>
        <w:rPr>
          <w:rFonts w:ascii="仿宋" w:hAnsi="仿宋" w:eastAsia="仿宋"/>
          <w:color w:val="auto"/>
          <w:szCs w:val="22"/>
        </w:rPr>
      </w:pPr>
      <w:r>
        <w:rPr>
          <w:rFonts w:hint="eastAsia" w:ascii="仿宋" w:hAnsi="仿宋" w:eastAsia="仿宋"/>
          <w:color w:val="auto"/>
          <w:szCs w:val="22"/>
        </w:rPr>
        <w:t>3.采购人或者采购代理机构应当自中标人确定之日起1个工作日内，在重庆市政府采购网上公告中标结果。中标公告期限为1个工作日。</w:t>
      </w:r>
    </w:p>
    <w:p>
      <w:pPr>
        <w:ind w:firstLine="424"/>
        <w:rPr>
          <w:rFonts w:ascii="仿宋" w:hAnsi="仿宋" w:eastAsia="仿宋"/>
          <w:color w:val="auto"/>
          <w:szCs w:val="22"/>
        </w:rPr>
      </w:pPr>
      <w:r>
        <w:rPr>
          <w:rFonts w:hint="eastAsia" w:ascii="仿宋" w:hAnsi="仿宋" w:eastAsia="仿宋"/>
          <w:color w:val="auto"/>
          <w:szCs w:val="22"/>
        </w:rPr>
        <w:t>4.中标人变更</w:t>
      </w:r>
    </w:p>
    <w:p>
      <w:pPr>
        <w:ind w:firstLine="424"/>
        <w:rPr>
          <w:rFonts w:ascii="仿宋" w:hAnsi="仿宋" w:eastAsia="仿宋"/>
          <w:color w:val="auto"/>
          <w:szCs w:val="22"/>
        </w:rPr>
      </w:pPr>
      <w:r>
        <w:rPr>
          <w:rFonts w:hint="eastAsia" w:ascii="仿宋" w:hAnsi="仿宋" w:eastAsia="仿宋"/>
          <w:color w:val="auto"/>
          <w:szCs w:val="22"/>
        </w:rPr>
        <w:t>中标人拒绝与采购人签订合同的，采购人可以按照评标报告推荐的中标候选人顺序，确定下一位的候选人为中标人，也可以重新开展政府采购活动。</w:t>
      </w:r>
    </w:p>
    <w:p>
      <w:pPr>
        <w:pStyle w:val="4"/>
        <w:spacing w:before="190" w:after="190"/>
        <w:ind w:firstLine="506"/>
        <w:rPr>
          <w:rFonts w:ascii="仿宋" w:hAnsi="仿宋" w:eastAsia="仿宋"/>
          <w:color w:val="auto"/>
          <w:szCs w:val="22"/>
        </w:rPr>
      </w:pPr>
      <w:bookmarkStart w:id="659" w:name="_Toc10388"/>
      <w:r>
        <w:rPr>
          <w:rFonts w:hint="eastAsia" w:ascii="仿宋" w:hAnsi="仿宋" w:eastAsia="仿宋"/>
          <w:color w:val="auto"/>
          <w:szCs w:val="22"/>
        </w:rPr>
        <w:t>七、中标</w:t>
      </w:r>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p>
    <w:p>
      <w:pPr>
        <w:ind w:firstLine="424"/>
        <w:rPr>
          <w:rFonts w:ascii="仿宋" w:hAnsi="仿宋" w:eastAsia="仿宋"/>
          <w:color w:val="auto"/>
          <w:szCs w:val="22"/>
        </w:rPr>
      </w:pPr>
      <w:r>
        <w:rPr>
          <w:rFonts w:hint="eastAsia" w:ascii="仿宋" w:hAnsi="仿宋" w:eastAsia="仿宋"/>
          <w:color w:val="auto"/>
          <w:szCs w:val="22"/>
        </w:rPr>
        <w:t>（一）在公告中标结果的同时，采购人或者采购代理机构应当向中标人发出中标通知书。</w:t>
      </w:r>
    </w:p>
    <w:p>
      <w:pPr>
        <w:ind w:firstLine="424"/>
        <w:rPr>
          <w:rFonts w:ascii="仿宋" w:hAnsi="仿宋" w:eastAsia="仿宋"/>
          <w:color w:val="auto"/>
          <w:szCs w:val="22"/>
        </w:rPr>
      </w:pPr>
      <w:bookmarkStart w:id="660" w:name="_Toc3020"/>
      <w:bookmarkStart w:id="661" w:name="_Toc24538"/>
      <w:bookmarkStart w:id="662" w:name="_Toc63600435"/>
      <w:bookmarkStart w:id="663" w:name="_Toc29275"/>
      <w:bookmarkStart w:id="664" w:name="_Toc27782"/>
      <w:bookmarkStart w:id="665" w:name="_Toc12721"/>
      <w:bookmarkStart w:id="666" w:name="_Toc20489897"/>
      <w:bookmarkStart w:id="667" w:name="_Toc409189637"/>
      <w:bookmarkStart w:id="668" w:name="_Toc20588"/>
      <w:bookmarkStart w:id="669" w:name="_Toc7721"/>
      <w:bookmarkStart w:id="670" w:name="_Toc28774"/>
      <w:bookmarkStart w:id="671" w:name="_Toc21190"/>
      <w:bookmarkStart w:id="672" w:name="_Toc26606"/>
      <w:bookmarkStart w:id="673" w:name="_Toc4913"/>
      <w:bookmarkStart w:id="674" w:name="_Toc20488341"/>
      <w:bookmarkStart w:id="675" w:name="_Toc5008"/>
      <w:r>
        <w:rPr>
          <w:rFonts w:hint="eastAsia" w:ascii="仿宋" w:hAnsi="仿宋" w:eastAsia="仿宋"/>
          <w:color w:val="auto"/>
          <w:szCs w:val="22"/>
        </w:rPr>
        <w:t>（二）中标通知书发出后，采购人改变中标结果，或者中标人放弃中标，应当承担相应的法律责任。</w:t>
      </w:r>
    </w:p>
    <w:p>
      <w:pPr>
        <w:pStyle w:val="4"/>
        <w:spacing w:before="190" w:after="190"/>
        <w:ind w:firstLine="506"/>
        <w:rPr>
          <w:rFonts w:ascii="仿宋" w:hAnsi="仿宋" w:eastAsia="仿宋"/>
          <w:color w:val="auto"/>
          <w:szCs w:val="22"/>
        </w:rPr>
      </w:pPr>
      <w:bookmarkStart w:id="676" w:name="_Toc14960"/>
      <w:r>
        <w:rPr>
          <w:rFonts w:hint="eastAsia" w:ascii="仿宋" w:hAnsi="仿宋" w:eastAsia="仿宋"/>
          <w:color w:val="auto"/>
          <w:szCs w:val="22"/>
        </w:rPr>
        <w:t>八、询问、质疑和投诉</w:t>
      </w:r>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pPr>
        <w:ind w:firstLine="424"/>
        <w:rPr>
          <w:rFonts w:ascii="仿宋" w:hAnsi="仿宋" w:eastAsia="仿宋"/>
          <w:color w:val="auto"/>
        </w:rPr>
      </w:pPr>
      <w:r>
        <w:rPr>
          <w:rFonts w:hint="eastAsia" w:ascii="仿宋" w:hAnsi="仿宋" w:eastAsia="仿宋"/>
          <w:color w:val="auto"/>
        </w:rPr>
        <w:t>（一）询问</w:t>
      </w:r>
    </w:p>
    <w:p>
      <w:pPr>
        <w:ind w:firstLine="424"/>
        <w:rPr>
          <w:rFonts w:ascii="仿宋" w:hAnsi="仿宋" w:eastAsia="仿宋"/>
          <w:color w:val="auto"/>
        </w:rPr>
      </w:pPr>
      <w:r>
        <w:rPr>
          <w:rFonts w:hint="eastAsia" w:ascii="仿宋" w:hAnsi="仿宋" w:eastAsia="仿宋"/>
          <w:color w:val="auto"/>
        </w:rPr>
        <w:t>采购人或者采购代理机构应当在3个工作日内对投标人依法提出的询问作出答复。投标人询问可以是口头或书面形式。</w:t>
      </w:r>
    </w:p>
    <w:p>
      <w:pPr>
        <w:ind w:firstLine="424"/>
        <w:rPr>
          <w:rFonts w:ascii="仿宋" w:hAnsi="仿宋" w:eastAsia="仿宋"/>
          <w:color w:val="auto"/>
        </w:rPr>
      </w:pPr>
      <w:r>
        <w:rPr>
          <w:rFonts w:hint="eastAsia" w:ascii="仿宋" w:hAnsi="仿宋" w:eastAsia="仿宋"/>
          <w:color w:val="auto"/>
        </w:rPr>
        <w:t>（二）质疑</w:t>
      </w:r>
    </w:p>
    <w:p>
      <w:pPr>
        <w:ind w:firstLine="424"/>
        <w:rPr>
          <w:rFonts w:ascii="仿宋" w:hAnsi="仿宋" w:eastAsia="仿宋"/>
          <w:color w:val="auto"/>
        </w:rPr>
      </w:pPr>
      <w:r>
        <w:rPr>
          <w:rFonts w:hint="eastAsia" w:ascii="仿宋" w:hAnsi="仿宋" w:eastAsia="仿宋"/>
          <w:color w:val="auto"/>
        </w:rPr>
        <w:t>投标人认为采购文件、采购过程和中标结果使自己的权益受到伤害的，可向采购人或采购代理机构以书面形式提出质疑。</w:t>
      </w:r>
    </w:p>
    <w:p>
      <w:pPr>
        <w:ind w:firstLine="424"/>
        <w:rPr>
          <w:rFonts w:ascii="仿宋" w:hAnsi="仿宋" w:eastAsia="仿宋"/>
          <w:color w:val="auto"/>
        </w:rPr>
      </w:pPr>
      <w:r>
        <w:rPr>
          <w:rFonts w:hint="eastAsia" w:ascii="仿宋" w:hAnsi="仿宋" w:eastAsia="仿宋"/>
          <w:color w:val="auto"/>
        </w:rPr>
        <w:t xml:space="preserve">提出质疑的应当是参与所质疑项目采购活动的投标人。 </w:t>
      </w:r>
    </w:p>
    <w:p>
      <w:pPr>
        <w:ind w:firstLine="424"/>
        <w:rPr>
          <w:rFonts w:ascii="仿宋" w:hAnsi="仿宋" w:eastAsia="仿宋"/>
          <w:color w:val="auto"/>
        </w:rPr>
      </w:pPr>
      <w:r>
        <w:rPr>
          <w:rFonts w:hint="eastAsia" w:ascii="仿宋" w:hAnsi="仿宋" w:eastAsia="仿宋"/>
          <w:color w:val="auto"/>
        </w:rPr>
        <w:t>1.质疑时限、内容</w:t>
      </w:r>
    </w:p>
    <w:p>
      <w:pPr>
        <w:ind w:firstLine="424"/>
        <w:rPr>
          <w:rFonts w:ascii="仿宋" w:hAnsi="仿宋" w:eastAsia="仿宋"/>
          <w:color w:val="auto"/>
        </w:rPr>
      </w:pPr>
      <w:r>
        <w:rPr>
          <w:rFonts w:hint="eastAsia" w:ascii="仿宋" w:hAnsi="仿宋" w:eastAsia="仿宋"/>
          <w:color w:val="auto"/>
        </w:rPr>
        <w:t>1.1投标人对招标文件提出质疑的，应在依法获取招标文件之日或者招标文件公告期限届满之日起七个工作日内提出。</w:t>
      </w:r>
    </w:p>
    <w:p>
      <w:pPr>
        <w:ind w:firstLine="424"/>
        <w:rPr>
          <w:rFonts w:ascii="仿宋" w:hAnsi="仿宋" w:eastAsia="仿宋"/>
          <w:color w:val="auto"/>
        </w:rPr>
      </w:pPr>
      <w:r>
        <w:rPr>
          <w:rFonts w:hint="eastAsia" w:ascii="仿宋" w:hAnsi="仿宋" w:eastAsia="仿宋"/>
          <w:color w:val="auto"/>
        </w:rPr>
        <w:t>1.2投标人对采购过程提出质疑的，应在各采购程序环节结束之日起七个工作日内提出。</w:t>
      </w:r>
    </w:p>
    <w:p>
      <w:pPr>
        <w:ind w:firstLine="424"/>
        <w:rPr>
          <w:rFonts w:ascii="仿宋" w:hAnsi="仿宋" w:eastAsia="仿宋"/>
          <w:color w:val="auto"/>
        </w:rPr>
      </w:pPr>
      <w:r>
        <w:rPr>
          <w:rFonts w:hint="eastAsia" w:ascii="仿宋" w:hAnsi="仿宋" w:eastAsia="仿宋"/>
          <w:color w:val="auto"/>
        </w:rPr>
        <w:t>1.3投标人对中标结果提出质疑的，应当在中标结果公告期限届满之日起七个工作日内提出。</w:t>
      </w:r>
    </w:p>
    <w:p>
      <w:pPr>
        <w:ind w:firstLine="424"/>
        <w:rPr>
          <w:rFonts w:ascii="仿宋" w:hAnsi="仿宋" w:eastAsia="仿宋"/>
          <w:color w:val="auto"/>
        </w:rPr>
      </w:pPr>
      <w:r>
        <w:rPr>
          <w:rFonts w:hint="eastAsia" w:ascii="仿宋" w:hAnsi="仿宋" w:eastAsia="仿宋"/>
          <w:color w:val="auto"/>
        </w:rPr>
        <w:t>1.4投标人提出质疑应当提交质疑函和必要的证明材料，质疑函应当包括下列内容：</w:t>
      </w:r>
    </w:p>
    <w:p>
      <w:pPr>
        <w:ind w:firstLine="424"/>
        <w:rPr>
          <w:rFonts w:ascii="仿宋" w:hAnsi="仿宋" w:eastAsia="仿宋"/>
          <w:color w:val="auto"/>
        </w:rPr>
      </w:pPr>
      <w:r>
        <w:rPr>
          <w:rFonts w:hint="eastAsia" w:ascii="仿宋" w:hAnsi="仿宋" w:eastAsia="仿宋"/>
          <w:color w:val="auto"/>
        </w:rPr>
        <w:t>1.4.1供应商的姓名或者名称、地址、邮编、联系人及联系电话；</w:t>
      </w:r>
    </w:p>
    <w:p>
      <w:pPr>
        <w:ind w:firstLine="424"/>
        <w:rPr>
          <w:rFonts w:ascii="仿宋" w:hAnsi="仿宋" w:eastAsia="仿宋"/>
          <w:color w:val="auto"/>
        </w:rPr>
      </w:pPr>
      <w:r>
        <w:rPr>
          <w:rFonts w:hint="eastAsia" w:ascii="仿宋" w:hAnsi="仿宋" w:eastAsia="仿宋"/>
          <w:color w:val="auto"/>
        </w:rPr>
        <w:t>1.4.2质疑项目的名称、项目编号以及采购执行编号；</w:t>
      </w:r>
    </w:p>
    <w:p>
      <w:pPr>
        <w:ind w:firstLine="424"/>
        <w:rPr>
          <w:rFonts w:ascii="仿宋" w:hAnsi="仿宋" w:eastAsia="仿宋"/>
          <w:color w:val="auto"/>
        </w:rPr>
      </w:pPr>
      <w:r>
        <w:rPr>
          <w:rFonts w:hint="eastAsia" w:ascii="仿宋" w:hAnsi="仿宋" w:eastAsia="仿宋"/>
          <w:color w:val="auto"/>
        </w:rPr>
        <w:t>1.4.3具体、明确的质疑事项和与质疑事项相关的请求；</w:t>
      </w:r>
    </w:p>
    <w:p>
      <w:pPr>
        <w:ind w:firstLine="424"/>
        <w:rPr>
          <w:rFonts w:ascii="仿宋" w:hAnsi="仿宋" w:eastAsia="仿宋"/>
          <w:color w:val="auto"/>
        </w:rPr>
      </w:pPr>
      <w:r>
        <w:rPr>
          <w:rFonts w:hint="eastAsia" w:ascii="仿宋" w:hAnsi="仿宋" w:eastAsia="仿宋"/>
          <w:color w:val="auto"/>
        </w:rPr>
        <w:t>1.4.4事实依据；</w:t>
      </w:r>
    </w:p>
    <w:p>
      <w:pPr>
        <w:ind w:firstLine="424"/>
        <w:rPr>
          <w:rFonts w:ascii="仿宋" w:hAnsi="仿宋" w:eastAsia="仿宋"/>
          <w:color w:val="auto"/>
        </w:rPr>
      </w:pPr>
      <w:r>
        <w:rPr>
          <w:rFonts w:hint="eastAsia" w:ascii="仿宋" w:hAnsi="仿宋" w:eastAsia="仿宋"/>
          <w:color w:val="auto"/>
        </w:rPr>
        <w:t>1.4.5必要的法律依据；</w:t>
      </w:r>
    </w:p>
    <w:p>
      <w:pPr>
        <w:ind w:firstLine="424"/>
        <w:rPr>
          <w:rFonts w:ascii="仿宋" w:hAnsi="仿宋" w:eastAsia="仿宋"/>
          <w:color w:val="auto"/>
        </w:rPr>
      </w:pPr>
      <w:r>
        <w:rPr>
          <w:rFonts w:hint="eastAsia" w:ascii="仿宋" w:hAnsi="仿宋" w:eastAsia="仿宋"/>
          <w:color w:val="auto"/>
        </w:rPr>
        <w:t>1.4.6提出质疑的日期；</w:t>
      </w:r>
    </w:p>
    <w:p>
      <w:pPr>
        <w:ind w:firstLine="424"/>
        <w:rPr>
          <w:rFonts w:ascii="仿宋" w:hAnsi="仿宋" w:eastAsia="仿宋"/>
          <w:color w:val="auto"/>
        </w:rPr>
      </w:pPr>
      <w:r>
        <w:rPr>
          <w:rFonts w:hint="eastAsia" w:ascii="仿宋" w:hAnsi="仿宋" w:eastAsia="仿宋"/>
          <w:color w:val="auto"/>
        </w:rPr>
        <w:t>1.4.7营业执照（或事业单位法人证书，或个体工商户营业执照或有效的自然人身份证明）复印件；</w:t>
      </w:r>
    </w:p>
    <w:p>
      <w:pPr>
        <w:ind w:firstLine="424"/>
        <w:rPr>
          <w:rFonts w:ascii="仿宋" w:hAnsi="仿宋" w:eastAsia="仿宋"/>
          <w:color w:val="auto"/>
        </w:rPr>
      </w:pPr>
      <w:r>
        <w:rPr>
          <w:rFonts w:hint="eastAsia" w:ascii="仿宋" w:hAnsi="仿宋" w:eastAsia="仿宋"/>
          <w:color w:val="auto"/>
        </w:rPr>
        <w:t>1.4.8法定代表人授权委托书原件、法定代表人身份证复印件和其授权代表的身份证复印件（供应商为自然人的提供自然人身份证复印件）；</w:t>
      </w:r>
    </w:p>
    <w:p>
      <w:pPr>
        <w:ind w:firstLine="424"/>
        <w:rPr>
          <w:rFonts w:ascii="仿宋" w:hAnsi="仿宋" w:eastAsia="仿宋"/>
          <w:color w:val="auto"/>
        </w:rPr>
      </w:pPr>
      <w:r>
        <w:rPr>
          <w:rFonts w:hint="eastAsia" w:ascii="仿宋" w:hAnsi="仿宋" w:eastAsia="仿宋"/>
          <w:color w:val="auto"/>
        </w:rPr>
        <w:t>1.5供应商为自然人的，质疑函应当由本人签字；供应商为法人或者其他组织的，质疑函应当由法定代表人、主要负责人，或者其授权代表签字或者盖章，并加盖公章。</w:t>
      </w:r>
    </w:p>
    <w:p>
      <w:pPr>
        <w:ind w:firstLine="424"/>
        <w:rPr>
          <w:rFonts w:ascii="仿宋" w:hAnsi="仿宋" w:eastAsia="仿宋"/>
          <w:color w:val="auto"/>
        </w:rPr>
      </w:pPr>
      <w:r>
        <w:rPr>
          <w:rFonts w:hint="eastAsia" w:ascii="仿宋" w:hAnsi="仿宋" w:eastAsia="仿宋"/>
          <w:color w:val="auto"/>
        </w:rPr>
        <w:t>2.质疑答复</w:t>
      </w:r>
    </w:p>
    <w:p>
      <w:pPr>
        <w:ind w:firstLine="424"/>
        <w:rPr>
          <w:rFonts w:ascii="仿宋" w:hAnsi="仿宋" w:eastAsia="仿宋"/>
          <w:color w:val="auto"/>
        </w:rPr>
      </w:pPr>
      <w:r>
        <w:rPr>
          <w:rFonts w:ascii="仿宋" w:hAnsi="仿宋" w:eastAsia="仿宋"/>
          <w:color w:val="auto"/>
        </w:rPr>
        <w:t>采购人、采购代理机构不得拒收质疑供应商在法定质疑期内发出的质疑函，应当在收到质疑函后7个工作日内作出答复，并以书面形式通知质疑供应商和其他有关供应商。</w:t>
      </w:r>
    </w:p>
    <w:p>
      <w:pPr>
        <w:ind w:firstLine="424"/>
        <w:rPr>
          <w:rFonts w:ascii="仿宋" w:hAnsi="仿宋" w:eastAsia="仿宋"/>
          <w:color w:val="auto"/>
        </w:rPr>
      </w:pPr>
      <w:r>
        <w:rPr>
          <w:rFonts w:hint="eastAsia" w:ascii="仿宋" w:hAnsi="仿宋" w:eastAsia="仿宋"/>
          <w:color w:val="auto"/>
        </w:rPr>
        <w:t>3.其他</w:t>
      </w:r>
    </w:p>
    <w:p>
      <w:pPr>
        <w:ind w:firstLine="424"/>
        <w:rPr>
          <w:rFonts w:ascii="仿宋" w:hAnsi="仿宋" w:eastAsia="仿宋"/>
          <w:color w:val="auto"/>
        </w:rPr>
      </w:pPr>
      <w:r>
        <w:rPr>
          <w:rFonts w:hint="eastAsia" w:ascii="仿宋" w:hAnsi="仿宋" w:eastAsia="仿宋"/>
          <w:color w:val="auto"/>
        </w:rPr>
        <w:t>3.1投标人应按照《政府采购质疑和投诉办法》（财政部令第94号）及相关法律法规要求，在法定质疑期内一次性提出针对同一采购程序环节的质疑。</w:t>
      </w:r>
    </w:p>
    <w:p>
      <w:pPr>
        <w:ind w:firstLine="424"/>
        <w:rPr>
          <w:rFonts w:ascii="仿宋" w:hAnsi="仿宋" w:eastAsia="仿宋"/>
          <w:color w:val="auto"/>
        </w:rPr>
      </w:pPr>
      <w:r>
        <w:rPr>
          <w:rFonts w:hint="eastAsia" w:ascii="仿宋" w:hAnsi="仿宋" w:eastAsia="仿宋"/>
          <w:color w:val="auto"/>
        </w:rPr>
        <w:t>3.2质疑函范本可在财政部门户网站、中国政府采购网</w:t>
      </w:r>
      <w:bookmarkStart w:id="677" w:name="_Hlk84610053"/>
      <w:r>
        <w:rPr>
          <w:rFonts w:hint="eastAsia" w:ascii="仿宋" w:hAnsi="仿宋" w:eastAsia="仿宋"/>
          <w:color w:val="auto"/>
        </w:rPr>
        <w:t>和重庆市政府采购网</w:t>
      </w:r>
      <w:bookmarkEnd w:id="677"/>
      <w:r>
        <w:rPr>
          <w:rFonts w:hint="eastAsia" w:ascii="仿宋" w:hAnsi="仿宋" w:eastAsia="仿宋"/>
          <w:color w:val="auto"/>
        </w:rPr>
        <w:t>下载。</w:t>
      </w:r>
    </w:p>
    <w:p>
      <w:pPr>
        <w:ind w:firstLine="424"/>
        <w:rPr>
          <w:rFonts w:ascii="仿宋" w:hAnsi="仿宋" w:eastAsia="仿宋"/>
          <w:color w:val="auto"/>
        </w:rPr>
      </w:pPr>
      <w:r>
        <w:rPr>
          <w:rFonts w:hint="eastAsia" w:ascii="仿宋" w:hAnsi="仿宋" w:eastAsia="仿宋"/>
          <w:color w:val="auto"/>
        </w:rPr>
        <w:t>4.质疑联系方式详见第一篇“联系方式”。</w:t>
      </w:r>
    </w:p>
    <w:p>
      <w:pPr>
        <w:ind w:firstLine="424"/>
        <w:rPr>
          <w:rFonts w:ascii="仿宋" w:hAnsi="仿宋" w:eastAsia="仿宋"/>
          <w:color w:val="auto"/>
        </w:rPr>
      </w:pPr>
      <w:r>
        <w:rPr>
          <w:rFonts w:hint="eastAsia" w:ascii="仿宋" w:hAnsi="仿宋" w:eastAsia="仿宋"/>
          <w:color w:val="auto"/>
        </w:rPr>
        <w:t>（三）投诉</w:t>
      </w:r>
    </w:p>
    <w:p>
      <w:pPr>
        <w:ind w:firstLine="424"/>
        <w:rPr>
          <w:rFonts w:ascii="仿宋" w:hAnsi="仿宋" w:eastAsia="仿宋"/>
          <w:color w:val="auto"/>
        </w:rPr>
      </w:pPr>
      <w:r>
        <w:rPr>
          <w:rFonts w:hint="eastAsia" w:ascii="仿宋" w:hAnsi="仿宋" w:eastAsia="仿宋"/>
          <w:color w:val="auto"/>
        </w:rPr>
        <w:t>1.投标人对采购人、采购代理机构的答复不满意，或者采购人、采购代理机构未在规定时间内作出答复的，可以在答复期满后15个工作日内按照相关法律法规向财政部门提起投诉。</w:t>
      </w:r>
    </w:p>
    <w:p>
      <w:pPr>
        <w:ind w:firstLine="424"/>
        <w:rPr>
          <w:rFonts w:ascii="仿宋" w:hAnsi="仿宋" w:eastAsia="仿宋"/>
          <w:color w:val="auto"/>
        </w:rPr>
      </w:pPr>
      <w:r>
        <w:rPr>
          <w:rFonts w:hint="eastAsia" w:ascii="仿宋" w:hAnsi="仿宋" w:eastAsia="仿宋"/>
          <w:color w:val="auto"/>
        </w:rPr>
        <w:t>2.投标人应按照《政府采购质疑和投诉办法》（财政部令第94号）及相关法律法规要求递交投诉书和必要的证明材料。投诉书范本可在财政部门户网站、中国政府采购网和重庆市政府采购网下载。</w:t>
      </w:r>
    </w:p>
    <w:p>
      <w:pPr>
        <w:ind w:firstLine="424"/>
        <w:rPr>
          <w:rFonts w:ascii="仿宋" w:hAnsi="仿宋" w:eastAsia="仿宋"/>
          <w:color w:val="auto"/>
        </w:rPr>
      </w:pPr>
      <w:r>
        <w:rPr>
          <w:rFonts w:hint="eastAsia" w:ascii="仿宋" w:hAnsi="仿宋" w:eastAsia="仿宋"/>
          <w:color w:val="auto"/>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pPr>
        <w:ind w:firstLine="424"/>
        <w:rPr>
          <w:rFonts w:ascii="仿宋" w:hAnsi="仿宋" w:eastAsia="仿宋"/>
          <w:color w:val="auto"/>
        </w:rPr>
      </w:pPr>
      <w:r>
        <w:rPr>
          <w:rFonts w:hint="eastAsia" w:ascii="仿宋" w:hAnsi="仿宋" w:eastAsia="仿宋"/>
          <w:color w:val="auto"/>
        </w:rPr>
        <w:t>4.在确定受理投诉后，财政部门自受理投诉之日起30个工作日内（需要检验、检测、鉴定、专家评审以及需要投诉人补正材料的，所需时间不计算在投诉处理期限内）对投诉事项做出处理决定。</w:t>
      </w:r>
    </w:p>
    <w:p>
      <w:pPr>
        <w:pStyle w:val="4"/>
        <w:spacing w:before="190" w:after="190"/>
        <w:ind w:firstLine="506"/>
        <w:rPr>
          <w:rFonts w:ascii="仿宋" w:hAnsi="仿宋" w:eastAsia="仿宋"/>
          <w:color w:val="auto"/>
          <w:szCs w:val="22"/>
        </w:rPr>
      </w:pPr>
      <w:bookmarkStart w:id="678" w:name="_Toc20489898"/>
      <w:bookmarkStart w:id="679" w:name="_Toc11667"/>
      <w:bookmarkStart w:id="680" w:name="_Toc495592668"/>
      <w:bookmarkStart w:id="681" w:name="_Toc30244"/>
      <w:bookmarkStart w:id="682" w:name="_Toc10283"/>
      <w:bookmarkStart w:id="683" w:name="_Toc17309"/>
      <w:bookmarkStart w:id="684" w:name="_Toc20488342"/>
      <w:bookmarkStart w:id="685" w:name="_Toc2430"/>
      <w:bookmarkStart w:id="686" w:name="_Toc8583"/>
      <w:bookmarkStart w:id="687" w:name="_Toc6609"/>
      <w:bookmarkStart w:id="688" w:name="_Toc63600436"/>
      <w:bookmarkStart w:id="689" w:name="_Toc22300"/>
      <w:bookmarkStart w:id="690" w:name="_Toc9319"/>
      <w:bookmarkStart w:id="691" w:name="_Toc5199"/>
      <w:bookmarkStart w:id="692" w:name="_Toc31800"/>
      <w:bookmarkStart w:id="693" w:name="_Toc12603"/>
      <w:bookmarkStart w:id="694" w:name="_Toc10492"/>
      <w:bookmarkStart w:id="695" w:name="_Toc16127"/>
      <w:r>
        <w:rPr>
          <w:rFonts w:hint="eastAsia" w:ascii="仿宋" w:hAnsi="仿宋" w:eastAsia="仿宋"/>
          <w:color w:val="auto"/>
          <w:szCs w:val="22"/>
        </w:rPr>
        <w:t>九、签订合同</w:t>
      </w:r>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p>
    <w:p>
      <w:pPr>
        <w:ind w:firstLine="424"/>
        <w:rPr>
          <w:rFonts w:ascii="仿宋" w:hAnsi="仿宋" w:eastAsia="仿宋"/>
          <w:color w:val="auto"/>
          <w:szCs w:val="22"/>
        </w:rPr>
      </w:pPr>
      <w:bookmarkStart w:id="696" w:name="_Toc14445"/>
      <w:bookmarkStart w:id="697" w:name="_Toc63600437"/>
      <w:bookmarkStart w:id="698" w:name="_Toc15407"/>
      <w:bookmarkStart w:id="699" w:name="_Toc9279"/>
      <w:bookmarkStart w:id="700" w:name="_Toc11697"/>
      <w:bookmarkStart w:id="701" w:name="_Toc913"/>
      <w:bookmarkStart w:id="702" w:name="_Toc4"/>
      <w:bookmarkStart w:id="703" w:name="_Toc20083"/>
      <w:bookmarkStart w:id="704" w:name="_Toc17207"/>
      <w:bookmarkStart w:id="705" w:name="_Toc24741"/>
      <w:bookmarkStart w:id="706" w:name="_Toc530"/>
      <w:bookmarkStart w:id="707" w:name="_Toc20489899"/>
      <w:bookmarkStart w:id="708" w:name="_Toc17389"/>
      <w:bookmarkStart w:id="709" w:name="_Toc20488343"/>
      <w:bookmarkStart w:id="710" w:name="_Toc12063"/>
      <w:r>
        <w:rPr>
          <w:rFonts w:hint="eastAsia" w:ascii="仿宋" w:hAnsi="仿宋" w:eastAsia="仿宋"/>
          <w:color w:val="auto"/>
          <w:szCs w:val="22"/>
        </w:rPr>
        <w:t>（一）采购人原则上应在中标通知书发出之日起10日内和中标人签订政府采购合同，无正当理由不得拒绝或拖延合同签订。所签订的合同不得对招标文件和中标人投标文件作实质性修改。其他未尽事宜由采购人和中标人在采购合同中详细约定。巴南区政府采购中心为合同见证方，负责政府采购合同的备案。</w:t>
      </w:r>
    </w:p>
    <w:p>
      <w:pPr>
        <w:ind w:firstLine="424"/>
        <w:rPr>
          <w:rFonts w:ascii="仿宋" w:hAnsi="仿宋" w:eastAsia="仿宋"/>
          <w:color w:val="auto"/>
          <w:szCs w:val="22"/>
        </w:rPr>
      </w:pPr>
      <w:r>
        <w:rPr>
          <w:rFonts w:hint="eastAsia" w:ascii="仿宋" w:hAnsi="仿宋" w:eastAsia="仿宋"/>
          <w:color w:val="auto"/>
          <w:szCs w:val="22"/>
        </w:rPr>
        <w:t>（二）采购人应当自合同签订之日起7个工作日内，在“政府采购业务管理系统”进行合同登记备案；2个工作日内按相关管理要求在重庆市政府采购网上公告政府采购合同，但政府采购合同中涉及国家秘密、商业秘密的内容除外。未按要求公告及备案的，应当及时进行补充公告及备案。</w:t>
      </w:r>
    </w:p>
    <w:p>
      <w:pPr>
        <w:ind w:firstLine="424"/>
        <w:rPr>
          <w:rFonts w:ascii="仿宋" w:hAnsi="仿宋" w:eastAsia="仿宋"/>
          <w:color w:val="auto"/>
          <w:szCs w:val="22"/>
        </w:rPr>
      </w:pPr>
      <w:r>
        <w:rPr>
          <w:rFonts w:hint="eastAsia" w:ascii="仿宋" w:hAnsi="仿宋" w:eastAsia="仿宋"/>
          <w:color w:val="auto"/>
          <w:szCs w:val="22"/>
        </w:rPr>
        <w:t>（三）招标文件、中标人的投标文件及澄清文件等，均为签订政府采购合同的依据。</w:t>
      </w:r>
    </w:p>
    <w:p>
      <w:pPr>
        <w:ind w:firstLine="424"/>
        <w:rPr>
          <w:rFonts w:ascii="仿宋" w:hAnsi="仿宋" w:eastAsia="仿宋"/>
          <w:color w:val="auto"/>
          <w:szCs w:val="22"/>
        </w:rPr>
      </w:pPr>
      <w:r>
        <w:rPr>
          <w:rFonts w:hint="eastAsia" w:ascii="仿宋" w:hAnsi="仿宋" w:eastAsia="仿宋"/>
          <w:color w:val="auto"/>
          <w:szCs w:val="22"/>
        </w:rPr>
        <w:t>（四）合同生效条款由供需双方约定，法律、行政法规规定应当办理批准、登记等手续后生效的合同，依照其规定。</w:t>
      </w:r>
    </w:p>
    <w:p>
      <w:pPr>
        <w:ind w:firstLine="424"/>
        <w:rPr>
          <w:rFonts w:ascii="仿宋" w:hAnsi="仿宋" w:eastAsia="仿宋"/>
          <w:color w:val="auto"/>
          <w:szCs w:val="22"/>
        </w:rPr>
      </w:pPr>
      <w:r>
        <w:rPr>
          <w:rFonts w:hint="eastAsia" w:ascii="仿宋" w:hAnsi="仿宋" w:eastAsia="仿宋"/>
          <w:color w:val="auto"/>
          <w:szCs w:val="22"/>
        </w:rPr>
        <w:t>（五）合同原则上应按照《重庆市政府采购合同》签订，相关单位要求适用合同通用格式版本的，应按其要求另行签订其他合同。</w:t>
      </w:r>
    </w:p>
    <w:p>
      <w:pPr>
        <w:pStyle w:val="4"/>
        <w:spacing w:before="190" w:after="190"/>
        <w:ind w:firstLine="506"/>
        <w:rPr>
          <w:rFonts w:ascii="仿宋" w:hAnsi="仿宋" w:eastAsia="仿宋"/>
          <w:color w:val="auto"/>
          <w:szCs w:val="22"/>
        </w:rPr>
      </w:pPr>
      <w:bookmarkStart w:id="711" w:name="_Toc32221"/>
      <w:r>
        <w:rPr>
          <w:rFonts w:hint="eastAsia" w:ascii="仿宋" w:hAnsi="仿宋" w:eastAsia="仿宋"/>
          <w:color w:val="auto"/>
          <w:szCs w:val="22"/>
        </w:rPr>
        <w:t>十、项目验收</w:t>
      </w:r>
      <w:bookmarkEnd w:id="711"/>
    </w:p>
    <w:p>
      <w:pPr>
        <w:ind w:firstLine="424"/>
        <w:rPr>
          <w:rFonts w:ascii="仿宋" w:hAnsi="仿宋" w:eastAsia="仿宋" w:cs="仿宋"/>
          <w:color w:val="auto"/>
        </w:rPr>
      </w:pPr>
      <w:r>
        <w:rPr>
          <w:rFonts w:hint="eastAsia" w:ascii="仿宋" w:hAnsi="仿宋" w:eastAsia="仿宋" w:cs="仿宋"/>
          <w:color w:val="auto"/>
        </w:rPr>
        <w:t>合同执行完毕，采购人或采购代理机构原则上应在7个工作日内组织履约情况验收，不得无故拖延或附加额外条件。</w:t>
      </w:r>
    </w:p>
    <w:p>
      <w:pPr>
        <w:pStyle w:val="4"/>
        <w:spacing w:before="190" w:after="190"/>
        <w:ind w:firstLine="506"/>
        <w:rPr>
          <w:rFonts w:ascii="仿宋" w:hAnsi="仿宋" w:eastAsia="仿宋"/>
          <w:color w:val="auto"/>
          <w:szCs w:val="22"/>
        </w:rPr>
      </w:pPr>
      <w:bookmarkStart w:id="712" w:name="_Toc10964"/>
      <w:r>
        <w:rPr>
          <w:rFonts w:hint="eastAsia" w:ascii="仿宋" w:hAnsi="仿宋" w:eastAsia="仿宋"/>
          <w:color w:val="auto"/>
          <w:szCs w:val="22"/>
        </w:rPr>
        <w:t>十一、政府采购信用融资</w:t>
      </w:r>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2"/>
    </w:p>
    <w:p>
      <w:pPr>
        <w:ind w:firstLine="424"/>
        <w:rPr>
          <w:rFonts w:ascii="仿宋" w:hAnsi="仿宋" w:eastAsia="仿宋"/>
          <w:color w:val="auto"/>
        </w:rPr>
      </w:pPr>
      <w:r>
        <w:rPr>
          <w:rFonts w:hint="eastAsia" w:ascii="仿宋" w:hAnsi="仿宋" w:eastAsia="仿宋"/>
          <w:color w:val="auto"/>
        </w:rPr>
        <w:t>投标人参与重庆市政府采购活动，成为中标人，并与采购人签订政府采购合同后，可按照重庆市政府采购支持中小企业信用融资办法的规定，向开展政府采购信用融资业务的银行申请贷款。具体内容详见重庆市政府采购网“信用融资”信息专栏。</w:t>
      </w:r>
    </w:p>
    <w:p>
      <w:pPr>
        <w:ind w:firstLine="424"/>
        <w:rPr>
          <w:color w:val="auto"/>
        </w:rPr>
        <w:sectPr>
          <w:pgSz w:w="11907" w:h="16840"/>
          <w:pgMar w:top="1134" w:right="1191" w:bottom="1134" w:left="1304" w:header="794" w:footer="992" w:gutter="0"/>
          <w:cols w:space="720" w:num="1"/>
          <w:docGrid w:type="linesAndChars" w:linePitch="380" w:charSpace="-5735"/>
        </w:sectPr>
      </w:pPr>
      <w:bookmarkStart w:id="713" w:name="_Toc409189639"/>
      <w:bookmarkStart w:id="714" w:name="_Toc384905082"/>
    </w:p>
    <w:p>
      <w:pPr>
        <w:pStyle w:val="3"/>
        <w:numPr>
          <w:ilvl w:val="0"/>
          <w:numId w:val="1"/>
        </w:numPr>
        <w:tabs>
          <w:tab w:val="clear" w:pos="3360"/>
        </w:tabs>
        <w:spacing w:before="196" w:after="196"/>
        <w:rPr>
          <w:rFonts w:hint="eastAsia" w:ascii="方正小标宋简体" w:eastAsia="方正小标宋简体"/>
          <w:color w:val="auto"/>
          <w:szCs w:val="22"/>
        </w:rPr>
      </w:pPr>
      <w:bookmarkStart w:id="715" w:name="_Toc14760"/>
      <w:bookmarkStart w:id="716" w:name="_Toc63600438"/>
      <w:bookmarkStart w:id="717" w:name="_Toc28618"/>
      <w:r>
        <w:rPr>
          <w:rFonts w:hint="eastAsia" w:ascii="方正小标宋简体" w:eastAsia="方正小标宋简体"/>
          <w:color w:val="auto"/>
          <w:szCs w:val="22"/>
        </w:rPr>
        <w:t>合同主要条款和格式合同（样本）</w:t>
      </w:r>
      <w:bookmarkEnd w:id="715"/>
      <w:bookmarkEnd w:id="716"/>
      <w:bookmarkEnd w:id="717"/>
    </w:p>
    <w:p>
      <w:pPr>
        <w:pStyle w:val="4"/>
        <w:spacing w:before="196" w:after="196"/>
        <w:ind w:firstLine="520"/>
        <w:rPr>
          <w:rFonts w:ascii="仿宋" w:hAnsi="仿宋" w:eastAsia="仿宋"/>
          <w:color w:val="auto"/>
          <w:szCs w:val="22"/>
        </w:rPr>
      </w:pPr>
      <w:bookmarkStart w:id="718" w:name="_Toc8379"/>
      <w:bookmarkStart w:id="719" w:name="_Toc12544"/>
      <w:bookmarkStart w:id="720" w:name="_Toc20489901"/>
      <w:bookmarkStart w:id="721" w:name="_Toc22111"/>
      <w:bookmarkStart w:id="722" w:name="_Toc16576"/>
      <w:bookmarkStart w:id="723" w:name="_Toc16797"/>
      <w:bookmarkStart w:id="724" w:name="_Toc20150"/>
      <w:bookmarkStart w:id="725" w:name="_Toc5746"/>
      <w:bookmarkStart w:id="726" w:name="_Toc2531"/>
      <w:bookmarkStart w:id="727" w:name="_Toc17260"/>
      <w:bookmarkStart w:id="728" w:name="_Toc25466"/>
      <w:bookmarkStart w:id="729" w:name="_Toc20394"/>
      <w:bookmarkStart w:id="730" w:name="_Toc21159"/>
      <w:bookmarkStart w:id="731" w:name="_Toc14588"/>
      <w:bookmarkStart w:id="732" w:name="_Toc63600439"/>
      <w:bookmarkStart w:id="733" w:name="_Toc5293"/>
      <w:r>
        <w:rPr>
          <w:rFonts w:hint="eastAsia" w:ascii="仿宋" w:hAnsi="仿宋" w:eastAsia="仿宋"/>
          <w:color w:val="auto"/>
          <w:szCs w:val="22"/>
        </w:rPr>
        <w:t>一、</w:t>
      </w:r>
      <w:bookmarkEnd w:id="718"/>
      <w:bookmarkEnd w:id="719"/>
      <w:bookmarkEnd w:id="720"/>
      <w:bookmarkEnd w:id="721"/>
      <w:bookmarkEnd w:id="722"/>
      <w:bookmarkEnd w:id="723"/>
      <w:bookmarkEnd w:id="724"/>
      <w:bookmarkEnd w:id="725"/>
      <w:bookmarkEnd w:id="726"/>
      <w:bookmarkEnd w:id="727"/>
      <w:bookmarkEnd w:id="728"/>
      <w:bookmarkEnd w:id="729"/>
      <w:bookmarkEnd w:id="730"/>
      <w:r>
        <w:rPr>
          <w:rFonts w:hint="eastAsia" w:ascii="仿宋" w:hAnsi="仿宋" w:eastAsia="仿宋"/>
          <w:color w:val="auto"/>
          <w:szCs w:val="22"/>
        </w:rPr>
        <w:t>合同主要条款</w:t>
      </w:r>
      <w:bookmarkEnd w:id="731"/>
      <w:bookmarkEnd w:id="732"/>
      <w:bookmarkEnd w:id="733"/>
    </w:p>
    <w:p>
      <w:pPr>
        <w:ind w:firstLine="438"/>
        <w:rPr>
          <w:rFonts w:ascii="仿宋" w:hAnsi="仿宋" w:eastAsia="仿宋"/>
          <w:color w:val="auto"/>
        </w:rPr>
      </w:pPr>
      <w:bookmarkStart w:id="734" w:name="_Hlk70156812"/>
      <w:r>
        <w:rPr>
          <w:rFonts w:hint="eastAsia" w:ascii="仿宋" w:hAnsi="仿宋" w:eastAsia="仿宋"/>
          <w:color w:val="auto"/>
        </w:rPr>
        <w:t>1.定义</w:t>
      </w:r>
    </w:p>
    <w:p>
      <w:pPr>
        <w:ind w:firstLine="438"/>
        <w:rPr>
          <w:rFonts w:ascii="仿宋" w:hAnsi="仿宋" w:eastAsia="仿宋"/>
          <w:color w:val="auto"/>
        </w:rPr>
      </w:pPr>
      <w:r>
        <w:rPr>
          <w:rFonts w:hint="eastAsia" w:ascii="仿宋" w:hAnsi="仿宋" w:eastAsia="仿宋"/>
          <w:color w:val="auto"/>
        </w:rPr>
        <w:t>1.1甲方（需方）即采购人，是指通过招标采购，接受合同货物及服务的各级国家机关、事业单位和团体组织。</w:t>
      </w:r>
    </w:p>
    <w:p>
      <w:pPr>
        <w:ind w:firstLine="438"/>
        <w:rPr>
          <w:rFonts w:ascii="仿宋" w:hAnsi="仿宋" w:eastAsia="仿宋"/>
          <w:color w:val="auto"/>
        </w:rPr>
      </w:pPr>
      <w:r>
        <w:rPr>
          <w:rFonts w:hint="eastAsia" w:ascii="仿宋" w:hAnsi="仿宋" w:eastAsia="仿宋"/>
          <w:color w:val="auto"/>
        </w:rPr>
        <w:t>1.2乙方（供方）即中标人，是指中标后提供合同货物和服务的自然人、法人及其他组织。</w:t>
      </w:r>
    </w:p>
    <w:p>
      <w:pPr>
        <w:ind w:firstLine="438"/>
        <w:rPr>
          <w:rFonts w:ascii="仿宋" w:hAnsi="仿宋" w:eastAsia="仿宋"/>
          <w:color w:val="auto"/>
        </w:rPr>
      </w:pPr>
      <w:r>
        <w:rPr>
          <w:rFonts w:hint="eastAsia" w:ascii="仿宋" w:hAnsi="仿宋" w:eastAsia="仿宋"/>
          <w:color w:val="auto"/>
        </w:rPr>
        <w:t>1.3合同是指由甲乙双方按照招标文件和投标文件的实质性内容，通过协商一致达成的书面协议。</w:t>
      </w:r>
    </w:p>
    <w:p>
      <w:pPr>
        <w:ind w:firstLine="438"/>
        <w:rPr>
          <w:rFonts w:ascii="仿宋" w:hAnsi="仿宋" w:eastAsia="仿宋"/>
          <w:color w:val="auto"/>
        </w:rPr>
      </w:pPr>
      <w:r>
        <w:rPr>
          <w:rFonts w:hint="eastAsia" w:ascii="仿宋" w:hAnsi="仿宋" w:eastAsia="仿宋"/>
          <w:color w:val="auto"/>
        </w:rPr>
        <w:t>1.4合同价格指以中标价格为依据，在供方全面履行合同义务后，需方（或财政部门）应支付给供方的金额。</w:t>
      </w:r>
    </w:p>
    <w:p>
      <w:pPr>
        <w:ind w:firstLine="438"/>
        <w:rPr>
          <w:rFonts w:ascii="仿宋" w:hAnsi="仿宋" w:eastAsia="仿宋"/>
          <w:color w:val="auto"/>
        </w:rPr>
      </w:pPr>
      <w:r>
        <w:rPr>
          <w:rFonts w:hint="eastAsia" w:ascii="仿宋" w:hAnsi="仿宋" w:eastAsia="仿宋"/>
          <w:color w:val="auto"/>
        </w:rPr>
        <w:t>1.5技术资料是指合同货物及其相关的设计、制造、监造、检验、验收等文件（包括图纸、各种文字说明、标准）。</w:t>
      </w:r>
    </w:p>
    <w:p>
      <w:pPr>
        <w:ind w:firstLine="438"/>
        <w:rPr>
          <w:rFonts w:ascii="仿宋" w:hAnsi="仿宋" w:eastAsia="仿宋"/>
          <w:color w:val="auto"/>
        </w:rPr>
      </w:pPr>
      <w:r>
        <w:rPr>
          <w:rFonts w:hint="eastAsia" w:ascii="仿宋" w:hAnsi="仿宋" w:eastAsia="仿宋"/>
          <w:color w:val="auto"/>
        </w:rPr>
        <w:t>2.货物内容</w:t>
      </w:r>
    </w:p>
    <w:p>
      <w:pPr>
        <w:ind w:firstLine="438"/>
        <w:rPr>
          <w:rFonts w:ascii="仿宋" w:hAnsi="仿宋" w:eastAsia="仿宋"/>
          <w:color w:val="auto"/>
        </w:rPr>
      </w:pPr>
      <w:r>
        <w:rPr>
          <w:rFonts w:hint="eastAsia" w:ascii="仿宋" w:hAnsi="仿宋" w:eastAsia="仿宋"/>
          <w:color w:val="auto"/>
        </w:rPr>
        <w:t>合同包括以下内容：货物名称、型号规格、技术参数、数量（单位）等内容。</w:t>
      </w:r>
    </w:p>
    <w:p>
      <w:pPr>
        <w:ind w:firstLine="438"/>
        <w:rPr>
          <w:rFonts w:ascii="仿宋" w:hAnsi="仿宋" w:eastAsia="仿宋"/>
          <w:color w:val="auto"/>
        </w:rPr>
      </w:pPr>
      <w:r>
        <w:rPr>
          <w:rFonts w:hint="eastAsia" w:ascii="仿宋" w:hAnsi="仿宋" w:eastAsia="仿宋"/>
          <w:color w:val="auto"/>
        </w:rPr>
        <w:t>3.合同价格</w:t>
      </w:r>
    </w:p>
    <w:p>
      <w:pPr>
        <w:ind w:firstLine="438"/>
        <w:rPr>
          <w:rFonts w:ascii="仿宋" w:hAnsi="仿宋" w:eastAsia="仿宋"/>
          <w:color w:val="auto"/>
        </w:rPr>
      </w:pPr>
      <w:r>
        <w:rPr>
          <w:rFonts w:hint="eastAsia" w:ascii="仿宋" w:hAnsi="仿宋" w:eastAsia="仿宋"/>
          <w:color w:val="auto"/>
        </w:rPr>
        <w:t>3.1合同价格即合同总价。</w:t>
      </w:r>
    </w:p>
    <w:p>
      <w:pPr>
        <w:ind w:firstLine="438"/>
        <w:rPr>
          <w:rFonts w:ascii="仿宋" w:hAnsi="仿宋" w:eastAsia="仿宋"/>
          <w:color w:val="auto"/>
        </w:rPr>
      </w:pPr>
      <w:r>
        <w:rPr>
          <w:rFonts w:hint="eastAsia" w:ascii="仿宋" w:hAnsi="仿宋" w:eastAsia="仿宋"/>
          <w:color w:val="auto"/>
        </w:rPr>
        <w:t>3.2合同价格包括合同货物、技术资料、合同货物的税费、运杂费、保险费、包装费、装卸费及与货物有关的供方应纳的税费，所有税费由乙方负担。</w:t>
      </w:r>
    </w:p>
    <w:p>
      <w:pPr>
        <w:ind w:firstLine="438"/>
        <w:rPr>
          <w:rFonts w:ascii="仿宋" w:hAnsi="仿宋" w:eastAsia="仿宋"/>
          <w:color w:val="auto"/>
        </w:rPr>
      </w:pPr>
      <w:r>
        <w:rPr>
          <w:rFonts w:hint="eastAsia" w:ascii="仿宋" w:hAnsi="仿宋" w:eastAsia="仿宋"/>
          <w:color w:val="auto"/>
        </w:rPr>
        <w:t>3.3合同货物单价为不变价。</w:t>
      </w:r>
    </w:p>
    <w:p>
      <w:pPr>
        <w:ind w:firstLine="438"/>
        <w:rPr>
          <w:rFonts w:ascii="仿宋" w:hAnsi="仿宋" w:eastAsia="仿宋"/>
          <w:color w:val="auto"/>
        </w:rPr>
      </w:pPr>
      <w:r>
        <w:rPr>
          <w:rFonts w:hint="eastAsia" w:ascii="仿宋" w:hAnsi="仿宋" w:eastAsia="仿宋"/>
          <w:color w:val="auto"/>
        </w:rPr>
        <w:t>4.转包或分包</w:t>
      </w:r>
    </w:p>
    <w:p>
      <w:pPr>
        <w:ind w:firstLine="438"/>
        <w:rPr>
          <w:rFonts w:ascii="仿宋" w:hAnsi="仿宋" w:eastAsia="仿宋"/>
          <w:color w:val="auto"/>
        </w:rPr>
      </w:pPr>
      <w:r>
        <w:rPr>
          <w:rFonts w:hint="eastAsia" w:ascii="仿宋" w:hAnsi="仿宋" w:eastAsia="仿宋"/>
          <w:color w:val="auto"/>
        </w:rPr>
        <w:t>4.1本合同范围的货物，应由乙方直接供应，不得转让他人供应；</w:t>
      </w:r>
    </w:p>
    <w:p>
      <w:pPr>
        <w:ind w:firstLine="438"/>
        <w:rPr>
          <w:rFonts w:ascii="仿宋" w:hAnsi="仿宋" w:eastAsia="仿宋"/>
          <w:color w:val="auto"/>
        </w:rPr>
      </w:pPr>
      <w:r>
        <w:rPr>
          <w:rFonts w:hint="eastAsia" w:ascii="仿宋" w:hAnsi="仿宋" w:eastAsia="仿宋"/>
          <w:color w:val="auto"/>
        </w:rPr>
        <w:t>4.2非经甲方书面同意，乙方不得将本合同范围的货物全部或部分分包给他人供应；</w:t>
      </w:r>
    </w:p>
    <w:p>
      <w:pPr>
        <w:ind w:firstLine="438"/>
        <w:rPr>
          <w:rFonts w:ascii="仿宋" w:hAnsi="仿宋" w:eastAsia="仿宋"/>
          <w:color w:val="auto"/>
        </w:rPr>
      </w:pPr>
      <w:r>
        <w:rPr>
          <w:rFonts w:hint="eastAsia" w:ascii="仿宋" w:hAnsi="仿宋" w:eastAsia="仿宋"/>
          <w:color w:val="auto"/>
        </w:rPr>
        <w:t>4.3如有转让和未经甲方同意的分包行为，甲方有权解除合同，没收履约保证金并追究乙方的违约责任。</w:t>
      </w:r>
    </w:p>
    <w:p>
      <w:pPr>
        <w:ind w:firstLine="438"/>
        <w:rPr>
          <w:rFonts w:ascii="仿宋" w:hAnsi="仿宋" w:eastAsia="仿宋"/>
          <w:color w:val="auto"/>
        </w:rPr>
      </w:pPr>
      <w:r>
        <w:rPr>
          <w:rFonts w:hint="eastAsia" w:ascii="仿宋" w:hAnsi="仿宋" w:eastAsia="仿宋"/>
          <w:color w:val="auto"/>
        </w:rPr>
        <w:t>5.质量保证及售后服务</w:t>
      </w:r>
    </w:p>
    <w:p>
      <w:pPr>
        <w:ind w:firstLine="438"/>
        <w:rPr>
          <w:rFonts w:ascii="仿宋" w:hAnsi="仿宋" w:eastAsia="仿宋"/>
          <w:color w:val="auto"/>
        </w:rPr>
      </w:pPr>
      <w:r>
        <w:rPr>
          <w:rFonts w:hint="eastAsia" w:ascii="仿宋" w:hAnsi="仿宋" w:eastAsia="仿宋"/>
          <w:color w:val="auto"/>
        </w:rPr>
        <w:t>5.1乙方应按招标文件规定的货物性能、技术要求、质量标准向甲方提供未经使用的全新产品。</w:t>
      </w:r>
    </w:p>
    <w:p>
      <w:pPr>
        <w:ind w:firstLine="438"/>
        <w:rPr>
          <w:rFonts w:ascii="仿宋" w:hAnsi="仿宋" w:eastAsia="仿宋"/>
          <w:color w:val="auto"/>
        </w:rPr>
      </w:pPr>
      <w:r>
        <w:rPr>
          <w:rFonts w:hint="eastAsia" w:ascii="仿宋" w:hAnsi="仿宋" w:eastAsia="仿宋"/>
          <w:color w:val="auto"/>
        </w:rPr>
        <w:t>5.2乙方提供的货物在质保期内因货物本身的质量问题发生故障，乙方应负责免费更换。对达不到技术要求者，根据实际情况，经双方协商，可按以下办法处理：</w:t>
      </w:r>
    </w:p>
    <w:p>
      <w:pPr>
        <w:ind w:firstLine="438"/>
        <w:rPr>
          <w:rFonts w:ascii="仿宋" w:hAnsi="仿宋" w:eastAsia="仿宋"/>
          <w:color w:val="auto"/>
        </w:rPr>
      </w:pPr>
      <w:r>
        <w:rPr>
          <w:rFonts w:hint="eastAsia" w:ascii="仿宋" w:hAnsi="仿宋" w:eastAsia="仿宋"/>
          <w:color w:val="auto"/>
        </w:rPr>
        <w:t>5.2.1更换：由乙方承担所发生的全部费用。</w:t>
      </w:r>
    </w:p>
    <w:p>
      <w:pPr>
        <w:ind w:firstLine="438"/>
        <w:rPr>
          <w:rFonts w:ascii="仿宋" w:hAnsi="仿宋" w:eastAsia="仿宋"/>
          <w:color w:val="auto"/>
        </w:rPr>
      </w:pPr>
      <w:r>
        <w:rPr>
          <w:rFonts w:hint="eastAsia" w:ascii="仿宋" w:hAnsi="仿宋" w:eastAsia="仿宋"/>
          <w:color w:val="auto"/>
        </w:rPr>
        <w:t>5.2.2贬值处理：由甲乙双方合议定价。</w:t>
      </w:r>
    </w:p>
    <w:p>
      <w:pPr>
        <w:ind w:firstLine="438"/>
        <w:rPr>
          <w:rFonts w:ascii="仿宋" w:hAnsi="仿宋" w:eastAsia="仿宋"/>
          <w:color w:val="auto"/>
        </w:rPr>
      </w:pPr>
      <w:r>
        <w:rPr>
          <w:rFonts w:hint="eastAsia" w:ascii="仿宋" w:hAnsi="仿宋" w:eastAsia="仿宋"/>
          <w:color w:val="auto"/>
        </w:rPr>
        <w:t>5.2.3退货处理：乙方应退还甲方支付的合同款，同时应承担该货物的直接费用（运输、保险、检验、货款利息及银行手续费等）。</w:t>
      </w:r>
    </w:p>
    <w:p>
      <w:pPr>
        <w:ind w:firstLine="438"/>
        <w:rPr>
          <w:rFonts w:ascii="仿宋" w:hAnsi="仿宋" w:eastAsia="仿宋"/>
          <w:color w:val="auto"/>
        </w:rPr>
      </w:pPr>
      <w:r>
        <w:rPr>
          <w:rFonts w:hint="eastAsia" w:ascii="仿宋" w:hAnsi="仿宋" w:eastAsia="仿宋"/>
          <w:color w:val="auto"/>
        </w:rPr>
        <w:t>5.3如在使用过程中发生质量问题，乙方应按本项目“第三篇 项目商务要求”中的要求处理。</w:t>
      </w:r>
    </w:p>
    <w:p>
      <w:pPr>
        <w:ind w:firstLine="438"/>
        <w:rPr>
          <w:rFonts w:ascii="仿宋" w:hAnsi="仿宋" w:eastAsia="仿宋"/>
          <w:color w:val="auto"/>
        </w:rPr>
      </w:pPr>
      <w:r>
        <w:rPr>
          <w:rFonts w:hint="eastAsia" w:ascii="仿宋" w:hAnsi="仿宋" w:eastAsia="仿宋"/>
          <w:color w:val="auto"/>
        </w:rPr>
        <w:t>5.4在质保期内，乙方应对货物出现的质量及安全问题负责处理解决并承担一切费用。</w:t>
      </w:r>
    </w:p>
    <w:p>
      <w:pPr>
        <w:ind w:firstLine="438"/>
        <w:rPr>
          <w:rFonts w:ascii="仿宋" w:hAnsi="仿宋" w:eastAsia="仿宋"/>
          <w:color w:val="auto"/>
        </w:rPr>
      </w:pPr>
      <w:r>
        <w:rPr>
          <w:rFonts w:hint="eastAsia" w:ascii="仿宋" w:hAnsi="仿宋" w:eastAsia="仿宋"/>
          <w:color w:val="auto"/>
        </w:rPr>
        <w:t>5.5 如甲方要求乙方提供履约保证金的，履约保证金的收取和退还应按本项目“第三篇 项目商务要求”中的要求处理。</w:t>
      </w:r>
    </w:p>
    <w:p>
      <w:pPr>
        <w:ind w:firstLine="438"/>
        <w:rPr>
          <w:rFonts w:ascii="仿宋" w:hAnsi="仿宋" w:eastAsia="仿宋"/>
          <w:color w:val="auto"/>
        </w:rPr>
      </w:pPr>
      <w:r>
        <w:rPr>
          <w:rFonts w:hint="eastAsia" w:ascii="仿宋" w:hAnsi="仿宋" w:eastAsia="仿宋"/>
          <w:color w:val="auto"/>
        </w:rPr>
        <w:t>6.付款</w:t>
      </w:r>
    </w:p>
    <w:p>
      <w:pPr>
        <w:ind w:firstLine="438"/>
        <w:rPr>
          <w:rFonts w:ascii="仿宋" w:hAnsi="仿宋" w:eastAsia="仿宋"/>
          <w:color w:val="auto"/>
        </w:rPr>
      </w:pPr>
      <w:r>
        <w:rPr>
          <w:rFonts w:hint="eastAsia" w:ascii="仿宋" w:hAnsi="仿宋" w:eastAsia="仿宋"/>
          <w:color w:val="auto"/>
        </w:rPr>
        <w:t>6.1本合同使用货币币制如未作特别说明均为人民币。</w:t>
      </w:r>
    </w:p>
    <w:p>
      <w:pPr>
        <w:ind w:firstLine="438"/>
        <w:rPr>
          <w:rFonts w:ascii="仿宋" w:hAnsi="仿宋" w:eastAsia="仿宋"/>
          <w:color w:val="auto"/>
        </w:rPr>
      </w:pPr>
      <w:r>
        <w:rPr>
          <w:rFonts w:hint="eastAsia" w:ascii="仿宋" w:hAnsi="仿宋" w:eastAsia="仿宋"/>
          <w:color w:val="auto"/>
        </w:rPr>
        <w:t>6.2付款方式：银行转账、现金支票。</w:t>
      </w:r>
    </w:p>
    <w:p>
      <w:pPr>
        <w:ind w:firstLine="438"/>
        <w:rPr>
          <w:rFonts w:ascii="仿宋" w:hAnsi="仿宋" w:eastAsia="仿宋"/>
          <w:color w:val="auto"/>
        </w:rPr>
      </w:pPr>
      <w:r>
        <w:rPr>
          <w:rFonts w:hint="eastAsia" w:ascii="仿宋" w:hAnsi="仿宋" w:eastAsia="仿宋"/>
          <w:color w:val="auto"/>
        </w:rPr>
        <w:t>6.3付款方法：同本项目“第三篇 商务条款”中关于付款方式的约定。</w:t>
      </w:r>
    </w:p>
    <w:p>
      <w:pPr>
        <w:ind w:firstLine="438"/>
        <w:rPr>
          <w:rFonts w:ascii="仿宋" w:hAnsi="仿宋" w:eastAsia="仿宋"/>
          <w:color w:val="auto"/>
        </w:rPr>
      </w:pPr>
      <w:r>
        <w:rPr>
          <w:rFonts w:hint="eastAsia" w:ascii="仿宋" w:hAnsi="仿宋" w:eastAsia="仿宋"/>
          <w:color w:val="auto"/>
        </w:rPr>
        <w:t>7.检查验收</w:t>
      </w:r>
    </w:p>
    <w:p>
      <w:pPr>
        <w:ind w:firstLine="438"/>
        <w:rPr>
          <w:rFonts w:ascii="仿宋" w:hAnsi="仿宋" w:eastAsia="仿宋"/>
          <w:color w:val="auto"/>
        </w:rPr>
      </w:pPr>
      <w:r>
        <w:rPr>
          <w:rFonts w:hint="eastAsia" w:ascii="仿宋" w:hAnsi="仿宋" w:eastAsia="仿宋"/>
          <w:color w:val="auto"/>
        </w:rPr>
        <w:t>7.1供方应随货物提供合格证和质量证明文件，如是国外进口的货物还须提供入关证明。</w:t>
      </w:r>
    </w:p>
    <w:p>
      <w:pPr>
        <w:ind w:firstLine="438"/>
        <w:rPr>
          <w:rFonts w:ascii="仿宋" w:hAnsi="仿宋" w:eastAsia="仿宋"/>
          <w:color w:val="auto"/>
        </w:rPr>
      </w:pPr>
      <w:r>
        <w:rPr>
          <w:rFonts w:hint="eastAsia" w:ascii="仿宋" w:hAnsi="仿宋" w:eastAsia="仿宋"/>
          <w:color w:val="auto"/>
        </w:rPr>
        <w:t>7.2货物验收</w:t>
      </w:r>
    </w:p>
    <w:p>
      <w:pPr>
        <w:ind w:firstLine="438"/>
        <w:rPr>
          <w:rFonts w:ascii="仿宋" w:hAnsi="仿宋" w:eastAsia="仿宋"/>
          <w:color w:val="auto"/>
        </w:rPr>
      </w:pPr>
      <w:r>
        <w:rPr>
          <w:rFonts w:hint="eastAsia" w:ascii="仿宋" w:hAnsi="仿宋" w:eastAsia="仿宋"/>
          <w:color w:val="auto"/>
        </w:rPr>
        <w:t>供方所交货物的各种质量指标不得低于供方提供样品的质量指标（无样品时按供方的投标时提供的“技术文件”执行），售后服务质量要求按照招标文件和投标文件的内容执行。供方交货时，需方可根据需要随机抽取一部分货物送有关权威检测部门检测，如检测不合格，供方负责赔偿需方一切损失。</w:t>
      </w:r>
    </w:p>
    <w:p>
      <w:pPr>
        <w:ind w:firstLine="438"/>
        <w:rPr>
          <w:rFonts w:ascii="仿宋" w:hAnsi="仿宋" w:eastAsia="仿宋"/>
          <w:color w:val="auto"/>
        </w:rPr>
      </w:pPr>
      <w:r>
        <w:rPr>
          <w:rFonts w:hint="eastAsia" w:ascii="仿宋" w:hAnsi="仿宋" w:eastAsia="仿宋"/>
          <w:color w:val="auto"/>
        </w:rPr>
        <w:t>7.3货物验收报告应由需方、供方经办人签字，并加盖双方公章，以此作为支付凭据。</w:t>
      </w:r>
    </w:p>
    <w:p>
      <w:pPr>
        <w:ind w:firstLine="438"/>
        <w:rPr>
          <w:rFonts w:ascii="仿宋" w:hAnsi="仿宋" w:eastAsia="仿宋"/>
          <w:color w:val="auto"/>
        </w:rPr>
      </w:pPr>
      <w:r>
        <w:rPr>
          <w:rFonts w:hint="eastAsia" w:ascii="仿宋" w:hAnsi="仿宋" w:eastAsia="仿宋"/>
          <w:color w:val="auto"/>
        </w:rPr>
        <w:t>8.索赔</w:t>
      </w:r>
    </w:p>
    <w:p>
      <w:pPr>
        <w:ind w:firstLine="438"/>
        <w:rPr>
          <w:rFonts w:ascii="仿宋" w:hAnsi="仿宋" w:eastAsia="仿宋"/>
          <w:color w:val="auto"/>
        </w:rPr>
      </w:pPr>
      <w:r>
        <w:rPr>
          <w:rFonts w:hint="eastAsia" w:ascii="仿宋" w:hAnsi="仿宋" w:eastAsia="仿宋"/>
          <w:color w:val="auto"/>
        </w:rPr>
        <w:t>供方对货物与合同要求不符负有责任，并且需方已于规定交货内和质量保证期内提出索赔，供方应按需方同意的下述一种或多种方法解决索赔事宜。</w:t>
      </w:r>
    </w:p>
    <w:p>
      <w:pPr>
        <w:ind w:firstLine="438"/>
        <w:rPr>
          <w:rFonts w:ascii="仿宋" w:hAnsi="仿宋" w:eastAsia="仿宋"/>
          <w:color w:val="auto"/>
        </w:rPr>
      </w:pPr>
      <w:r>
        <w:rPr>
          <w:rFonts w:hint="eastAsia" w:ascii="仿宋" w:hAnsi="仿宋" w:eastAsia="仿宋"/>
          <w:color w:val="auto"/>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pPr>
        <w:ind w:firstLine="438"/>
        <w:rPr>
          <w:rFonts w:ascii="仿宋" w:hAnsi="仿宋" w:eastAsia="仿宋"/>
          <w:color w:val="auto"/>
        </w:rPr>
      </w:pPr>
      <w:r>
        <w:rPr>
          <w:rFonts w:hint="eastAsia" w:ascii="仿宋" w:hAnsi="仿宋" w:eastAsia="仿宋"/>
          <w:color w:val="auto"/>
        </w:rPr>
        <w:t>8.2根据货物的疵劣和受损程度以及需方遭受损失的金额，经双方同意降低货物价格。</w:t>
      </w:r>
    </w:p>
    <w:p>
      <w:pPr>
        <w:ind w:firstLine="438"/>
        <w:rPr>
          <w:rFonts w:ascii="仿宋" w:hAnsi="仿宋" w:eastAsia="仿宋"/>
          <w:color w:val="auto"/>
        </w:rPr>
      </w:pPr>
      <w:r>
        <w:rPr>
          <w:rFonts w:hint="eastAsia" w:ascii="仿宋" w:hAnsi="仿宋" w:eastAsia="仿宋"/>
          <w:color w:val="auto"/>
        </w:rPr>
        <w:t>9.知识产权</w:t>
      </w:r>
    </w:p>
    <w:p>
      <w:pPr>
        <w:ind w:firstLine="438"/>
        <w:rPr>
          <w:rFonts w:ascii="仿宋" w:hAnsi="仿宋" w:eastAsia="仿宋"/>
          <w:color w:val="auto"/>
        </w:rPr>
      </w:pPr>
      <w:r>
        <w:rPr>
          <w:rFonts w:hint="eastAsia" w:ascii="仿宋" w:hAnsi="仿宋" w:eastAsia="仿宋"/>
          <w:color w:val="auto"/>
        </w:rPr>
        <w:t>甲方在中华人民共和国境内使用乙方提供的货物及服务时免受第三方提出的侵犯其专利权或其它知识产权的起诉。如果第三方提出侵权指控，乙方应承担由此而引起的一切法律责任和费用。</w:t>
      </w:r>
    </w:p>
    <w:p>
      <w:pPr>
        <w:ind w:firstLine="438"/>
        <w:rPr>
          <w:rFonts w:ascii="仿宋" w:hAnsi="仿宋" w:eastAsia="仿宋"/>
          <w:color w:val="auto"/>
        </w:rPr>
      </w:pPr>
      <w:r>
        <w:rPr>
          <w:rFonts w:hint="eastAsia" w:ascii="仿宋" w:hAnsi="仿宋" w:eastAsia="仿宋"/>
          <w:color w:val="auto"/>
        </w:rPr>
        <w:t>10.合同争议的解决</w:t>
      </w:r>
    </w:p>
    <w:p>
      <w:pPr>
        <w:ind w:firstLine="438"/>
        <w:rPr>
          <w:rFonts w:ascii="仿宋" w:hAnsi="仿宋" w:eastAsia="仿宋"/>
          <w:color w:val="auto"/>
        </w:rPr>
      </w:pPr>
      <w:r>
        <w:rPr>
          <w:rFonts w:hint="eastAsia" w:ascii="仿宋" w:hAnsi="仿宋" w:eastAsia="仿宋"/>
          <w:color w:val="auto"/>
        </w:rPr>
        <w:t>10.1当事人友好协商达成一致</w:t>
      </w:r>
    </w:p>
    <w:p>
      <w:pPr>
        <w:ind w:firstLine="438"/>
        <w:rPr>
          <w:rFonts w:ascii="仿宋" w:hAnsi="仿宋" w:eastAsia="仿宋"/>
          <w:color w:val="auto"/>
        </w:rPr>
      </w:pPr>
      <w:r>
        <w:rPr>
          <w:rFonts w:hint="eastAsia" w:ascii="仿宋" w:hAnsi="仿宋" w:eastAsia="仿宋"/>
          <w:color w:val="auto"/>
        </w:rPr>
        <w:t>10.2在60天内当事人协商不能达成协议的，可提请采购人当地仲裁机构仲裁。</w:t>
      </w:r>
    </w:p>
    <w:p>
      <w:pPr>
        <w:ind w:firstLine="438"/>
        <w:rPr>
          <w:rFonts w:ascii="仿宋" w:hAnsi="仿宋" w:eastAsia="仿宋"/>
          <w:color w:val="auto"/>
        </w:rPr>
      </w:pPr>
      <w:r>
        <w:rPr>
          <w:rFonts w:hint="eastAsia" w:ascii="仿宋" w:hAnsi="仿宋" w:eastAsia="仿宋"/>
          <w:color w:val="auto"/>
        </w:rPr>
        <w:t>11.违约责任</w:t>
      </w:r>
    </w:p>
    <w:p>
      <w:pPr>
        <w:ind w:firstLine="438"/>
        <w:rPr>
          <w:rFonts w:ascii="仿宋" w:hAnsi="仿宋" w:eastAsia="仿宋"/>
          <w:color w:val="auto"/>
        </w:rPr>
      </w:pPr>
      <w:r>
        <w:rPr>
          <w:rFonts w:hint="eastAsia" w:ascii="仿宋" w:hAnsi="仿宋" w:eastAsia="仿宋"/>
          <w:color w:val="auto"/>
        </w:rPr>
        <w:t>按《中华人民共和国民法典》、《中华人民共和国政府采购法》有关条款，或由供需双方约定。</w:t>
      </w:r>
    </w:p>
    <w:p>
      <w:pPr>
        <w:ind w:firstLine="438"/>
        <w:rPr>
          <w:rFonts w:ascii="仿宋" w:hAnsi="仿宋" w:eastAsia="仿宋"/>
          <w:color w:val="auto"/>
        </w:rPr>
      </w:pPr>
      <w:r>
        <w:rPr>
          <w:rFonts w:hint="eastAsia" w:ascii="仿宋" w:hAnsi="仿宋" w:eastAsia="仿宋"/>
          <w:color w:val="auto"/>
        </w:rPr>
        <w:t>12.合同生效及其它</w:t>
      </w:r>
    </w:p>
    <w:p>
      <w:pPr>
        <w:ind w:firstLine="438"/>
        <w:rPr>
          <w:rFonts w:ascii="仿宋" w:hAnsi="仿宋" w:eastAsia="仿宋"/>
          <w:color w:val="auto"/>
        </w:rPr>
      </w:pPr>
      <w:r>
        <w:rPr>
          <w:rFonts w:hint="eastAsia" w:ascii="仿宋" w:hAnsi="仿宋" w:eastAsia="仿宋"/>
          <w:color w:val="auto"/>
        </w:rPr>
        <w:t>12.1合同生效及其效力应符合《中华人民共和国民法典》有关规定。</w:t>
      </w:r>
    </w:p>
    <w:p>
      <w:pPr>
        <w:ind w:firstLine="438"/>
        <w:rPr>
          <w:rFonts w:ascii="仿宋" w:hAnsi="仿宋" w:eastAsia="仿宋"/>
          <w:color w:val="auto"/>
        </w:rPr>
      </w:pPr>
      <w:r>
        <w:rPr>
          <w:rFonts w:hint="eastAsia" w:ascii="仿宋" w:hAnsi="仿宋" w:eastAsia="仿宋"/>
          <w:color w:val="auto"/>
        </w:rPr>
        <w:t>12.2合同应经当事人法定代表人或委托代理人签字，加盖双方合同专用章或公章。</w:t>
      </w:r>
    </w:p>
    <w:p>
      <w:pPr>
        <w:ind w:firstLine="438"/>
        <w:rPr>
          <w:rFonts w:ascii="仿宋" w:hAnsi="仿宋" w:eastAsia="仿宋"/>
          <w:color w:val="auto"/>
        </w:rPr>
      </w:pPr>
      <w:r>
        <w:rPr>
          <w:rFonts w:hint="eastAsia" w:ascii="仿宋" w:hAnsi="仿宋" w:eastAsia="仿宋"/>
          <w:color w:val="auto"/>
        </w:rPr>
        <w:t>12.3合同所包括附件，是合同不可分割的一部分，具有同等法法律效力。</w:t>
      </w:r>
    </w:p>
    <w:p>
      <w:pPr>
        <w:ind w:firstLine="438"/>
        <w:rPr>
          <w:rFonts w:ascii="仿宋" w:hAnsi="仿宋" w:eastAsia="仿宋"/>
          <w:color w:val="auto"/>
        </w:rPr>
      </w:pPr>
      <w:r>
        <w:rPr>
          <w:rFonts w:hint="eastAsia" w:ascii="仿宋" w:hAnsi="仿宋" w:eastAsia="仿宋"/>
          <w:color w:val="auto"/>
        </w:rPr>
        <w:t>12.4本合同条件未尽事宜依照《中华人民共和国民法典》，由供需双方共同协商确定。</w:t>
      </w:r>
      <w:bookmarkEnd w:id="734"/>
    </w:p>
    <w:p>
      <w:pPr>
        <w:ind w:firstLine="438"/>
        <w:rPr>
          <w:rFonts w:ascii="仿宋" w:hAnsi="仿宋" w:eastAsia="仿宋"/>
          <w:color w:val="auto"/>
        </w:rPr>
        <w:sectPr>
          <w:pgSz w:w="11907" w:h="16840"/>
          <w:pgMar w:top="1134" w:right="1191" w:bottom="1134" w:left="1304" w:header="794" w:footer="992" w:gutter="0"/>
          <w:cols w:space="720" w:num="1"/>
          <w:docGrid w:type="linesAndChars" w:linePitch="393" w:charSpace="-4325"/>
        </w:sectPr>
      </w:pPr>
    </w:p>
    <w:p>
      <w:pPr>
        <w:pStyle w:val="4"/>
        <w:spacing w:before="196" w:after="196"/>
        <w:ind w:firstLine="520"/>
        <w:rPr>
          <w:rFonts w:ascii="仿宋" w:hAnsi="仿宋" w:eastAsia="仿宋"/>
          <w:color w:val="auto"/>
          <w:szCs w:val="22"/>
        </w:rPr>
      </w:pPr>
      <w:bookmarkStart w:id="735" w:name="_Toc14471"/>
      <w:bookmarkStart w:id="736" w:name="_Toc8146"/>
      <w:bookmarkStart w:id="737" w:name="_Toc11284"/>
      <w:bookmarkStart w:id="738" w:name="_Toc21749"/>
      <w:bookmarkStart w:id="739" w:name="_Toc277084871"/>
      <w:bookmarkStart w:id="740" w:name="_Toc29530"/>
      <w:bookmarkStart w:id="741" w:name="_Toc15133"/>
      <w:bookmarkStart w:id="742" w:name="_Toc285722713"/>
      <w:bookmarkStart w:id="743" w:name="_Toc1510"/>
      <w:bookmarkStart w:id="744" w:name="_Toc15981"/>
      <w:bookmarkStart w:id="745" w:name="_Toc3175"/>
      <w:bookmarkStart w:id="746" w:name="_Toc20489902"/>
      <w:bookmarkStart w:id="747" w:name="_Toc20488345"/>
      <w:bookmarkStart w:id="748" w:name="_Toc2055"/>
      <w:bookmarkStart w:id="749" w:name="_Toc495592672"/>
      <w:bookmarkStart w:id="750" w:name="_Toc12623"/>
      <w:bookmarkStart w:id="751" w:name="_Toc21558"/>
      <w:bookmarkStart w:id="752" w:name="_Toc28433"/>
      <w:bookmarkStart w:id="753" w:name="_Toc63600440"/>
      <w:bookmarkStart w:id="754" w:name="_Toc21261"/>
      <w:r>
        <w:rPr>
          <w:rFonts w:hint="eastAsia" w:ascii="仿宋" w:hAnsi="仿宋" w:eastAsia="仿宋"/>
          <w:color w:val="auto"/>
          <w:szCs w:val="22"/>
        </w:rPr>
        <w:t>二、</w:t>
      </w:r>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r>
        <w:rPr>
          <w:rFonts w:hint="eastAsia" w:ascii="仿宋" w:hAnsi="仿宋" w:eastAsia="仿宋"/>
          <w:color w:val="auto"/>
          <w:szCs w:val="22"/>
        </w:rPr>
        <w:t>政府采购合同（格式）</w:t>
      </w:r>
      <w:bookmarkEnd w:id="753"/>
      <w:bookmarkEnd w:id="754"/>
    </w:p>
    <w:p>
      <w:pPr>
        <w:spacing w:line="500" w:lineRule="exact"/>
        <w:ind w:firstLine="841"/>
        <w:jc w:val="center"/>
        <w:rPr>
          <w:rFonts w:ascii="仿宋" w:hAnsi="仿宋" w:eastAsia="仿宋"/>
          <w:b/>
          <w:color w:val="auto"/>
          <w:sz w:val="44"/>
        </w:rPr>
      </w:pPr>
    </w:p>
    <w:p>
      <w:pPr>
        <w:ind w:firstLine="0" w:firstLineChars="0"/>
        <w:jc w:val="center"/>
        <w:rPr>
          <w:rFonts w:ascii="仿宋" w:hAnsi="仿宋" w:eastAsia="仿宋"/>
          <w:b/>
          <w:bCs/>
          <w:color w:val="auto"/>
          <w:sz w:val="40"/>
          <w:szCs w:val="28"/>
        </w:rPr>
      </w:pPr>
      <w:bookmarkStart w:id="755" w:name="_Toc12857"/>
      <w:bookmarkStart w:id="756" w:name="_Toc11325"/>
      <w:bookmarkStart w:id="757" w:name="_Toc24209"/>
      <w:bookmarkStart w:id="758" w:name="_Toc27442"/>
      <w:bookmarkStart w:id="759" w:name="_Toc7775"/>
      <w:bookmarkStart w:id="760" w:name="_Toc11336"/>
      <w:bookmarkStart w:id="761" w:name="_Toc2314"/>
      <w:bookmarkStart w:id="762" w:name="_Toc16918"/>
      <w:bookmarkStart w:id="763" w:name="_Toc24690"/>
      <w:bookmarkStart w:id="764" w:name="_Toc2490"/>
      <w:bookmarkStart w:id="765" w:name="_Toc26668"/>
      <w:bookmarkStart w:id="766" w:name="_Hlk70156864"/>
      <w:r>
        <w:rPr>
          <w:rFonts w:hint="eastAsia" w:ascii="仿宋" w:hAnsi="仿宋" w:eastAsia="仿宋"/>
          <w:b/>
          <w:bCs/>
          <w:color w:val="auto"/>
          <w:sz w:val="40"/>
          <w:szCs w:val="28"/>
        </w:rPr>
        <w:t>重庆市政府采购合同</w:t>
      </w:r>
      <w:bookmarkEnd w:id="755"/>
      <w:bookmarkEnd w:id="756"/>
      <w:bookmarkEnd w:id="757"/>
      <w:bookmarkEnd w:id="758"/>
      <w:bookmarkEnd w:id="759"/>
      <w:bookmarkEnd w:id="760"/>
      <w:bookmarkEnd w:id="761"/>
      <w:bookmarkEnd w:id="762"/>
      <w:bookmarkEnd w:id="763"/>
      <w:bookmarkEnd w:id="764"/>
      <w:bookmarkEnd w:id="765"/>
    </w:p>
    <w:p>
      <w:pPr>
        <w:ind w:firstLine="0" w:firstLineChars="0"/>
        <w:jc w:val="center"/>
        <w:rPr>
          <w:rFonts w:ascii="仿宋" w:hAnsi="仿宋" w:eastAsia="仿宋"/>
          <w:color w:val="auto"/>
        </w:rPr>
      </w:pPr>
      <w:bookmarkStart w:id="767" w:name="_Toc30278"/>
      <w:bookmarkStart w:id="768" w:name="_Toc22340"/>
      <w:bookmarkStart w:id="769" w:name="_Toc27495"/>
      <w:bookmarkStart w:id="770" w:name="_Toc2003"/>
      <w:bookmarkStart w:id="771" w:name="_Toc10221"/>
      <w:bookmarkStart w:id="772" w:name="_Toc29468"/>
      <w:bookmarkStart w:id="773" w:name="_Toc18775"/>
      <w:bookmarkStart w:id="774" w:name="_Toc19525"/>
      <w:bookmarkStart w:id="775" w:name="_Toc18036"/>
      <w:bookmarkStart w:id="776" w:name="_Toc21092"/>
      <w:bookmarkStart w:id="777" w:name="_Toc19925"/>
      <w:r>
        <w:rPr>
          <w:rFonts w:hint="eastAsia" w:ascii="仿宋" w:hAnsi="仿宋" w:eastAsia="仿宋"/>
          <w:color w:val="auto"/>
        </w:rPr>
        <w:t>（项目号：    ）</w:t>
      </w:r>
      <w:bookmarkEnd w:id="767"/>
      <w:bookmarkEnd w:id="768"/>
      <w:bookmarkEnd w:id="769"/>
      <w:bookmarkEnd w:id="770"/>
      <w:bookmarkEnd w:id="771"/>
      <w:bookmarkEnd w:id="772"/>
      <w:bookmarkEnd w:id="773"/>
      <w:bookmarkEnd w:id="774"/>
      <w:bookmarkEnd w:id="775"/>
      <w:bookmarkEnd w:id="776"/>
      <w:bookmarkEnd w:id="777"/>
    </w:p>
    <w:p>
      <w:pPr>
        <w:ind w:firstLine="438"/>
        <w:rPr>
          <w:rFonts w:ascii="仿宋" w:hAnsi="仿宋" w:eastAsia="仿宋"/>
          <w:color w:val="auto"/>
        </w:rPr>
      </w:pPr>
      <w:r>
        <w:rPr>
          <w:rFonts w:hint="eastAsia" w:ascii="仿宋" w:hAnsi="仿宋" w:eastAsia="仿宋"/>
          <w:color w:val="auto"/>
        </w:rPr>
        <w:t>甲方（需方）：___________________________          计价单位：____________</w:t>
      </w:r>
    </w:p>
    <w:p>
      <w:pPr>
        <w:ind w:firstLine="438"/>
        <w:rPr>
          <w:rFonts w:ascii="仿宋" w:hAnsi="仿宋" w:eastAsia="仿宋"/>
          <w:color w:val="auto"/>
        </w:rPr>
      </w:pPr>
      <w:r>
        <w:rPr>
          <w:rFonts w:hint="eastAsia" w:ascii="仿宋" w:hAnsi="仿宋" w:eastAsia="仿宋"/>
          <w:color w:val="auto"/>
        </w:rPr>
        <w:t>乙方（供方）：___________________________          计量单位：____________</w:t>
      </w:r>
    </w:p>
    <w:p>
      <w:pPr>
        <w:ind w:firstLine="438"/>
        <w:rPr>
          <w:rFonts w:ascii="仿宋" w:hAnsi="仿宋" w:eastAsia="仿宋"/>
          <w:color w:val="auto"/>
        </w:rPr>
      </w:pPr>
      <w:r>
        <w:rPr>
          <w:rFonts w:hint="eastAsia" w:ascii="仿宋" w:hAnsi="仿宋" w:eastAsia="仿宋"/>
          <w:color w:val="auto"/>
        </w:rPr>
        <w:t>见证方：重庆市巴南区政府采购中心</w:t>
      </w:r>
    </w:p>
    <w:p>
      <w:pPr>
        <w:ind w:firstLine="438"/>
        <w:rPr>
          <w:rFonts w:ascii="仿宋" w:hAnsi="仿宋" w:eastAsia="仿宋"/>
          <w:color w:val="auto"/>
        </w:rPr>
      </w:pPr>
    </w:p>
    <w:p>
      <w:pPr>
        <w:spacing w:line="500" w:lineRule="exact"/>
        <w:ind w:firstLine="0" w:firstLineChars="0"/>
        <w:rPr>
          <w:rFonts w:ascii="仿宋" w:hAnsi="仿宋" w:eastAsia="仿宋"/>
          <w:color w:val="auto"/>
        </w:rPr>
      </w:pPr>
      <w:bookmarkStart w:id="778" w:name="_Toc10488"/>
      <w:bookmarkStart w:id="779" w:name="_Toc20489903"/>
      <w:bookmarkStart w:id="780" w:name="_Toc20488346"/>
      <w:r>
        <w:rPr>
          <w:rFonts w:hint="eastAsia" w:ascii="仿宋" w:hAnsi="仿宋" w:eastAsia="仿宋"/>
          <w:color w:val="auto"/>
        </w:rPr>
        <w:t>经双方协商一致，达成以下购销合同：</w:t>
      </w:r>
    </w:p>
    <w:tbl>
      <w:tblPr>
        <w:tblStyle w:val="23"/>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2"/>
        <w:gridCol w:w="1741"/>
        <w:gridCol w:w="155"/>
        <w:gridCol w:w="829"/>
        <w:gridCol w:w="1298"/>
        <w:gridCol w:w="991"/>
        <w:gridCol w:w="143"/>
        <w:gridCol w:w="1559"/>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22" w:type="dxa"/>
            <w:vAlign w:val="center"/>
          </w:tcPr>
          <w:p>
            <w:pPr>
              <w:spacing w:line="240" w:lineRule="atLeast"/>
              <w:ind w:firstLine="0" w:firstLineChars="0"/>
              <w:jc w:val="center"/>
              <w:rPr>
                <w:rFonts w:ascii="仿宋" w:hAnsi="仿宋" w:eastAsia="仿宋"/>
                <w:color w:val="auto"/>
                <w:sz w:val="21"/>
                <w:szCs w:val="21"/>
              </w:rPr>
            </w:pPr>
            <w:r>
              <w:rPr>
                <w:rFonts w:hint="eastAsia" w:ascii="仿宋" w:hAnsi="仿宋" w:eastAsia="仿宋"/>
                <w:color w:val="auto"/>
                <w:sz w:val="21"/>
                <w:szCs w:val="21"/>
              </w:rPr>
              <w:t>商品名称</w:t>
            </w:r>
          </w:p>
        </w:tc>
        <w:tc>
          <w:tcPr>
            <w:tcW w:w="1741" w:type="dxa"/>
            <w:vAlign w:val="center"/>
          </w:tcPr>
          <w:p>
            <w:pPr>
              <w:spacing w:line="240" w:lineRule="atLeast"/>
              <w:ind w:firstLine="0" w:firstLineChars="0"/>
              <w:jc w:val="center"/>
              <w:rPr>
                <w:rFonts w:ascii="仿宋" w:hAnsi="仿宋" w:eastAsia="仿宋"/>
                <w:color w:val="auto"/>
                <w:sz w:val="21"/>
                <w:szCs w:val="21"/>
              </w:rPr>
            </w:pPr>
            <w:r>
              <w:rPr>
                <w:rFonts w:hint="eastAsia" w:ascii="仿宋" w:hAnsi="仿宋" w:eastAsia="仿宋"/>
                <w:color w:val="auto"/>
                <w:sz w:val="21"/>
                <w:szCs w:val="21"/>
              </w:rPr>
              <w:t>规格型号</w:t>
            </w:r>
          </w:p>
        </w:tc>
        <w:tc>
          <w:tcPr>
            <w:tcW w:w="984" w:type="dxa"/>
            <w:gridSpan w:val="2"/>
            <w:vAlign w:val="center"/>
          </w:tcPr>
          <w:p>
            <w:pPr>
              <w:spacing w:line="240" w:lineRule="atLeast"/>
              <w:ind w:firstLine="0" w:firstLineChars="0"/>
              <w:jc w:val="center"/>
              <w:rPr>
                <w:rFonts w:ascii="仿宋" w:hAnsi="仿宋" w:eastAsia="仿宋"/>
                <w:color w:val="auto"/>
                <w:sz w:val="21"/>
                <w:szCs w:val="21"/>
              </w:rPr>
            </w:pPr>
            <w:r>
              <w:rPr>
                <w:rFonts w:hint="eastAsia" w:ascii="仿宋" w:hAnsi="仿宋" w:eastAsia="仿宋"/>
                <w:color w:val="auto"/>
                <w:sz w:val="21"/>
                <w:szCs w:val="21"/>
              </w:rPr>
              <w:t>数量</w:t>
            </w:r>
          </w:p>
        </w:tc>
        <w:tc>
          <w:tcPr>
            <w:tcW w:w="1298" w:type="dxa"/>
            <w:vAlign w:val="center"/>
          </w:tcPr>
          <w:p>
            <w:pPr>
              <w:spacing w:line="240" w:lineRule="atLeast"/>
              <w:ind w:firstLine="0" w:firstLineChars="0"/>
              <w:jc w:val="center"/>
              <w:rPr>
                <w:rFonts w:ascii="仿宋" w:hAnsi="仿宋" w:eastAsia="仿宋"/>
                <w:color w:val="auto"/>
                <w:sz w:val="21"/>
                <w:szCs w:val="21"/>
              </w:rPr>
            </w:pPr>
            <w:r>
              <w:rPr>
                <w:rFonts w:hint="eastAsia" w:ascii="仿宋" w:hAnsi="仿宋" w:eastAsia="仿宋"/>
                <w:color w:val="auto"/>
                <w:sz w:val="21"/>
                <w:szCs w:val="21"/>
              </w:rPr>
              <w:t>综合单价</w:t>
            </w:r>
          </w:p>
        </w:tc>
        <w:tc>
          <w:tcPr>
            <w:tcW w:w="1134" w:type="dxa"/>
            <w:gridSpan w:val="2"/>
            <w:vAlign w:val="center"/>
          </w:tcPr>
          <w:p>
            <w:pPr>
              <w:spacing w:line="240" w:lineRule="atLeast"/>
              <w:ind w:firstLine="0" w:firstLineChars="0"/>
              <w:jc w:val="center"/>
              <w:rPr>
                <w:rFonts w:ascii="仿宋" w:hAnsi="仿宋" w:eastAsia="仿宋"/>
                <w:color w:val="auto"/>
                <w:sz w:val="21"/>
                <w:szCs w:val="21"/>
              </w:rPr>
            </w:pPr>
            <w:r>
              <w:rPr>
                <w:rFonts w:hint="eastAsia" w:ascii="仿宋" w:hAnsi="仿宋" w:eastAsia="仿宋"/>
                <w:color w:val="auto"/>
                <w:sz w:val="21"/>
                <w:szCs w:val="21"/>
              </w:rPr>
              <w:t>总价</w:t>
            </w:r>
          </w:p>
        </w:tc>
        <w:tc>
          <w:tcPr>
            <w:tcW w:w="1559" w:type="dxa"/>
            <w:vAlign w:val="center"/>
          </w:tcPr>
          <w:p>
            <w:pPr>
              <w:spacing w:line="240" w:lineRule="atLeast"/>
              <w:ind w:firstLine="0" w:firstLineChars="0"/>
              <w:jc w:val="center"/>
              <w:rPr>
                <w:rFonts w:ascii="仿宋" w:hAnsi="仿宋" w:eastAsia="仿宋"/>
                <w:color w:val="auto"/>
                <w:sz w:val="21"/>
                <w:szCs w:val="21"/>
              </w:rPr>
            </w:pPr>
            <w:r>
              <w:rPr>
                <w:rFonts w:hint="eastAsia" w:ascii="仿宋" w:hAnsi="仿宋" w:eastAsia="仿宋"/>
                <w:color w:val="auto"/>
                <w:sz w:val="21"/>
                <w:szCs w:val="21"/>
              </w:rPr>
              <w:t>交货时间</w:t>
            </w:r>
          </w:p>
        </w:tc>
        <w:tc>
          <w:tcPr>
            <w:tcW w:w="1418" w:type="dxa"/>
            <w:vAlign w:val="center"/>
          </w:tcPr>
          <w:p>
            <w:pPr>
              <w:spacing w:line="240" w:lineRule="atLeast"/>
              <w:ind w:firstLine="0" w:firstLineChars="0"/>
              <w:jc w:val="center"/>
              <w:rPr>
                <w:rFonts w:ascii="仿宋" w:hAnsi="仿宋" w:eastAsia="仿宋"/>
                <w:color w:val="auto"/>
                <w:sz w:val="21"/>
                <w:szCs w:val="21"/>
              </w:rPr>
            </w:pPr>
            <w:r>
              <w:rPr>
                <w:rFonts w:hint="eastAsia" w:ascii="仿宋" w:hAnsi="仿宋" w:eastAsia="仿宋"/>
                <w:color w:val="auto"/>
                <w:sz w:val="21"/>
                <w:szCs w:val="21"/>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2" w:type="dxa"/>
            <w:vAlign w:val="center"/>
          </w:tcPr>
          <w:p>
            <w:pPr>
              <w:spacing w:line="240" w:lineRule="atLeast"/>
              <w:ind w:firstLine="0" w:firstLineChars="0"/>
              <w:jc w:val="center"/>
              <w:rPr>
                <w:rFonts w:ascii="仿宋" w:hAnsi="仿宋" w:eastAsia="仿宋"/>
                <w:color w:val="auto"/>
                <w:sz w:val="21"/>
                <w:szCs w:val="21"/>
              </w:rPr>
            </w:pPr>
          </w:p>
        </w:tc>
        <w:tc>
          <w:tcPr>
            <w:tcW w:w="1741" w:type="dxa"/>
            <w:vAlign w:val="center"/>
          </w:tcPr>
          <w:p>
            <w:pPr>
              <w:spacing w:line="240" w:lineRule="atLeast"/>
              <w:ind w:firstLine="0" w:firstLineChars="0"/>
              <w:jc w:val="center"/>
              <w:rPr>
                <w:rFonts w:ascii="仿宋" w:hAnsi="仿宋" w:eastAsia="仿宋"/>
                <w:color w:val="auto"/>
                <w:sz w:val="21"/>
                <w:szCs w:val="21"/>
              </w:rPr>
            </w:pPr>
          </w:p>
        </w:tc>
        <w:tc>
          <w:tcPr>
            <w:tcW w:w="984" w:type="dxa"/>
            <w:gridSpan w:val="2"/>
            <w:vAlign w:val="center"/>
          </w:tcPr>
          <w:p>
            <w:pPr>
              <w:spacing w:line="240" w:lineRule="atLeast"/>
              <w:ind w:firstLine="0" w:firstLineChars="0"/>
              <w:jc w:val="center"/>
              <w:rPr>
                <w:rFonts w:ascii="仿宋" w:hAnsi="仿宋" w:eastAsia="仿宋"/>
                <w:color w:val="auto"/>
                <w:sz w:val="21"/>
                <w:szCs w:val="21"/>
              </w:rPr>
            </w:pPr>
          </w:p>
        </w:tc>
        <w:tc>
          <w:tcPr>
            <w:tcW w:w="1298" w:type="dxa"/>
            <w:vAlign w:val="center"/>
          </w:tcPr>
          <w:p>
            <w:pPr>
              <w:spacing w:line="240" w:lineRule="atLeast"/>
              <w:ind w:firstLine="0" w:firstLineChars="0"/>
              <w:jc w:val="center"/>
              <w:rPr>
                <w:rFonts w:ascii="仿宋" w:hAnsi="仿宋" w:eastAsia="仿宋"/>
                <w:color w:val="auto"/>
                <w:sz w:val="21"/>
                <w:szCs w:val="21"/>
              </w:rPr>
            </w:pPr>
          </w:p>
        </w:tc>
        <w:tc>
          <w:tcPr>
            <w:tcW w:w="1134" w:type="dxa"/>
            <w:gridSpan w:val="2"/>
            <w:vAlign w:val="center"/>
          </w:tcPr>
          <w:p>
            <w:pPr>
              <w:spacing w:line="240" w:lineRule="atLeast"/>
              <w:ind w:firstLine="0" w:firstLineChars="0"/>
              <w:jc w:val="center"/>
              <w:rPr>
                <w:rFonts w:ascii="仿宋" w:hAnsi="仿宋" w:eastAsia="仿宋"/>
                <w:color w:val="auto"/>
                <w:sz w:val="21"/>
                <w:szCs w:val="21"/>
              </w:rPr>
            </w:pPr>
          </w:p>
        </w:tc>
        <w:tc>
          <w:tcPr>
            <w:tcW w:w="1559" w:type="dxa"/>
            <w:vAlign w:val="center"/>
          </w:tcPr>
          <w:p>
            <w:pPr>
              <w:spacing w:line="240" w:lineRule="atLeast"/>
              <w:ind w:firstLine="0" w:firstLineChars="0"/>
              <w:jc w:val="center"/>
              <w:rPr>
                <w:rFonts w:ascii="仿宋" w:hAnsi="仿宋" w:eastAsia="仿宋"/>
                <w:color w:val="auto"/>
                <w:sz w:val="21"/>
                <w:szCs w:val="21"/>
              </w:rPr>
            </w:pPr>
          </w:p>
        </w:tc>
        <w:tc>
          <w:tcPr>
            <w:tcW w:w="1418" w:type="dxa"/>
            <w:vAlign w:val="center"/>
          </w:tcPr>
          <w:p>
            <w:pPr>
              <w:spacing w:line="240" w:lineRule="atLeast"/>
              <w:ind w:firstLine="0" w:firstLineChars="0"/>
              <w:jc w:val="center"/>
              <w:rPr>
                <w:rFonts w:ascii="仿宋" w:hAnsi="仿宋" w:eastAsia="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2" w:type="dxa"/>
            <w:vAlign w:val="center"/>
          </w:tcPr>
          <w:p>
            <w:pPr>
              <w:spacing w:line="240" w:lineRule="atLeast"/>
              <w:ind w:firstLine="0" w:firstLineChars="0"/>
              <w:jc w:val="center"/>
              <w:rPr>
                <w:rFonts w:ascii="仿宋" w:hAnsi="仿宋" w:eastAsia="仿宋"/>
                <w:color w:val="auto"/>
                <w:sz w:val="21"/>
                <w:szCs w:val="21"/>
              </w:rPr>
            </w:pPr>
          </w:p>
        </w:tc>
        <w:tc>
          <w:tcPr>
            <w:tcW w:w="1741" w:type="dxa"/>
            <w:vAlign w:val="center"/>
          </w:tcPr>
          <w:p>
            <w:pPr>
              <w:spacing w:line="240" w:lineRule="atLeast"/>
              <w:ind w:firstLine="0" w:firstLineChars="0"/>
              <w:jc w:val="center"/>
              <w:rPr>
                <w:rFonts w:ascii="仿宋" w:hAnsi="仿宋" w:eastAsia="仿宋"/>
                <w:color w:val="auto"/>
                <w:sz w:val="21"/>
                <w:szCs w:val="21"/>
              </w:rPr>
            </w:pPr>
          </w:p>
        </w:tc>
        <w:tc>
          <w:tcPr>
            <w:tcW w:w="984" w:type="dxa"/>
            <w:gridSpan w:val="2"/>
            <w:vAlign w:val="center"/>
          </w:tcPr>
          <w:p>
            <w:pPr>
              <w:spacing w:line="240" w:lineRule="atLeast"/>
              <w:ind w:firstLine="0" w:firstLineChars="0"/>
              <w:jc w:val="center"/>
              <w:rPr>
                <w:rFonts w:ascii="仿宋" w:hAnsi="仿宋" w:eastAsia="仿宋"/>
                <w:color w:val="auto"/>
                <w:sz w:val="21"/>
                <w:szCs w:val="21"/>
              </w:rPr>
            </w:pPr>
          </w:p>
        </w:tc>
        <w:tc>
          <w:tcPr>
            <w:tcW w:w="1298" w:type="dxa"/>
            <w:vAlign w:val="center"/>
          </w:tcPr>
          <w:p>
            <w:pPr>
              <w:spacing w:line="240" w:lineRule="atLeast"/>
              <w:ind w:firstLine="0" w:firstLineChars="0"/>
              <w:jc w:val="center"/>
              <w:rPr>
                <w:rFonts w:ascii="仿宋" w:hAnsi="仿宋" w:eastAsia="仿宋"/>
                <w:color w:val="auto"/>
                <w:sz w:val="21"/>
                <w:szCs w:val="21"/>
              </w:rPr>
            </w:pPr>
          </w:p>
        </w:tc>
        <w:tc>
          <w:tcPr>
            <w:tcW w:w="1134" w:type="dxa"/>
            <w:gridSpan w:val="2"/>
            <w:vAlign w:val="center"/>
          </w:tcPr>
          <w:p>
            <w:pPr>
              <w:spacing w:line="240" w:lineRule="atLeast"/>
              <w:ind w:firstLine="0" w:firstLineChars="0"/>
              <w:jc w:val="center"/>
              <w:rPr>
                <w:rFonts w:ascii="仿宋" w:hAnsi="仿宋" w:eastAsia="仿宋"/>
                <w:color w:val="auto"/>
                <w:sz w:val="21"/>
                <w:szCs w:val="21"/>
              </w:rPr>
            </w:pPr>
          </w:p>
        </w:tc>
        <w:tc>
          <w:tcPr>
            <w:tcW w:w="1559" w:type="dxa"/>
            <w:vAlign w:val="center"/>
          </w:tcPr>
          <w:p>
            <w:pPr>
              <w:spacing w:line="240" w:lineRule="atLeast"/>
              <w:ind w:firstLine="0" w:firstLineChars="0"/>
              <w:jc w:val="center"/>
              <w:rPr>
                <w:rFonts w:ascii="仿宋" w:hAnsi="仿宋" w:eastAsia="仿宋"/>
                <w:color w:val="auto"/>
                <w:sz w:val="21"/>
                <w:szCs w:val="21"/>
              </w:rPr>
            </w:pPr>
          </w:p>
        </w:tc>
        <w:tc>
          <w:tcPr>
            <w:tcW w:w="1418" w:type="dxa"/>
            <w:vAlign w:val="center"/>
          </w:tcPr>
          <w:p>
            <w:pPr>
              <w:spacing w:line="240" w:lineRule="atLeast"/>
              <w:ind w:firstLine="0" w:firstLineChars="0"/>
              <w:jc w:val="center"/>
              <w:rPr>
                <w:rFonts w:ascii="仿宋" w:hAnsi="仿宋" w:eastAsia="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2" w:type="dxa"/>
            <w:vAlign w:val="center"/>
          </w:tcPr>
          <w:p>
            <w:pPr>
              <w:spacing w:line="240" w:lineRule="atLeast"/>
              <w:ind w:firstLine="0" w:firstLineChars="0"/>
              <w:jc w:val="center"/>
              <w:rPr>
                <w:rFonts w:ascii="仿宋" w:hAnsi="仿宋" w:eastAsia="仿宋"/>
                <w:color w:val="auto"/>
                <w:sz w:val="21"/>
                <w:szCs w:val="21"/>
              </w:rPr>
            </w:pPr>
          </w:p>
        </w:tc>
        <w:tc>
          <w:tcPr>
            <w:tcW w:w="1741" w:type="dxa"/>
            <w:vAlign w:val="center"/>
          </w:tcPr>
          <w:p>
            <w:pPr>
              <w:spacing w:line="240" w:lineRule="atLeast"/>
              <w:ind w:firstLine="0" w:firstLineChars="0"/>
              <w:jc w:val="center"/>
              <w:rPr>
                <w:rFonts w:ascii="仿宋" w:hAnsi="仿宋" w:eastAsia="仿宋"/>
                <w:color w:val="auto"/>
                <w:sz w:val="21"/>
                <w:szCs w:val="21"/>
              </w:rPr>
            </w:pPr>
          </w:p>
        </w:tc>
        <w:tc>
          <w:tcPr>
            <w:tcW w:w="984" w:type="dxa"/>
            <w:gridSpan w:val="2"/>
            <w:vAlign w:val="center"/>
          </w:tcPr>
          <w:p>
            <w:pPr>
              <w:spacing w:line="240" w:lineRule="atLeast"/>
              <w:ind w:firstLine="0" w:firstLineChars="0"/>
              <w:jc w:val="center"/>
              <w:rPr>
                <w:rFonts w:ascii="仿宋" w:hAnsi="仿宋" w:eastAsia="仿宋"/>
                <w:color w:val="auto"/>
                <w:sz w:val="21"/>
                <w:szCs w:val="21"/>
              </w:rPr>
            </w:pPr>
          </w:p>
        </w:tc>
        <w:tc>
          <w:tcPr>
            <w:tcW w:w="1298" w:type="dxa"/>
            <w:vAlign w:val="center"/>
          </w:tcPr>
          <w:p>
            <w:pPr>
              <w:spacing w:line="240" w:lineRule="atLeast"/>
              <w:ind w:firstLine="0" w:firstLineChars="0"/>
              <w:jc w:val="center"/>
              <w:rPr>
                <w:rFonts w:ascii="仿宋" w:hAnsi="仿宋" w:eastAsia="仿宋"/>
                <w:color w:val="auto"/>
                <w:sz w:val="21"/>
                <w:szCs w:val="21"/>
              </w:rPr>
            </w:pPr>
          </w:p>
        </w:tc>
        <w:tc>
          <w:tcPr>
            <w:tcW w:w="1134" w:type="dxa"/>
            <w:gridSpan w:val="2"/>
            <w:vAlign w:val="center"/>
          </w:tcPr>
          <w:p>
            <w:pPr>
              <w:spacing w:line="240" w:lineRule="atLeast"/>
              <w:ind w:firstLine="0" w:firstLineChars="0"/>
              <w:jc w:val="center"/>
              <w:rPr>
                <w:rFonts w:ascii="仿宋" w:hAnsi="仿宋" w:eastAsia="仿宋"/>
                <w:color w:val="auto"/>
                <w:sz w:val="21"/>
                <w:szCs w:val="21"/>
              </w:rPr>
            </w:pPr>
          </w:p>
        </w:tc>
        <w:tc>
          <w:tcPr>
            <w:tcW w:w="1559" w:type="dxa"/>
            <w:vAlign w:val="center"/>
          </w:tcPr>
          <w:p>
            <w:pPr>
              <w:spacing w:line="240" w:lineRule="atLeast"/>
              <w:ind w:firstLine="0" w:firstLineChars="0"/>
              <w:jc w:val="center"/>
              <w:rPr>
                <w:rFonts w:ascii="仿宋" w:hAnsi="仿宋" w:eastAsia="仿宋"/>
                <w:color w:val="auto"/>
                <w:sz w:val="21"/>
                <w:szCs w:val="21"/>
              </w:rPr>
            </w:pPr>
          </w:p>
        </w:tc>
        <w:tc>
          <w:tcPr>
            <w:tcW w:w="1418" w:type="dxa"/>
            <w:vAlign w:val="center"/>
          </w:tcPr>
          <w:p>
            <w:pPr>
              <w:spacing w:line="240" w:lineRule="atLeast"/>
              <w:ind w:firstLine="0" w:firstLineChars="0"/>
              <w:jc w:val="center"/>
              <w:rPr>
                <w:rFonts w:ascii="仿宋" w:hAnsi="仿宋" w:eastAsia="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2" w:type="dxa"/>
            <w:vAlign w:val="center"/>
          </w:tcPr>
          <w:p>
            <w:pPr>
              <w:spacing w:line="240" w:lineRule="atLeast"/>
              <w:ind w:firstLine="0" w:firstLineChars="0"/>
              <w:jc w:val="center"/>
              <w:rPr>
                <w:rFonts w:ascii="仿宋" w:hAnsi="仿宋" w:eastAsia="仿宋"/>
                <w:color w:val="auto"/>
                <w:sz w:val="21"/>
                <w:szCs w:val="21"/>
              </w:rPr>
            </w:pPr>
          </w:p>
        </w:tc>
        <w:tc>
          <w:tcPr>
            <w:tcW w:w="1741" w:type="dxa"/>
            <w:vAlign w:val="center"/>
          </w:tcPr>
          <w:p>
            <w:pPr>
              <w:spacing w:line="240" w:lineRule="atLeast"/>
              <w:ind w:firstLine="0" w:firstLineChars="0"/>
              <w:jc w:val="center"/>
              <w:rPr>
                <w:rFonts w:ascii="仿宋" w:hAnsi="仿宋" w:eastAsia="仿宋"/>
                <w:color w:val="auto"/>
                <w:sz w:val="21"/>
                <w:szCs w:val="21"/>
              </w:rPr>
            </w:pPr>
          </w:p>
        </w:tc>
        <w:tc>
          <w:tcPr>
            <w:tcW w:w="984" w:type="dxa"/>
            <w:gridSpan w:val="2"/>
            <w:vAlign w:val="center"/>
          </w:tcPr>
          <w:p>
            <w:pPr>
              <w:spacing w:line="240" w:lineRule="atLeast"/>
              <w:ind w:firstLine="0" w:firstLineChars="0"/>
              <w:jc w:val="center"/>
              <w:rPr>
                <w:rFonts w:ascii="仿宋" w:hAnsi="仿宋" w:eastAsia="仿宋"/>
                <w:color w:val="auto"/>
                <w:sz w:val="21"/>
                <w:szCs w:val="21"/>
              </w:rPr>
            </w:pPr>
          </w:p>
        </w:tc>
        <w:tc>
          <w:tcPr>
            <w:tcW w:w="1298" w:type="dxa"/>
            <w:vAlign w:val="center"/>
          </w:tcPr>
          <w:p>
            <w:pPr>
              <w:spacing w:line="240" w:lineRule="atLeast"/>
              <w:ind w:firstLine="0" w:firstLineChars="0"/>
              <w:jc w:val="center"/>
              <w:rPr>
                <w:rFonts w:ascii="仿宋" w:hAnsi="仿宋" w:eastAsia="仿宋"/>
                <w:color w:val="auto"/>
                <w:sz w:val="21"/>
                <w:szCs w:val="21"/>
              </w:rPr>
            </w:pPr>
          </w:p>
        </w:tc>
        <w:tc>
          <w:tcPr>
            <w:tcW w:w="1134" w:type="dxa"/>
            <w:gridSpan w:val="2"/>
            <w:vAlign w:val="center"/>
          </w:tcPr>
          <w:p>
            <w:pPr>
              <w:spacing w:line="240" w:lineRule="atLeast"/>
              <w:ind w:firstLine="0" w:firstLineChars="0"/>
              <w:jc w:val="center"/>
              <w:rPr>
                <w:rFonts w:ascii="仿宋" w:hAnsi="仿宋" w:eastAsia="仿宋"/>
                <w:color w:val="auto"/>
                <w:sz w:val="21"/>
                <w:szCs w:val="21"/>
              </w:rPr>
            </w:pPr>
          </w:p>
        </w:tc>
        <w:tc>
          <w:tcPr>
            <w:tcW w:w="1559" w:type="dxa"/>
            <w:vAlign w:val="center"/>
          </w:tcPr>
          <w:p>
            <w:pPr>
              <w:spacing w:line="240" w:lineRule="atLeast"/>
              <w:ind w:firstLine="0" w:firstLineChars="0"/>
              <w:jc w:val="center"/>
              <w:rPr>
                <w:rFonts w:ascii="仿宋" w:hAnsi="仿宋" w:eastAsia="仿宋"/>
                <w:color w:val="auto"/>
                <w:sz w:val="21"/>
                <w:szCs w:val="21"/>
              </w:rPr>
            </w:pPr>
          </w:p>
        </w:tc>
        <w:tc>
          <w:tcPr>
            <w:tcW w:w="1418" w:type="dxa"/>
            <w:vAlign w:val="center"/>
          </w:tcPr>
          <w:p>
            <w:pPr>
              <w:spacing w:line="240" w:lineRule="atLeast"/>
              <w:ind w:firstLine="0" w:firstLineChars="0"/>
              <w:jc w:val="center"/>
              <w:rPr>
                <w:rFonts w:ascii="仿宋" w:hAnsi="仿宋" w:eastAsia="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2" w:type="dxa"/>
            <w:vAlign w:val="center"/>
          </w:tcPr>
          <w:p>
            <w:pPr>
              <w:spacing w:line="240" w:lineRule="atLeast"/>
              <w:ind w:firstLine="0" w:firstLineChars="0"/>
              <w:jc w:val="center"/>
              <w:rPr>
                <w:rFonts w:ascii="仿宋" w:hAnsi="仿宋" w:eastAsia="仿宋"/>
                <w:color w:val="auto"/>
                <w:sz w:val="21"/>
                <w:szCs w:val="21"/>
              </w:rPr>
            </w:pPr>
          </w:p>
        </w:tc>
        <w:tc>
          <w:tcPr>
            <w:tcW w:w="1741" w:type="dxa"/>
            <w:vAlign w:val="center"/>
          </w:tcPr>
          <w:p>
            <w:pPr>
              <w:spacing w:line="240" w:lineRule="atLeast"/>
              <w:ind w:firstLine="0" w:firstLineChars="0"/>
              <w:jc w:val="center"/>
              <w:rPr>
                <w:rFonts w:ascii="仿宋" w:hAnsi="仿宋" w:eastAsia="仿宋"/>
                <w:color w:val="auto"/>
                <w:sz w:val="21"/>
                <w:szCs w:val="21"/>
              </w:rPr>
            </w:pPr>
          </w:p>
        </w:tc>
        <w:tc>
          <w:tcPr>
            <w:tcW w:w="984" w:type="dxa"/>
            <w:gridSpan w:val="2"/>
            <w:vAlign w:val="center"/>
          </w:tcPr>
          <w:p>
            <w:pPr>
              <w:spacing w:line="240" w:lineRule="atLeast"/>
              <w:ind w:firstLine="0" w:firstLineChars="0"/>
              <w:jc w:val="center"/>
              <w:rPr>
                <w:rFonts w:ascii="仿宋" w:hAnsi="仿宋" w:eastAsia="仿宋"/>
                <w:color w:val="auto"/>
                <w:sz w:val="21"/>
                <w:szCs w:val="21"/>
              </w:rPr>
            </w:pPr>
          </w:p>
        </w:tc>
        <w:tc>
          <w:tcPr>
            <w:tcW w:w="1298" w:type="dxa"/>
            <w:vAlign w:val="center"/>
          </w:tcPr>
          <w:p>
            <w:pPr>
              <w:spacing w:line="240" w:lineRule="atLeast"/>
              <w:ind w:firstLine="0" w:firstLineChars="0"/>
              <w:jc w:val="center"/>
              <w:rPr>
                <w:rFonts w:ascii="仿宋" w:hAnsi="仿宋" w:eastAsia="仿宋"/>
                <w:color w:val="auto"/>
                <w:sz w:val="21"/>
                <w:szCs w:val="21"/>
              </w:rPr>
            </w:pPr>
          </w:p>
        </w:tc>
        <w:tc>
          <w:tcPr>
            <w:tcW w:w="1134" w:type="dxa"/>
            <w:gridSpan w:val="2"/>
            <w:vAlign w:val="center"/>
          </w:tcPr>
          <w:p>
            <w:pPr>
              <w:spacing w:line="240" w:lineRule="atLeast"/>
              <w:ind w:firstLine="0" w:firstLineChars="0"/>
              <w:jc w:val="center"/>
              <w:rPr>
                <w:rFonts w:ascii="仿宋" w:hAnsi="仿宋" w:eastAsia="仿宋"/>
                <w:color w:val="auto"/>
                <w:sz w:val="21"/>
                <w:szCs w:val="21"/>
              </w:rPr>
            </w:pPr>
          </w:p>
        </w:tc>
        <w:tc>
          <w:tcPr>
            <w:tcW w:w="1559" w:type="dxa"/>
            <w:vAlign w:val="center"/>
          </w:tcPr>
          <w:p>
            <w:pPr>
              <w:spacing w:line="240" w:lineRule="atLeast"/>
              <w:ind w:firstLine="0" w:firstLineChars="0"/>
              <w:jc w:val="center"/>
              <w:rPr>
                <w:rFonts w:ascii="仿宋" w:hAnsi="仿宋" w:eastAsia="仿宋"/>
                <w:color w:val="auto"/>
                <w:sz w:val="21"/>
                <w:szCs w:val="21"/>
              </w:rPr>
            </w:pPr>
          </w:p>
        </w:tc>
        <w:tc>
          <w:tcPr>
            <w:tcW w:w="1418" w:type="dxa"/>
            <w:vAlign w:val="center"/>
          </w:tcPr>
          <w:p>
            <w:pPr>
              <w:spacing w:line="240" w:lineRule="atLeast"/>
              <w:ind w:firstLine="0" w:firstLineChars="0"/>
              <w:jc w:val="center"/>
              <w:rPr>
                <w:rFonts w:ascii="仿宋" w:hAnsi="仿宋" w:eastAsia="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2" w:type="dxa"/>
            <w:vAlign w:val="center"/>
          </w:tcPr>
          <w:p>
            <w:pPr>
              <w:spacing w:line="240" w:lineRule="atLeast"/>
              <w:ind w:firstLine="0" w:firstLineChars="0"/>
              <w:jc w:val="center"/>
              <w:rPr>
                <w:rFonts w:ascii="仿宋" w:hAnsi="仿宋" w:eastAsia="仿宋"/>
                <w:color w:val="auto"/>
                <w:sz w:val="21"/>
                <w:szCs w:val="21"/>
              </w:rPr>
            </w:pPr>
          </w:p>
        </w:tc>
        <w:tc>
          <w:tcPr>
            <w:tcW w:w="1741" w:type="dxa"/>
            <w:vAlign w:val="center"/>
          </w:tcPr>
          <w:p>
            <w:pPr>
              <w:spacing w:line="240" w:lineRule="atLeast"/>
              <w:ind w:firstLine="0" w:firstLineChars="0"/>
              <w:jc w:val="center"/>
              <w:rPr>
                <w:rFonts w:ascii="仿宋" w:hAnsi="仿宋" w:eastAsia="仿宋"/>
                <w:color w:val="auto"/>
                <w:sz w:val="21"/>
                <w:szCs w:val="21"/>
              </w:rPr>
            </w:pPr>
          </w:p>
        </w:tc>
        <w:tc>
          <w:tcPr>
            <w:tcW w:w="984" w:type="dxa"/>
            <w:gridSpan w:val="2"/>
            <w:vAlign w:val="center"/>
          </w:tcPr>
          <w:p>
            <w:pPr>
              <w:spacing w:line="240" w:lineRule="atLeast"/>
              <w:ind w:firstLine="0" w:firstLineChars="0"/>
              <w:jc w:val="center"/>
              <w:rPr>
                <w:rFonts w:ascii="仿宋" w:hAnsi="仿宋" w:eastAsia="仿宋"/>
                <w:color w:val="auto"/>
                <w:sz w:val="21"/>
                <w:szCs w:val="21"/>
              </w:rPr>
            </w:pPr>
          </w:p>
        </w:tc>
        <w:tc>
          <w:tcPr>
            <w:tcW w:w="1298" w:type="dxa"/>
            <w:vAlign w:val="center"/>
          </w:tcPr>
          <w:p>
            <w:pPr>
              <w:spacing w:line="240" w:lineRule="atLeast"/>
              <w:ind w:firstLine="0" w:firstLineChars="0"/>
              <w:jc w:val="center"/>
              <w:rPr>
                <w:rFonts w:ascii="仿宋" w:hAnsi="仿宋" w:eastAsia="仿宋"/>
                <w:color w:val="auto"/>
                <w:sz w:val="21"/>
                <w:szCs w:val="21"/>
              </w:rPr>
            </w:pPr>
          </w:p>
        </w:tc>
        <w:tc>
          <w:tcPr>
            <w:tcW w:w="1134" w:type="dxa"/>
            <w:gridSpan w:val="2"/>
            <w:vAlign w:val="center"/>
          </w:tcPr>
          <w:p>
            <w:pPr>
              <w:spacing w:line="240" w:lineRule="atLeast"/>
              <w:ind w:firstLine="0" w:firstLineChars="0"/>
              <w:jc w:val="center"/>
              <w:rPr>
                <w:rFonts w:ascii="仿宋" w:hAnsi="仿宋" w:eastAsia="仿宋"/>
                <w:color w:val="auto"/>
                <w:sz w:val="21"/>
                <w:szCs w:val="21"/>
              </w:rPr>
            </w:pPr>
          </w:p>
        </w:tc>
        <w:tc>
          <w:tcPr>
            <w:tcW w:w="1559" w:type="dxa"/>
            <w:vAlign w:val="center"/>
          </w:tcPr>
          <w:p>
            <w:pPr>
              <w:spacing w:line="240" w:lineRule="atLeast"/>
              <w:ind w:firstLine="0" w:firstLineChars="0"/>
              <w:jc w:val="center"/>
              <w:rPr>
                <w:rFonts w:ascii="仿宋" w:hAnsi="仿宋" w:eastAsia="仿宋"/>
                <w:color w:val="auto"/>
                <w:sz w:val="21"/>
                <w:szCs w:val="21"/>
              </w:rPr>
            </w:pPr>
          </w:p>
        </w:tc>
        <w:tc>
          <w:tcPr>
            <w:tcW w:w="1418" w:type="dxa"/>
            <w:vAlign w:val="center"/>
          </w:tcPr>
          <w:p>
            <w:pPr>
              <w:spacing w:line="240" w:lineRule="atLeast"/>
              <w:ind w:firstLine="0" w:firstLineChars="0"/>
              <w:jc w:val="center"/>
              <w:rPr>
                <w:rFonts w:ascii="仿宋" w:hAnsi="仿宋" w:eastAsia="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2" w:type="dxa"/>
            <w:vAlign w:val="center"/>
          </w:tcPr>
          <w:p>
            <w:pPr>
              <w:spacing w:line="240" w:lineRule="atLeast"/>
              <w:ind w:firstLine="0" w:firstLineChars="0"/>
              <w:jc w:val="center"/>
              <w:rPr>
                <w:rFonts w:ascii="仿宋" w:hAnsi="仿宋" w:eastAsia="仿宋"/>
                <w:color w:val="auto"/>
                <w:sz w:val="21"/>
                <w:szCs w:val="21"/>
              </w:rPr>
            </w:pPr>
          </w:p>
        </w:tc>
        <w:tc>
          <w:tcPr>
            <w:tcW w:w="1741" w:type="dxa"/>
            <w:vAlign w:val="center"/>
          </w:tcPr>
          <w:p>
            <w:pPr>
              <w:spacing w:line="240" w:lineRule="atLeast"/>
              <w:ind w:firstLine="0" w:firstLineChars="0"/>
              <w:jc w:val="center"/>
              <w:rPr>
                <w:rFonts w:ascii="仿宋" w:hAnsi="仿宋" w:eastAsia="仿宋"/>
                <w:color w:val="auto"/>
                <w:sz w:val="21"/>
                <w:szCs w:val="21"/>
              </w:rPr>
            </w:pPr>
          </w:p>
        </w:tc>
        <w:tc>
          <w:tcPr>
            <w:tcW w:w="984" w:type="dxa"/>
            <w:gridSpan w:val="2"/>
            <w:vAlign w:val="center"/>
          </w:tcPr>
          <w:p>
            <w:pPr>
              <w:spacing w:line="240" w:lineRule="atLeast"/>
              <w:ind w:firstLine="0" w:firstLineChars="0"/>
              <w:jc w:val="center"/>
              <w:rPr>
                <w:rFonts w:ascii="仿宋" w:hAnsi="仿宋" w:eastAsia="仿宋"/>
                <w:color w:val="auto"/>
                <w:sz w:val="21"/>
                <w:szCs w:val="21"/>
              </w:rPr>
            </w:pPr>
          </w:p>
        </w:tc>
        <w:tc>
          <w:tcPr>
            <w:tcW w:w="1298" w:type="dxa"/>
            <w:vAlign w:val="center"/>
          </w:tcPr>
          <w:p>
            <w:pPr>
              <w:spacing w:line="240" w:lineRule="atLeast"/>
              <w:ind w:firstLine="0" w:firstLineChars="0"/>
              <w:jc w:val="center"/>
              <w:rPr>
                <w:rFonts w:ascii="仿宋" w:hAnsi="仿宋" w:eastAsia="仿宋"/>
                <w:color w:val="auto"/>
                <w:sz w:val="21"/>
                <w:szCs w:val="21"/>
              </w:rPr>
            </w:pPr>
          </w:p>
        </w:tc>
        <w:tc>
          <w:tcPr>
            <w:tcW w:w="1134" w:type="dxa"/>
            <w:gridSpan w:val="2"/>
            <w:vAlign w:val="center"/>
          </w:tcPr>
          <w:p>
            <w:pPr>
              <w:spacing w:line="240" w:lineRule="atLeast"/>
              <w:ind w:firstLine="0" w:firstLineChars="0"/>
              <w:jc w:val="center"/>
              <w:rPr>
                <w:rFonts w:ascii="仿宋" w:hAnsi="仿宋" w:eastAsia="仿宋"/>
                <w:color w:val="auto"/>
                <w:sz w:val="21"/>
                <w:szCs w:val="21"/>
              </w:rPr>
            </w:pPr>
          </w:p>
        </w:tc>
        <w:tc>
          <w:tcPr>
            <w:tcW w:w="1559" w:type="dxa"/>
            <w:vAlign w:val="center"/>
          </w:tcPr>
          <w:p>
            <w:pPr>
              <w:spacing w:line="240" w:lineRule="atLeast"/>
              <w:ind w:firstLine="0" w:firstLineChars="0"/>
              <w:jc w:val="center"/>
              <w:rPr>
                <w:rFonts w:ascii="仿宋" w:hAnsi="仿宋" w:eastAsia="仿宋"/>
                <w:color w:val="auto"/>
                <w:sz w:val="21"/>
                <w:szCs w:val="21"/>
              </w:rPr>
            </w:pPr>
          </w:p>
        </w:tc>
        <w:tc>
          <w:tcPr>
            <w:tcW w:w="1418" w:type="dxa"/>
            <w:vAlign w:val="center"/>
          </w:tcPr>
          <w:p>
            <w:pPr>
              <w:spacing w:line="240" w:lineRule="atLeast"/>
              <w:ind w:firstLine="0" w:firstLineChars="0"/>
              <w:jc w:val="center"/>
              <w:rPr>
                <w:rFonts w:ascii="仿宋" w:hAnsi="仿宋" w:eastAsia="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2" w:type="dxa"/>
            <w:vAlign w:val="center"/>
          </w:tcPr>
          <w:p>
            <w:pPr>
              <w:spacing w:line="240" w:lineRule="atLeast"/>
              <w:ind w:firstLine="0" w:firstLineChars="0"/>
              <w:jc w:val="center"/>
              <w:rPr>
                <w:rFonts w:ascii="仿宋" w:hAnsi="仿宋" w:eastAsia="仿宋"/>
                <w:color w:val="auto"/>
                <w:sz w:val="21"/>
                <w:szCs w:val="21"/>
              </w:rPr>
            </w:pPr>
          </w:p>
        </w:tc>
        <w:tc>
          <w:tcPr>
            <w:tcW w:w="1741" w:type="dxa"/>
            <w:vAlign w:val="center"/>
          </w:tcPr>
          <w:p>
            <w:pPr>
              <w:spacing w:line="240" w:lineRule="atLeast"/>
              <w:ind w:firstLine="0" w:firstLineChars="0"/>
              <w:jc w:val="center"/>
              <w:rPr>
                <w:rFonts w:ascii="仿宋" w:hAnsi="仿宋" w:eastAsia="仿宋"/>
                <w:color w:val="auto"/>
                <w:sz w:val="21"/>
                <w:szCs w:val="21"/>
              </w:rPr>
            </w:pPr>
          </w:p>
        </w:tc>
        <w:tc>
          <w:tcPr>
            <w:tcW w:w="984" w:type="dxa"/>
            <w:gridSpan w:val="2"/>
            <w:vAlign w:val="center"/>
          </w:tcPr>
          <w:p>
            <w:pPr>
              <w:spacing w:line="240" w:lineRule="atLeast"/>
              <w:ind w:firstLine="0" w:firstLineChars="0"/>
              <w:jc w:val="center"/>
              <w:rPr>
                <w:rFonts w:ascii="仿宋" w:hAnsi="仿宋" w:eastAsia="仿宋"/>
                <w:color w:val="auto"/>
                <w:sz w:val="21"/>
                <w:szCs w:val="21"/>
              </w:rPr>
            </w:pPr>
          </w:p>
        </w:tc>
        <w:tc>
          <w:tcPr>
            <w:tcW w:w="1298" w:type="dxa"/>
            <w:vAlign w:val="center"/>
          </w:tcPr>
          <w:p>
            <w:pPr>
              <w:spacing w:line="240" w:lineRule="atLeast"/>
              <w:ind w:firstLine="0" w:firstLineChars="0"/>
              <w:jc w:val="center"/>
              <w:rPr>
                <w:rFonts w:ascii="仿宋" w:hAnsi="仿宋" w:eastAsia="仿宋"/>
                <w:color w:val="auto"/>
                <w:sz w:val="21"/>
                <w:szCs w:val="21"/>
              </w:rPr>
            </w:pPr>
          </w:p>
        </w:tc>
        <w:tc>
          <w:tcPr>
            <w:tcW w:w="1134" w:type="dxa"/>
            <w:gridSpan w:val="2"/>
            <w:vAlign w:val="center"/>
          </w:tcPr>
          <w:p>
            <w:pPr>
              <w:spacing w:line="240" w:lineRule="atLeast"/>
              <w:ind w:firstLine="0" w:firstLineChars="0"/>
              <w:jc w:val="center"/>
              <w:rPr>
                <w:rFonts w:ascii="仿宋" w:hAnsi="仿宋" w:eastAsia="仿宋"/>
                <w:color w:val="auto"/>
                <w:sz w:val="21"/>
                <w:szCs w:val="21"/>
              </w:rPr>
            </w:pPr>
          </w:p>
        </w:tc>
        <w:tc>
          <w:tcPr>
            <w:tcW w:w="1559" w:type="dxa"/>
            <w:vAlign w:val="center"/>
          </w:tcPr>
          <w:p>
            <w:pPr>
              <w:spacing w:line="240" w:lineRule="atLeast"/>
              <w:ind w:firstLine="0" w:firstLineChars="0"/>
              <w:jc w:val="center"/>
              <w:rPr>
                <w:rFonts w:ascii="仿宋" w:hAnsi="仿宋" w:eastAsia="仿宋"/>
                <w:color w:val="auto"/>
                <w:sz w:val="21"/>
                <w:szCs w:val="21"/>
              </w:rPr>
            </w:pPr>
          </w:p>
        </w:tc>
        <w:tc>
          <w:tcPr>
            <w:tcW w:w="1418" w:type="dxa"/>
            <w:vAlign w:val="center"/>
          </w:tcPr>
          <w:p>
            <w:pPr>
              <w:spacing w:line="240" w:lineRule="atLeast"/>
              <w:ind w:firstLine="0" w:firstLineChars="0"/>
              <w:jc w:val="center"/>
              <w:rPr>
                <w:rFonts w:ascii="仿宋" w:hAnsi="仿宋" w:eastAsia="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356" w:type="dxa"/>
            <w:gridSpan w:val="9"/>
            <w:vAlign w:val="center"/>
          </w:tcPr>
          <w:p>
            <w:pPr>
              <w:spacing w:line="240" w:lineRule="atLeast"/>
              <w:ind w:firstLine="0" w:firstLineChars="0"/>
              <w:rPr>
                <w:rFonts w:ascii="仿宋" w:hAnsi="仿宋" w:eastAsia="仿宋"/>
                <w:color w:val="auto"/>
                <w:sz w:val="21"/>
                <w:szCs w:val="21"/>
              </w:rPr>
            </w:pPr>
            <w:r>
              <w:rPr>
                <w:rFonts w:hint="eastAsia" w:ascii="仿宋" w:hAnsi="仿宋" w:eastAsia="仿宋"/>
                <w:color w:val="auto"/>
                <w:sz w:val="21"/>
                <w:szCs w:val="21"/>
              </w:rPr>
              <w:t>合计人民币（小写）：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356" w:type="dxa"/>
            <w:gridSpan w:val="9"/>
            <w:vAlign w:val="center"/>
          </w:tcPr>
          <w:p>
            <w:pPr>
              <w:spacing w:line="240" w:lineRule="atLeast"/>
              <w:ind w:firstLine="0" w:firstLineChars="0"/>
              <w:rPr>
                <w:rFonts w:ascii="仿宋" w:hAnsi="仿宋" w:eastAsia="仿宋"/>
                <w:color w:val="auto"/>
                <w:sz w:val="21"/>
                <w:szCs w:val="21"/>
              </w:rPr>
            </w:pPr>
            <w:r>
              <w:rPr>
                <w:rFonts w:hint="eastAsia" w:ascii="仿宋" w:hAnsi="仿宋" w:eastAsia="仿宋"/>
                <w:color w:val="auto"/>
                <w:sz w:val="21"/>
                <w:szCs w:val="21"/>
              </w:rPr>
              <w:t>合计人民币（大写）：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52" w:hRule="atLeast"/>
        </w:trPr>
        <w:tc>
          <w:tcPr>
            <w:tcW w:w="9356" w:type="dxa"/>
            <w:gridSpan w:val="9"/>
          </w:tcPr>
          <w:p>
            <w:pPr>
              <w:spacing w:line="240" w:lineRule="atLeast"/>
              <w:ind w:firstLine="0" w:firstLineChars="0"/>
              <w:rPr>
                <w:rFonts w:ascii="仿宋" w:hAnsi="仿宋" w:eastAsia="仿宋"/>
                <w:color w:val="auto"/>
                <w:sz w:val="21"/>
                <w:szCs w:val="21"/>
              </w:rPr>
            </w:pPr>
            <w:r>
              <w:rPr>
                <w:rFonts w:hint="eastAsia" w:ascii="仿宋" w:hAnsi="仿宋" w:eastAsia="仿宋"/>
                <w:color w:val="auto"/>
                <w:sz w:val="21"/>
                <w:szCs w:val="21"/>
              </w:rPr>
              <w:t>一、质量要求和技术标准。供方提供的商品必须是全新的，完全符合国家有关技术标准，供方的质量保证及售后服务承诺如下：</w:t>
            </w:r>
          </w:p>
          <w:p>
            <w:pPr>
              <w:spacing w:line="240" w:lineRule="atLeast"/>
              <w:ind w:firstLine="0" w:firstLineChars="0"/>
              <w:rPr>
                <w:rFonts w:ascii="仿宋" w:hAnsi="仿宋" w:eastAsia="仿宋"/>
                <w:color w:val="auto"/>
                <w:sz w:val="21"/>
                <w:szCs w:val="21"/>
              </w:rPr>
            </w:pPr>
            <w:r>
              <w:rPr>
                <w:rFonts w:hint="eastAsia" w:ascii="仿宋" w:hAnsi="仿宋" w:eastAsia="仿宋"/>
                <w:color w:val="auto"/>
                <w:sz w:val="21"/>
                <w:szCs w:val="21"/>
              </w:rPr>
              <w:t>1、质保期限：</w:t>
            </w:r>
          </w:p>
          <w:p>
            <w:pPr>
              <w:spacing w:line="240" w:lineRule="atLeast"/>
              <w:ind w:firstLine="0" w:firstLineChars="0"/>
              <w:rPr>
                <w:rFonts w:ascii="仿宋" w:hAnsi="仿宋" w:eastAsia="仿宋"/>
                <w:color w:val="auto"/>
                <w:sz w:val="21"/>
                <w:szCs w:val="21"/>
              </w:rPr>
            </w:pPr>
            <w:r>
              <w:rPr>
                <w:rFonts w:hint="eastAsia" w:ascii="仿宋" w:hAnsi="仿宋" w:eastAsia="仿宋"/>
                <w:color w:val="auto"/>
                <w:sz w:val="21"/>
                <w:szCs w:val="21"/>
              </w:rPr>
              <w:t>2、保修范围：</w:t>
            </w:r>
          </w:p>
          <w:p>
            <w:pPr>
              <w:spacing w:line="240" w:lineRule="atLeast"/>
              <w:ind w:firstLine="0" w:firstLineChars="0"/>
              <w:rPr>
                <w:rFonts w:ascii="仿宋" w:hAnsi="仿宋" w:eastAsia="仿宋"/>
                <w:color w:val="auto"/>
                <w:sz w:val="21"/>
                <w:szCs w:val="21"/>
              </w:rPr>
            </w:pPr>
            <w:r>
              <w:rPr>
                <w:rFonts w:hint="eastAsia" w:ascii="仿宋" w:hAnsi="仿宋" w:eastAsia="仿宋"/>
                <w:color w:val="auto"/>
                <w:sz w:val="21"/>
                <w:szCs w:val="21"/>
              </w:rPr>
              <w:t>3、服务措施：</w:t>
            </w:r>
          </w:p>
          <w:p>
            <w:pPr>
              <w:spacing w:line="240" w:lineRule="atLeast"/>
              <w:ind w:firstLine="0" w:firstLineChars="0"/>
              <w:rPr>
                <w:rFonts w:ascii="仿宋" w:hAnsi="仿宋" w:eastAsia="仿宋"/>
                <w:color w:val="auto"/>
                <w:sz w:val="21"/>
                <w:szCs w:val="21"/>
              </w:rPr>
            </w:pPr>
            <w:r>
              <w:rPr>
                <w:rFonts w:hint="eastAsia" w:ascii="仿宋" w:hAnsi="仿宋" w:eastAsia="仿宋"/>
                <w:color w:val="auto"/>
                <w:sz w:val="21"/>
                <w:szCs w:val="21"/>
              </w:rPr>
              <w:t>4、质保期后服务：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trPr>
        <w:tc>
          <w:tcPr>
            <w:tcW w:w="9356" w:type="dxa"/>
            <w:gridSpan w:val="9"/>
          </w:tcPr>
          <w:p>
            <w:pPr>
              <w:spacing w:line="240" w:lineRule="atLeast"/>
              <w:ind w:firstLine="0" w:firstLineChars="0"/>
              <w:rPr>
                <w:rFonts w:ascii="仿宋" w:hAnsi="仿宋" w:eastAsia="仿宋"/>
                <w:color w:val="auto"/>
                <w:sz w:val="21"/>
                <w:szCs w:val="21"/>
              </w:rPr>
            </w:pPr>
            <w:r>
              <w:rPr>
                <w:rFonts w:hint="eastAsia" w:ascii="仿宋" w:hAnsi="仿宋" w:eastAsia="仿宋"/>
                <w:color w:val="auto"/>
                <w:sz w:val="21"/>
                <w:szCs w:val="21"/>
              </w:rPr>
              <w:t>二、随机备品、附件、工具数量及供应方法：</w:t>
            </w:r>
          </w:p>
          <w:p>
            <w:pPr>
              <w:spacing w:line="240" w:lineRule="atLeast"/>
              <w:ind w:firstLine="0" w:firstLineChars="0"/>
              <w:rPr>
                <w:rFonts w:ascii="仿宋" w:hAnsi="仿宋" w:eastAsia="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356" w:type="dxa"/>
            <w:gridSpan w:val="9"/>
          </w:tcPr>
          <w:p>
            <w:pPr>
              <w:spacing w:line="240" w:lineRule="atLeast"/>
              <w:ind w:firstLine="0" w:firstLineChars="0"/>
              <w:rPr>
                <w:rFonts w:ascii="仿宋" w:hAnsi="仿宋" w:eastAsia="仿宋"/>
                <w:color w:val="auto"/>
                <w:sz w:val="21"/>
                <w:szCs w:val="21"/>
              </w:rPr>
            </w:pPr>
            <w:r>
              <w:rPr>
                <w:rFonts w:hint="eastAsia" w:ascii="仿宋" w:hAnsi="仿宋" w:eastAsia="仿宋"/>
                <w:color w:val="auto"/>
                <w:sz w:val="21"/>
                <w:szCs w:val="21"/>
              </w:rPr>
              <w:t>三、交提货方式：</w:t>
            </w:r>
          </w:p>
          <w:p>
            <w:pPr>
              <w:spacing w:line="240" w:lineRule="atLeast"/>
              <w:ind w:firstLine="0" w:firstLineChars="0"/>
              <w:rPr>
                <w:rFonts w:ascii="仿宋" w:hAnsi="仿宋" w:eastAsia="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9356" w:type="dxa"/>
            <w:gridSpan w:val="9"/>
          </w:tcPr>
          <w:p>
            <w:pPr>
              <w:spacing w:line="240" w:lineRule="atLeast"/>
              <w:ind w:firstLine="0" w:firstLineChars="0"/>
              <w:rPr>
                <w:rFonts w:ascii="仿宋" w:hAnsi="仿宋" w:eastAsia="仿宋"/>
                <w:color w:val="auto"/>
                <w:sz w:val="21"/>
                <w:szCs w:val="21"/>
              </w:rPr>
            </w:pPr>
            <w:r>
              <w:rPr>
                <w:rFonts w:hint="eastAsia" w:ascii="仿宋" w:hAnsi="仿宋" w:eastAsia="仿宋"/>
                <w:color w:val="auto"/>
                <w:sz w:val="21"/>
                <w:szCs w:val="21"/>
              </w:rPr>
              <w:t>四、验收标准、方法：</w:t>
            </w:r>
          </w:p>
          <w:p>
            <w:pPr>
              <w:spacing w:line="240" w:lineRule="atLeast"/>
              <w:ind w:firstLine="0" w:firstLineChars="0"/>
              <w:rPr>
                <w:rFonts w:ascii="仿宋" w:hAnsi="仿宋" w:eastAsia="仿宋"/>
                <w:color w:val="auto"/>
                <w:sz w:val="21"/>
                <w:szCs w:val="21"/>
              </w:rPr>
            </w:pPr>
            <w:r>
              <w:rPr>
                <w:rFonts w:hint="eastAsia" w:ascii="仿宋" w:hAnsi="仿宋" w:eastAsia="仿宋"/>
                <w:color w:val="auto"/>
                <w:sz w:val="21"/>
                <w:szCs w:val="21"/>
              </w:rPr>
              <w:t>如有异议，请于日内提出。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9356" w:type="dxa"/>
            <w:gridSpan w:val="9"/>
          </w:tcPr>
          <w:p>
            <w:pPr>
              <w:spacing w:line="240" w:lineRule="atLeast"/>
              <w:ind w:firstLine="0" w:firstLineChars="0"/>
              <w:rPr>
                <w:rFonts w:ascii="仿宋" w:hAnsi="仿宋" w:eastAsia="仿宋"/>
                <w:color w:val="auto"/>
                <w:sz w:val="21"/>
                <w:szCs w:val="21"/>
              </w:rPr>
            </w:pPr>
            <w:r>
              <w:rPr>
                <w:rFonts w:hint="eastAsia" w:ascii="仿宋" w:hAnsi="仿宋" w:eastAsia="仿宋"/>
                <w:color w:val="auto"/>
                <w:sz w:val="21"/>
                <w:szCs w:val="21"/>
              </w:rPr>
              <w:t>五、付款方式：</w:t>
            </w:r>
          </w:p>
          <w:p>
            <w:pPr>
              <w:spacing w:line="240" w:lineRule="atLeast"/>
              <w:ind w:firstLine="0" w:firstLineChars="0"/>
              <w:rPr>
                <w:rFonts w:ascii="仿宋" w:hAnsi="仿宋" w:eastAsia="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9356" w:type="dxa"/>
            <w:gridSpan w:val="9"/>
          </w:tcPr>
          <w:p>
            <w:pPr>
              <w:spacing w:line="240" w:lineRule="atLeast"/>
              <w:ind w:firstLine="0" w:firstLineChars="0"/>
              <w:rPr>
                <w:rFonts w:ascii="仿宋" w:hAnsi="仿宋" w:eastAsia="仿宋"/>
                <w:color w:val="auto"/>
                <w:sz w:val="21"/>
                <w:szCs w:val="21"/>
              </w:rPr>
            </w:pPr>
            <w:r>
              <w:rPr>
                <w:rFonts w:hint="eastAsia" w:ascii="仿宋" w:hAnsi="仿宋" w:eastAsia="仿宋"/>
                <w:color w:val="auto"/>
                <w:sz w:val="21"/>
                <w:szCs w:val="21"/>
              </w:rPr>
              <w:t>六、违约责任：</w:t>
            </w:r>
          </w:p>
          <w:p>
            <w:pPr>
              <w:spacing w:line="240" w:lineRule="atLeast"/>
              <w:ind w:firstLine="0" w:firstLineChars="0"/>
              <w:rPr>
                <w:rFonts w:ascii="仿宋" w:hAnsi="仿宋" w:eastAsia="仿宋"/>
                <w:color w:val="auto"/>
                <w:sz w:val="21"/>
                <w:szCs w:val="21"/>
              </w:rPr>
            </w:pPr>
            <w:r>
              <w:rPr>
                <w:rFonts w:hint="eastAsia" w:ascii="仿宋" w:hAnsi="仿宋" w:eastAsia="仿宋"/>
                <w:color w:val="auto"/>
                <w:sz w:val="21"/>
                <w:szCs w:val="21"/>
              </w:rPr>
              <w:t>按《民法典》、《政府采购法》执行，或按双方约定。(采购人应按项目实际情况完整填写)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356" w:type="dxa"/>
            <w:gridSpan w:val="9"/>
          </w:tcPr>
          <w:p>
            <w:pPr>
              <w:spacing w:line="240" w:lineRule="atLeast"/>
              <w:ind w:firstLine="0" w:firstLineChars="0"/>
              <w:rPr>
                <w:rFonts w:ascii="仿宋" w:hAnsi="仿宋" w:eastAsia="仿宋"/>
                <w:color w:val="auto"/>
                <w:sz w:val="21"/>
                <w:szCs w:val="21"/>
              </w:rPr>
            </w:pPr>
            <w:r>
              <w:rPr>
                <w:rFonts w:hint="eastAsia" w:ascii="仿宋" w:hAnsi="仿宋" w:eastAsia="仿宋"/>
                <w:color w:val="auto"/>
                <w:sz w:val="21"/>
                <w:szCs w:val="21"/>
              </w:rPr>
              <w:t>七、其他约定事项：</w:t>
            </w:r>
          </w:p>
          <w:p>
            <w:pPr>
              <w:spacing w:line="240" w:lineRule="atLeast"/>
              <w:ind w:firstLine="0" w:firstLineChars="0"/>
              <w:rPr>
                <w:rFonts w:ascii="仿宋" w:hAnsi="仿宋" w:eastAsia="仿宋"/>
                <w:color w:val="auto"/>
                <w:sz w:val="21"/>
                <w:szCs w:val="21"/>
              </w:rPr>
            </w:pPr>
            <w:r>
              <w:rPr>
                <w:rFonts w:hint="eastAsia" w:ascii="仿宋" w:hAnsi="仿宋" w:eastAsia="仿宋"/>
                <w:color w:val="auto"/>
                <w:sz w:val="21"/>
                <w:szCs w:val="21"/>
              </w:rPr>
              <w:t>1.招标文件及其补遗文件、投标文件和承诺是本合同不可分割的部分。</w:t>
            </w:r>
          </w:p>
          <w:p>
            <w:pPr>
              <w:spacing w:line="240" w:lineRule="atLeast"/>
              <w:ind w:firstLine="0" w:firstLineChars="0"/>
              <w:rPr>
                <w:rFonts w:ascii="仿宋" w:hAnsi="仿宋" w:eastAsia="仿宋"/>
                <w:color w:val="auto"/>
                <w:sz w:val="21"/>
                <w:szCs w:val="21"/>
              </w:rPr>
            </w:pPr>
            <w:r>
              <w:rPr>
                <w:rFonts w:hint="eastAsia" w:ascii="仿宋" w:hAnsi="仿宋" w:eastAsia="仿宋"/>
                <w:color w:val="auto"/>
                <w:sz w:val="21"/>
                <w:szCs w:val="21"/>
              </w:rPr>
              <w:t>2.本合同如发生争议由双方协商解决，协商不成向需方所在地仲裁机构提请仲裁。</w:t>
            </w:r>
          </w:p>
          <w:p>
            <w:pPr>
              <w:spacing w:line="240" w:lineRule="atLeast"/>
              <w:ind w:firstLine="0" w:firstLineChars="0"/>
              <w:rPr>
                <w:rFonts w:ascii="仿宋" w:hAnsi="仿宋" w:eastAsia="仿宋"/>
                <w:color w:val="auto"/>
                <w:sz w:val="21"/>
                <w:szCs w:val="21"/>
              </w:rPr>
            </w:pPr>
            <w:r>
              <w:rPr>
                <w:rFonts w:hint="eastAsia" w:ascii="仿宋" w:hAnsi="仿宋" w:eastAsia="仿宋"/>
                <w:color w:val="auto"/>
                <w:sz w:val="21"/>
                <w:szCs w:val="21"/>
              </w:rPr>
              <w:t>3.本合同一式__份，需方__份，供方__份具备同等法律效力。</w:t>
            </w:r>
          </w:p>
          <w:p>
            <w:pPr>
              <w:spacing w:line="240" w:lineRule="atLeast"/>
              <w:ind w:firstLine="0" w:firstLineChars="0"/>
              <w:rPr>
                <w:rFonts w:ascii="仿宋" w:hAnsi="仿宋" w:eastAsia="仿宋"/>
                <w:color w:val="auto"/>
                <w:sz w:val="21"/>
                <w:szCs w:val="21"/>
              </w:rPr>
            </w:pPr>
            <w:r>
              <w:rPr>
                <w:rFonts w:hint="eastAsia" w:ascii="仿宋" w:hAnsi="仿宋" w:eastAsia="仿宋"/>
                <w:color w:val="auto"/>
                <w:sz w:val="21"/>
                <w:szCs w:val="21"/>
              </w:rPr>
              <w:t>4.其他：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8" w:hRule="atLeast"/>
        </w:trPr>
        <w:tc>
          <w:tcPr>
            <w:tcW w:w="3118" w:type="dxa"/>
            <w:gridSpan w:val="3"/>
          </w:tcPr>
          <w:p>
            <w:pPr>
              <w:spacing w:line="240" w:lineRule="atLeast"/>
              <w:ind w:firstLine="0" w:firstLineChars="0"/>
              <w:rPr>
                <w:rFonts w:ascii="仿宋" w:hAnsi="仿宋" w:eastAsia="仿宋"/>
                <w:color w:val="auto"/>
                <w:sz w:val="21"/>
                <w:szCs w:val="21"/>
              </w:rPr>
            </w:pPr>
            <w:r>
              <w:rPr>
                <w:rFonts w:hint="eastAsia" w:ascii="仿宋" w:hAnsi="仿宋" w:eastAsia="仿宋"/>
                <w:color w:val="auto"/>
                <w:sz w:val="21"/>
                <w:szCs w:val="21"/>
              </w:rPr>
              <w:t>需方：</w:t>
            </w:r>
          </w:p>
          <w:p>
            <w:pPr>
              <w:spacing w:line="240" w:lineRule="atLeast"/>
              <w:ind w:firstLine="0" w:firstLineChars="0"/>
              <w:rPr>
                <w:rFonts w:ascii="仿宋" w:hAnsi="仿宋" w:eastAsia="仿宋"/>
                <w:color w:val="auto"/>
                <w:sz w:val="21"/>
                <w:szCs w:val="21"/>
              </w:rPr>
            </w:pPr>
          </w:p>
          <w:p>
            <w:pPr>
              <w:spacing w:line="240" w:lineRule="atLeast"/>
              <w:ind w:firstLine="0" w:firstLineChars="0"/>
              <w:rPr>
                <w:rFonts w:ascii="仿宋" w:hAnsi="仿宋" w:eastAsia="仿宋"/>
                <w:color w:val="auto"/>
                <w:sz w:val="21"/>
                <w:szCs w:val="21"/>
              </w:rPr>
            </w:pPr>
            <w:r>
              <w:rPr>
                <w:rFonts w:hint="eastAsia" w:ascii="仿宋" w:hAnsi="仿宋" w:eastAsia="仿宋"/>
                <w:color w:val="auto"/>
                <w:sz w:val="21"/>
                <w:szCs w:val="21"/>
              </w:rPr>
              <w:t>地址：</w:t>
            </w:r>
          </w:p>
          <w:p>
            <w:pPr>
              <w:spacing w:line="240" w:lineRule="atLeast"/>
              <w:ind w:firstLine="0" w:firstLineChars="0"/>
              <w:rPr>
                <w:rFonts w:ascii="仿宋" w:hAnsi="仿宋" w:eastAsia="仿宋"/>
                <w:color w:val="auto"/>
                <w:sz w:val="21"/>
                <w:szCs w:val="21"/>
              </w:rPr>
            </w:pPr>
          </w:p>
          <w:p>
            <w:pPr>
              <w:spacing w:line="240" w:lineRule="atLeast"/>
              <w:ind w:firstLine="0" w:firstLineChars="0"/>
              <w:rPr>
                <w:rFonts w:ascii="仿宋" w:hAnsi="仿宋" w:eastAsia="仿宋"/>
                <w:color w:val="auto"/>
                <w:sz w:val="21"/>
                <w:szCs w:val="21"/>
              </w:rPr>
            </w:pPr>
            <w:r>
              <w:rPr>
                <w:rFonts w:hint="eastAsia" w:ascii="仿宋" w:hAnsi="仿宋" w:eastAsia="仿宋"/>
                <w:color w:val="auto"/>
                <w:sz w:val="21"/>
                <w:szCs w:val="21"/>
              </w:rPr>
              <w:t>联系电话：</w:t>
            </w:r>
          </w:p>
          <w:p>
            <w:pPr>
              <w:spacing w:line="240" w:lineRule="atLeast"/>
              <w:ind w:firstLine="0" w:firstLineChars="0"/>
              <w:rPr>
                <w:rFonts w:ascii="仿宋" w:hAnsi="仿宋" w:eastAsia="仿宋"/>
                <w:color w:val="auto"/>
                <w:sz w:val="21"/>
                <w:szCs w:val="21"/>
              </w:rPr>
            </w:pPr>
          </w:p>
          <w:p>
            <w:pPr>
              <w:spacing w:line="240" w:lineRule="atLeast"/>
              <w:ind w:firstLine="0" w:firstLineChars="0"/>
              <w:rPr>
                <w:rFonts w:ascii="仿宋" w:hAnsi="仿宋" w:eastAsia="仿宋"/>
                <w:color w:val="auto"/>
                <w:sz w:val="21"/>
                <w:szCs w:val="21"/>
              </w:rPr>
            </w:pPr>
            <w:r>
              <w:rPr>
                <w:rFonts w:hint="eastAsia" w:ascii="仿宋" w:hAnsi="仿宋" w:eastAsia="仿宋"/>
                <w:color w:val="auto"/>
                <w:sz w:val="21"/>
                <w:szCs w:val="21"/>
              </w:rPr>
              <w:t>授权代表：</w:t>
            </w:r>
          </w:p>
        </w:tc>
        <w:tc>
          <w:tcPr>
            <w:tcW w:w="3118" w:type="dxa"/>
            <w:gridSpan w:val="3"/>
          </w:tcPr>
          <w:p>
            <w:pPr>
              <w:spacing w:line="240" w:lineRule="atLeast"/>
              <w:ind w:firstLine="0" w:firstLineChars="0"/>
              <w:rPr>
                <w:rFonts w:ascii="仿宋" w:hAnsi="仿宋" w:eastAsia="仿宋"/>
                <w:color w:val="auto"/>
                <w:sz w:val="21"/>
                <w:szCs w:val="21"/>
              </w:rPr>
            </w:pPr>
            <w:r>
              <w:rPr>
                <w:rFonts w:hint="eastAsia" w:ascii="仿宋" w:hAnsi="仿宋" w:eastAsia="仿宋"/>
                <w:color w:val="auto"/>
                <w:sz w:val="21"/>
                <w:szCs w:val="21"/>
              </w:rPr>
              <w:t>供方：</w:t>
            </w:r>
          </w:p>
          <w:p>
            <w:pPr>
              <w:spacing w:line="240" w:lineRule="atLeast"/>
              <w:ind w:firstLine="0" w:firstLineChars="0"/>
              <w:rPr>
                <w:rFonts w:ascii="仿宋" w:hAnsi="仿宋" w:eastAsia="仿宋"/>
                <w:color w:val="auto"/>
                <w:sz w:val="21"/>
                <w:szCs w:val="21"/>
              </w:rPr>
            </w:pPr>
            <w:r>
              <w:rPr>
                <w:rFonts w:hint="eastAsia" w:ascii="仿宋" w:hAnsi="仿宋" w:eastAsia="仿宋"/>
                <w:color w:val="auto"/>
                <w:sz w:val="21"/>
                <w:szCs w:val="21"/>
              </w:rPr>
              <w:t>地址：</w:t>
            </w:r>
          </w:p>
          <w:p>
            <w:pPr>
              <w:spacing w:line="240" w:lineRule="atLeast"/>
              <w:ind w:firstLine="0" w:firstLineChars="0"/>
              <w:rPr>
                <w:rFonts w:ascii="仿宋" w:hAnsi="仿宋" w:eastAsia="仿宋"/>
                <w:color w:val="auto"/>
                <w:sz w:val="21"/>
                <w:szCs w:val="21"/>
              </w:rPr>
            </w:pPr>
            <w:r>
              <w:rPr>
                <w:rFonts w:hint="eastAsia" w:ascii="仿宋" w:hAnsi="仿宋" w:eastAsia="仿宋"/>
                <w:color w:val="auto"/>
                <w:sz w:val="21"/>
                <w:szCs w:val="21"/>
              </w:rPr>
              <w:t>电话：</w:t>
            </w:r>
          </w:p>
          <w:p>
            <w:pPr>
              <w:spacing w:line="240" w:lineRule="atLeast"/>
              <w:ind w:firstLine="0" w:firstLineChars="0"/>
              <w:rPr>
                <w:rFonts w:ascii="仿宋" w:hAnsi="仿宋" w:eastAsia="仿宋"/>
                <w:color w:val="auto"/>
                <w:sz w:val="21"/>
                <w:szCs w:val="21"/>
              </w:rPr>
            </w:pPr>
            <w:r>
              <w:rPr>
                <w:rFonts w:hint="eastAsia" w:ascii="仿宋" w:hAnsi="仿宋" w:eastAsia="仿宋"/>
                <w:color w:val="auto"/>
                <w:sz w:val="21"/>
                <w:szCs w:val="21"/>
              </w:rPr>
              <w:t>传真：</w:t>
            </w:r>
          </w:p>
          <w:p>
            <w:pPr>
              <w:spacing w:line="240" w:lineRule="atLeast"/>
              <w:ind w:firstLine="0" w:firstLineChars="0"/>
              <w:rPr>
                <w:rFonts w:ascii="仿宋" w:hAnsi="仿宋" w:eastAsia="仿宋"/>
                <w:color w:val="auto"/>
                <w:sz w:val="21"/>
                <w:szCs w:val="21"/>
              </w:rPr>
            </w:pPr>
            <w:r>
              <w:rPr>
                <w:rFonts w:hint="eastAsia" w:ascii="仿宋" w:hAnsi="仿宋" w:eastAsia="仿宋"/>
                <w:color w:val="auto"/>
                <w:sz w:val="21"/>
                <w:szCs w:val="21"/>
              </w:rPr>
              <w:t>开户银行：</w:t>
            </w:r>
          </w:p>
          <w:p>
            <w:pPr>
              <w:spacing w:line="240" w:lineRule="atLeast"/>
              <w:ind w:firstLine="0" w:firstLineChars="0"/>
              <w:rPr>
                <w:rFonts w:ascii="仿宋" w:hAnsi="仿宋" w:eastAsia="仿宋"/>
                <w:color w:val="auto"/>
                <w:sz w:val="21"/>
                <w:szCs w:val="21"/>
              </w:rPr>
            </w:pPr>
            <w:r>
              <w:rPr>
                <w:rFonts w:hint="eastAsia" w:ascii="仿宋" w:hAnsi="仿宋" w:eastAsia="仿宋"/>
                <w:color w:val="auto"/>
                <w:sz w:val="21"/>
                <w:szCs w:val="21"/>
              </w:rPr>
              <w:t>账号：</w:t>
            </w:r>
          </w:p>
          <w:p>
            <w:pPr>
              <w:spacing w:line="240" w:lineRule="atLeast"/>
              <w:ind w:firstLine="0" w:firstLineChars="0"/>
              <w:rPr>
                <w:rFonts w:ascii="仿宋" w:hAnsi="仿宋" w:eastAsia="仿宋"/>
                <w:color w:val="auto"/>
                <w:sz w:val="21"/>
                <w:szCs w:val="21"/>
              </w:rPr>
            </w:pPr>
            <w:r>
              <w:rPr>
                <w:rFonts w:hint="eastAsia" w:ascii="仿宋" w:hAnsi="仿宋" w:eastAsia="仿宋"/>
                <w:color w:val="auto"/>
                <w:sz w:val="21"/>
                <w:szCs w:val="21"/>
              </w:rPr>
              <w:t>授权代表：</w:t>
            </w:r>
          </w:p>
          <w:p>
            <w:pPr>
              <w:spacing w:line="240" w:lineRule="atLeast"/>
              <w:ind w:firstLine="0" w:firstLineChars="0"/>
              <w:rPr>
                <w:rFonts w:ascii="仿宋" w:hAnsi="仿宋" w:eastAsia="仿宋"/>
                <w:color w:val="auto"/>
                <w:sz w:val="21"/>
                <w:szCs w:val="21"/>
              </w:rPr>
            </w:pPr>
            <w:r>
              <w:rPr>
                <w:rFonts w:hint="eastAsia" w:ascii="仿宋" w:hAnsi="仿宋" w:eastAsia="仿宋"/>
                <w:color w:val="auto"/>
                <w:sz w:val="18"/>
                <w:szCs w:val="18"/>
              </w:rPr>
              <w:t>（本栏请用计算机打印以便于准确付款）</w:t>
            </w:r>
          </w:p>
        </w:tc>
        <w:tc>
          <w:tcPr>
            <w:tcW w:w="3120" w:type="dxa"/>
            <w:gridSpan w:val="3"/>
          </w:tcPr>
          <w:p>
            <w:pPr>
              <w:spacing w:line="240" w:lineRule="atLeast"/>
              <w:ind w:firstLine="0" w:firstLineChars="0"/>
              <w:rPr>
                <w:rFonts w:ascii="仿宋" w:hAnsi="仿宋" w:eastAsia="仿宋"/>
                <w:color w:val="auto"/>
                <w:sz w:val="21"/>
                <w:szCs w:val="21"/>
              </w:rPr>
            </w:pPr>
            <w:r>
              <w:rPr>
                <w:rFonts w:hint="eastAsia" w:ascii="仿宋" w:hAnsi="仿宋" w:eastAsia="仿宋"/>
                <w:color w:val="auto"/>
                <w:sz w:val="21"/>
                <w:szCs w:val="21"/>
              </w:rPr>
              <w:t xml:space="preserve">见证方（盖章）： </w:t>
            </w:r>
          </w:p>
          <w:p>
            <w:pPr>
              <w:spacing w:line="240" w:lineRule="atLeast"/>
              <w:ind w:firstLine="0" w:firstLineChars="0"/>
              <w:rPr>
                <w:rFonts w:ascii="仿宋" w:hAnsi="仿宋" w:eastAsia="仿宋"/>
                <w:color w:val="auto"/>
                <w:sz w:val="21"/>
                <w:szCs w:val="21"/>
              </w:rPr>
            </w:pPr>
          </w:p>
          <w:p>
            <w:pPr>
              <w:spacing w:line="240" w:lineRule="atLeast"/>
              <w:ind w:firstLine="0" w:firstLineChars="0"/>
              <w:rPr>
                <w:rFonts w:ascii="仿宋" w:hAnsi="仿宋" w:eastAsia="仿宋"/>
                <w:color w:val="auto"/>
                <w:sz w:val="21"/>
                <w:szCs w:val="21"/>
              </w:rPr>
            </w:pPr>
            <w:r>
              <w:rPr>
                <w:rFonts w:hint="eastAsia" w:ascii="仿宋" w:hAnsi="仿宋" w:eastAsia="仿宋"/>
                <w:color w:val="auto"/>
                <w:sz w:val="21"/>
                <w:szCs w:val="21"/>
              </w:rPr>
              <w:t>地址：重庆市巴南区龙洲湾街道公园北路12号（重庆市巴南区行政服务和公共资源交易中心三楼）</w:t>
            </w:r>
          </w:p>
          <w:p>
            <w:pPr>
              <w:spacing w:line="240" w:lineRule="atLeast"/>
              <w:ind w:firstLine="0" w:firstLineChars="0"/>
              <w:rPr>
                <w:rFonts w:ascii="仿宋" w:hAnsi="仿宋" w:eastAsia="仿宋"/>
                <w:color w:val="auto"/>
                <w:sz w:val="21"/>
                <w:szCs w:val="21"/>
              </w:rPr>
            </w:pPr>
          </w:p>
          <w:p>
            <w:pPr>
              <w:spacing w:line="240" w:lineRule="atLeast"/>
              <w:ind w:firstLine="0" w:firstLineChars="0"/>
              <w:rPr>
                <w:rFonts w:ascii="仿宋" w:hAnsi="仿宋" w:eastAsia="仿宋"/>
                <w:color w:val="auto"/>
                <w:sz w:val="21"/>
                <w:szCs w:val="21"/>
              </w:rPr>
            </w:pPr>
            <w:r>
              <w:rPr>
                <w:rFonts w:hint="eastAsia" w:ascii="仿宋" w:hAnsi="仿宋" w:eastAsia="仿宋"/>
                <w:color w:val="auto"/>
                <w:sz w:val="21"/>
                <w:szCs w:val="21"/>
              </w:rPr>
              <w:t>联系电话：</w:t>
            </w:r>
          </w:p>
          <w:p>
            <w:pPr>
              <w:spacing w:line="240" w:lineRule="atLeast"/>
              <w:ind w:firstLine="0" w:firstLineChars="0"/>
              <w:rPr>
                <w:rFonts w:ascii="仿宋" w:hAnsi="仿宋" w:eastAsia="仿宋"/>
                <w:color w:val="auto"/>
                <w:sz w:val="21"/>
                <w:szCs w:val="21"/>
              </w:rPr>
            </w:pPr>
          </w:p>
          <w:p>
            <w:pPr>
              <w:spacing w:line="240" w:lineRule="atLeast"/>
              <w:ind w:firstLine="0" w:firstLineChars="0"/>
              <w:rPr>
                <w:rFonts w:ascii="仿宋" w:hAnsi="仿宋" w:eastAsia="仿宋"/>
                <w:color w:val="auto"/>
                <w:sz w:val="21"/>
                <w:szCs w:val="21"/>
              </w:rPr>
            </w:pPr>
            <w:r>
              <w:rPr>
                <w:rFonts w:hint="eastAsia" w:ascii="仿宋" w:hAnsi="仿宋" w:eastAsia="仿宋"/>
                <w:color w:val="auto"/>
                <w:sz w:val="21"/>
                <w:szCs w:val="21"/>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356" w:type="dxa"/>
            <w:gridSpan w:val="9"/>
          </w:tcPr>
          <w:p>
            <w:pPr>
              <w:spacing w:line="240" w:lineRule="atLeast"/>
              <w:ind w:firstLine="0" w:firstLineChars="0"/>
              <w:rPr>
                <w:rFonts w:ascii="仿宋" w:hAnsi="仿宋" w:eastAsia="仿宋"/>
                <w:color w:val="auto"/>
                <w:sz w:val="21"/>
                <w:szCs w:val="21"/>
              </w:rPr>
            </w:pPr>
            <w:r>
              <w:rPr>
                <w:rFonts w:hint="eastAsia" w:ascii="仿宋" w:hAnsi="仿宋" w:eastAsia="仿宋"/>
                <w:color w:val="auto"/>
                <w:sz w:val="21"/>
                <w:szCs w:val="21"/>
              </w:rPr>
              <w:t>备注：</w:t>
            </w:r>
          </w:p>
          <w:p>
            <w:pPr>
              <w:spacing w:line="240" w:lineRule="atLeast"/>
              <w:ind w:firstLine="0" w:firstLineChars="0"/>
              <w:rPr>
                <w:rFonts w:ascii="仿宋" w:hAnsi="仿宋" w:eastAsia="仿宋"/>
                <w:color w:val="auto"/>
                <w:sz w:val="21"/>
                <w:szCs w:val="21"/>
              </w:rPr>
            </w:pPr>
          </w:p>
          <w:p>
            <w:pPr>
              <w:spacing w:line="240" w:lineRule="atLeast"/>
              <w:ind w:firstLine="0" w:firstLineChars="0"/>
              <w:rPr>
                <w:rFonts w:ascii="仿宋" w:hAnsi="仿宋" w:eastAsia="仿宋"/>
                <w:color w:val="auto"/>
                <w:sz w:val="21"/>
                <w:szCs w:val="21"/>
              </w:rPr>
            </w:pPr>
          </w:p>
        </w:tc>
      </w:tr>
    </w:tbl>
    <w:p>
      <w:pPr>
        <w:spacing w:line="500" w:lineRule="exact"/>
        <w:ind w:firstLine="438"/>
        <w:rPr>
          <w:rFonts w:ascii="仿宋" w:hAnsi="仿宋" w:eastAsia="仿宋"/>
          <w:color w:val="auto"/>
        </w:rPr>
      </w:pPr>
      <w:r>
        <w:rPr>
          <w:rFonts w:hint="eastAsia" w:ascii="仿宋" w:hAnsi="仿宋" w:eastAsia="仿宋"/>
          <w:color w:val="auto"/>
        </w:rPr>
        <w:t>签约时间：      年   月   日</w:t>
      </w:r>
      <w:r>
        <w:rPr>
          <w:rFonts w:hint="eastAsia" w:ascii="仿宋" w:hAnsi="仿宋" w:eastAsia="仿宋"/>
          <w:color w:val="auto"/>
        </w:rPr>
        <w:tab/>
      </w:r>
      <w:r>
        <w:rPr>
          <w:rFonts w:hint="eastAsia" w:ascii="仿宋" w:hAnsi="仿宋" w:eastAsia="仿宋"/>
          <w:color w:val="auto"/>
        </w:rPr>
        <w:tab/>
      </w:r>
      <w:r>
        <w:rPr>
          <w:rFonts w:hint="eastAsia" w:ascii="仿宋" w:hAnsi="仿宋" w:eastAsia="仿宋"/>
          <w:color w:val="auto"/>
        </w:rPr>
        <w:tab/>
      </w:r>
      <w:r>
        <w:rPr>
          <w:rFonts w:hint="eastAsia" w:ascii="仿宋" w:hAnsi="仿宋" w:eastAsia="仿宋"/>
          <w:color w:val="auto"/>
        </w:rPr>
        <w:tab/>
      </w:r>
      <w:r>
        <w:rPr>
          <w:rFonts w:hint="eastAsia" w:ascii="仿宋" w:hAnsi="仿宋" w:eastAsia="仿宋"/>
          <w:color w:val="auto"/>
        </w:rPr>
        <w:t>签约地点：</w:t>
      </w:r>
    </w:p>
    <w:bookmarkEnd w:id="766"/>
    <w:p>
      <w:pPr>
        <w:ind w:firstLine="425" w:firstLineChars="194"/>
        <w:jc w:val="left"/>
        <w:rPr>
          <w:color w:val="auto"/>
        </w:rPr>
      </w:pPr>
      <w:r>
        <w:rPr>
          <w:rFonts w:ascii="仿宋" w:hAnsi="仿宋" w:eastAsia="仿宋"/>
          <w:color w:val="auto"/>
        </w:rPr>
        <w:br w:type="page"/>
      </w:r>
    </w:p>
    <w:p>
      <w:pPr>
        <w:pStyle w:val="3"/>
        <w:numPr>
          <w:ilvl w:val="0"/>
          <w:numId w:val="1"/>
        </w:numPr>
        <w:tabs>
          <w:tab w:val="clear" w:pos="3360"/>
        </w:tabs>
        <w:spacing w:before="196" w:after="196"/>
        <w:rPr>
          <w:rFonts w:hint="eastAsia" w:ascii="方正小标宋简体" w:eastAsia="方正小标宋简体"/>
          <w:color w:val="auto"/>
          <w:szCs w:val="22"/>
        </w:rPr>
      </w:pPr>
      <w:bookmarkStart w:id="781" w:name="_Toc3550"/>
      <w:bookmarkStart w:id="782" w:name="_Toc63600443"/>
      <w:bookmarkStart w:id="783" w:name="_Toc22880"/>
      <w:bookmarkStart w:id="784" w:name="_Toc20926"/>
      <w:bookmarkStart w:id="785" w:name="_Toc31227"/>
      <w:bookmarkStart w:id="786" w:name="_Toc14474"/>
      <w:bookmarkStart w:id="787" w:name="_Toc13701"/>
      <w:bookmarkStart w:id="788" w:name="_Toc5491"/>
      <w:bookmarkStart w:id="789" w:name="_Toc23759"/>
      <w:bookmarkStart w:id="790" w:name="_Toc19827"/>
      <w:bookmarkStart w:id="791" w:name="_Toc11269"/>
      <w:bookmarkStart w:id="792" w:name="_Toc5108"/>
      <w:bookmarkStart w:id="793" w:name="_Toc744"/>
      <w:bookmarkStart w:id="794" w:name="_Toc14291"/>
      <w:r>
        <w:rPr>
          <w:rFonts w:hint="eastAsia" w:ascii="方正小标宋简体" w:eastAsia="方正小标宋简体"/>
          <w:color w:val="auto"/>
          <w:szCs w:val="22"/>
        </w:rPr>
        <w:t>投标文件格式</w:t>
      </w:r>
      <w:bookmarkEnd w:id="713"/>
      <w:bookmarkEnd w:id="714"/>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p>
    <w:p>
      <w:pPr>
        <w:spacing w:line="440" w:lineRule="exact"/>
        <w:ind w:firstLine="0" w:firstLineChars="0"/>
        <w:jc w:val="center"/>
        <w:rPr>
          <w:rFonts w:ascii="仿宋" w:hAnsi="仿宋" w:eastAsia="仿宋"/>
          <w:color w:val="auto"/>
        </w:rPr>
      </w:pPr>
      <w:bookmarkStart w:id="795" w:name="_Toc26317"/>
      <w:bookmarkStart w:id="796" w:name="_Toc25864"/>
      <w:bookmarkStart w:id="797" w:name="_Toc24536"/>
      <w:bookmarkStart w:id="798" w:name="_Toc11783"/>
      <w:bookmarkStart w:id="799" w:name="_Toc3935"/>
      <w:bookmarkStart w:id="800" w:name="_Toc9504"/>
      <w:bookmarkStart w:id="801" w:name="_Toc7802"/>
      <w:bookmarkStart w:id="802" w:name="_Toc26683"/>
      <w:bookmarkStart w:id="803" w:name="_Toc12933"/>
      <w:bookmarkStart w:id="804" w:name="_Toc954"/>
      <w:bookmarkStart w:id="805" w:name="_Toc6139"/>
      <w:bookmarkStart w:id="806" w:name="_Toc17080"/>
      <w:bookmarkStart w:id="807" w:name="_Toc32509"/>
      <w:bookmarkStart w:id="808" w:name="_Toc3600"/>
      <w:bookmarkStart w:id="809" w:name="_Toc26018"/>
      <w:bookmarkStart w:id="810" w:name="_Toc14438"/>
      <w:bookmarkStart w:id="811" w:name="_Toc30790"/>
      <w:bookmarkStart w:id="812" w:name="_Toc7661"/>
      <w:bookmarkStart w:id="813" w:name="_Toc20489904"/>
      <w:bookmarkStart w:id="814" w:name="_Toc14950"/>
      <w:bookmarkStart w:id="815" w:name="_Toc22181"/>
      <w:bookmarkStart w:id="816" w:name="_Toc2730"/>
      <w:bookmarkStart w:id="817" w:name="_Toc7121"/>
      <w:bookmarkStart w:id="818" w:name="_Toc32455"/>
      <w:r>
        <w:rPr>
          <w:rFonts w:hint="eastAsia" w:ascii="仿宋" w:hAnsi="仿宋" w:eastAsia="仿宋"/>
          <w:color w:val="auto"/>
        </w:rPr>
        <w:t>（请按本篇要求提供</w:t>
      </w:r>
      <w:bookmarkEnd w:id="795"/>
      <w:bookmarkEnd w:id="796"/>
      <w:bookmarkEnd w:id="797"/>
      <w:bookmarkEnd w:id="798"/>
      <w:bookmarkEnd w:id="799"/>
      <w:bookmarkEnd w:id="800"/>
      <w:bookmarkEnd w:id="801"/>
      <w:bookmarkEnd w:id="802"/>
      <w:bookmarkEnd w:id="803"/>
      <w:bookmarkEnd w:id="804"/>
      <w:bookmarkEnd w:id="805"/>
      <w:r>
        <w:rPr>
          <w:rFonts w:hint="eastAsia" w:ascii="仿宋" w:hAnsi="仿宋" w:eastAsia="仿宋"/>
          <w:color w:val="auto"/>
        </w:rPr>
        <w:t>）</w:t>
      </w:r>
    </w:p>
    <w:p>
      <w:pPr>
        <w:keepNext/>
        <w:keepLines/>
        <w:adjustRightInd w:val="0"/>
        <w:snapToGrid w:val="0"/>
        <w:ind w:firstLine="440"/>
        <w:rPr>
          <w:rFonts w:ascii="仿宋" w:hAnsi="仿宋" w:eastAsia="仿宋"/>
          <w:b/>
          <w:bCs/>
          <w:color w:val="auto"/>
        </w:rPr>
      </w:pPr>
      <w:r>
        <w:rPr>
          <w:rFonts w:hint="eastAsia" w:ascii="仿宋" w:hAnsi="仿宋" w:eastAsia="仿宋"/>
          <w:b/>
          <w:bCs/>
          <w:color w:val="auto"/>
        </w:rPr>
        <w:t>一、经济文件</w:t>
      </w:r>
      <w:bookmarkEnd w:id="806"/>
      <w:bookmarkEnd w:id="807"/>
      <w:bookmarkEnd w:id="808"/>
      <w:bookmarkEnd w:id="809"/>
      <w:bookmarkEnd w:id="810"/>
      <w:bookmarkEnd w:id="811"/>
      <w:bookmarkEnd w:id="812"/>
      <w:bookmarkEnd w:id="813"/>
      <w:bookmarkEnd w:id="814"/>
      <w:bookmarkEnd w:id="815"/>
      <w:bookmarkEnd w:id="816"/>
      <w:bookmarkEnd w:id="817"/>
      <w:bookmarkEnd w:id="818"/>
    </w:p>
    <w:p>
      <w:pPr>
        <w:ind w:firstLine="438"/>
        <w:rPr>
          <w:rFonts w:ascii="仿宋" w:hAnsi="仿宋" w:eastAsia="仿宋"/>
          <w:color w:val="auto"/>
        </w:rPr>
      </w:pPr>
      <w:r>
        <w:rPr>
          <w:rFonts w:hint="eastAsia" w:ascii="仿宋" w:hAnsi="仿宋" w:eastAsia="仿宋"/>
          <w:color w:val="auto"/>
        </w:rPr>
        <w:t>（一）开标一览表</w:t>
      </w:r>
    </w:p>
    <w:p>
      <w:pPr>
        <w:ind w:firstLine="438"/>
        <w:rPr>
          <w:rFonts w:ascii="仿宋" w:hAnsi="仿宋" w:eastAsia="仿宋"/>
          <w:color w:val="auto"/>
          <w:szCs w:val="22"/>
        </w:rPr>
      </w:pPr>
      <w:r>
        <w:rPr>
          <w:rFonts w:hint="eastAsia" w:ascii="仿宋" w:hAnsi="仿宋" w:eastAsia="仿宋"/>
          <w:color w:val="auto"/>
          <w:szCs w:val="22"/>
        </w:rPr>
        <w:t>（二）分项报价明细表</w:t>
      </w:r>
    </w:p>
    <w:p>
      <w:pPr>
        <w:keepNext/>
        <w:keepLines/>
        <w:adjustRightInd w:val="0"/>
        <w:snapToGrid w:val="0"/>
        <w:ind w:firstLine="440"/>
        <w:rPr>
          <w:rFonts w:ascii="仿宋" w:hAnsi="仿宋" w:eastAsia="仿宋"/>
          <w:b/>
          <w:bCs/>
          <w:color w:val="auto"/>
        </w:rPr>
      </w:pPr>
      <w:bookmarkStart w:id="819" w:name="_Toc12630"/>
      <w:bookmarkStart w:id="820" w:name="_Toc2498"/>
      <w:bookmarkStart w:id="821" w:name="_Toc24299"/>
      <w:bookmarkStart w:id="822" w:name="_Toc17374"/>
      <w:bookmarkStart w:id="823" w:name="_Toc12972"/>
      <w:bookmarkStart w:id="824" w:name="_Toc26666"/>
      <w:bookmarkStart w:id="825" w:name="_Toc20489906"/>
      <w:bookmarkStart w:id="826" w:name="_Toc7919"/>
      <w:bookmarkStart w:id="827" w:name="_Toc1784"/>
      <w:bookmarkStart w:id="828" w:name="_Toc31068"/>
      <w:bookmarkStart w:id="829" w:name="_Toc25567"/>
      <w:bookmarkStart w:id="830" w:name="_Toc6603"/>
      <w:bookmarkStart w:id="831" w:name="_Toc4249"/>
      <w:r>
        <w:rPr>
          <w:rFonts w:hint="eastAsia" w:ascii="仿宋" w:hAnsi="仿宋" w:eastAsia="仿宋"/>
          <w:b/>
          <w:bCs/>
          <w:color w:val="auto"/>
        </w:rPr>
        <w:t>二、</w:t>
      </w:r>
      <w:bookmarkStart w:id="832" w:name="_Hlk70156923"/>
      <w:r>
        <w:rPr>
          <w:rFonts w:hint="eastAsia" w:ascii="仿宋" w:hAnsi="仿宋" w:eastAsia="仿宋"/>
          <w:b/>
          <w:bCs/>
          <w:color w:val="auto"/>
        </w:rPr>
        <w:t>技术（质量）文件</w:t>
      </w:r>
      <w:bookmarkEnd w:id="819"/>
      <w:bookmarkEnd w:id="820"/>
      <w:bookmarkEnd w:id="821"/>
      <w:bookmarkEnd w:id="822"/>
      <w:bookmarkEnd w:id="823"/>
      <w:bookmarkEnd w:id="824"/>
      <w:bookmarkEnd w:id="825"/>
      <w:bookmarkEnd w:id="826"/>
      <w:bookmarkEnd w:id="827"/>
      <w:bookmarkEnd w:id="828"/>
      <w:bookmarkEnd w:id="829"/>
      <w:bookmarkEnd w:id="830"/>
      <w:bookmarkEnd w:id="831"/>
    </w:p>
    <w:p>
      <w:pPr>
        <w:ind w:firstLine="438"/>
        <w:rPr>
          <w:rFonts w:ascii="仿宋" w:hAnsi="仿宋" w:eastAsia="仿宋"/>
          <w:color w:val="auto"/>
          <w:szCs w:val="22"/>
        </w:rPr>
      </w:pPr>
      <w:r>
        <w:rPr>
          <w:rFonts w:hint="eastAsia" w:ascii="仿宋" w:hAnsi="仿宋" w:eastAsia="仿宋"/>
          <w:color w:val="auto"/>
          <w:szCs w:val="22"/>
        </w:rPr>
        <w:t>（一）技术（质量）条款差异表</w:t>
      </w:r>
    </w:p>
    <w:p>
      <w:pPr>
        <w:ind w:firstLine="438"/>
        <w:rPr>
          <w:rFonts w:ascii="仿宋" w:hAnsi="仿宋" w:eastAsia="仿宋"/>
          <w:color w:val="auto"/>
        </w:rPr>
      </w:pPr>
      <w:r>
        <w:rPr>
          <w:rFonts w:hint="eastAsia" w:ascii="仿宋" w:hAnsi="仿宋" w:eastAsia="仿宋"/>
          <w:color w:val="auto"/>
        </w:rPr>
        <w:t>（二）所投产品属于《财政部 生态环境部关于印发环境标志产品政府采购品目清单的通知》（财库〔2019〕18号）、《财政部 发展改革委关于印发节能产品政府采购品目清单的通知》（财库〔2019〕19号）范围内的节能产品或环境标志产品的证明文件（如果有）</w:t>
      </w:r>
    </w:p>
    <w:p>
      <w:pPr>
        <w:ind w:firstLine="438"/>
        <w:rPr>
          <w:rFonts w:ascii="仿宋" w:hAnsi="仿宋" w:eastAsia="仿宋"/>
          <w:color w:val="auto"/>
          <w:szCs w:val="22"/>
        </w:rPr>
      </w:pPr>
      <w:r>
        <w:rPr>
          <w:rFonts w:hint="eastAsia" w:ascii="仿宋" w:hAnsi="仿宋" w:eastAsia="仿宋"/>
          <w:color w:val="auto"/>
          <w:szCs w:val="22"/>
        </w:rPr>
        <w:t>（三）第二篇所需方案或证明材料（如果有）</w:t>
      </w:r>
    </w:p>
    <w:p>
      <w:pPr>
        <w:ind w:firstLine="438"/>
        <w:rPr>
          <w:rFonts w:ascii="仿宋" w:hAnsi="仿宋" w:eastAsia="仿宋"/>
          <w:color w:val="auto"/>
          <w:szCs w:val="22"/>
        </w:rPr>
      </w:pPr>
      <w:r>
        <w:rPr>
          <w:rFonts w:hint="eastAsia" w:ascii="仿宋" w:hAnsi="仿宋" w:eastAsia="仿宋"/>
          <w:color w:val="auto"/>
          <w:szCs w:val="22"/>
        </w:rPr>
        <w:t>（四）第四篇评审因素技术部分所需方案或证明材料</w:t>
      </w:r>
    </w:p>
    <w:p>
      <w:pPr>
        <w:ind w:firstLine="438"/>
        <w:rPr>
          <w:rFonts w:ascii="仿宋" w:hAnsi="仿宋" w:eastAsia="仿宋"/>
          <w:color w:val="auto"/>
          <w:szCs w:val="22"/>
        </w:rPr>
      </w:pPr>
      <w:r>
        <w:rPr>
          <w:rFonts w:hint="eastAsia" w:ascii="仿宋" w:hAnsi="仿宋" w:eastAsia="仿宋"/>
          <w:color w:val="auto"/>
          <w:szCs w:val="22"/>
        </w:rPr>
        <w:t>（五）其他技术（质量）资料</w:t>
      </w:r>
    </w:p>
    <w:bookmarkEnd w:id="832"/>
    <w:p>
      <w:pPr>
        <w:keepNext/>
        <w:keepLines/>
        <w:adjustRightInd w:val="0"/>
        <w:snapToGrid w:val="0"/>
        <w:ind w:firstLine="440"/>
        <w:rPr>
          <w:rFonts w:ascii="仿宋" w:hAnsi="仿宋" w:eastAsia="仿宋"/>
          <w:b/>
          <w:bCs/>
          <w:color w:val="auto"/>
        </w:rPr>
      </w:pPr>
      <w:bookmarkStart w:id="833" w:name="_Toc28937"/>
      <w:bookmarkStart w:id="834" w:name="_Toc20489907"/>
      <w:bookmarkStart w:id="835" w:name="_Toc483"/>
      <w:bookmarkStart w:id="836" w:name="_Toc9919"/>
      <w:bookmarkStart w:id="837" w:name="_Toc31865"/>
      <w:bookmarkStart w:id="838" w:name="_Toc30928"/>
      <w:bookmarkStart w:id="839" w:name="_Toc26272"/>
      <w:bookmarkStart w:id="840" w:name="_Toc27869"/>
      <w:bookmarkStart w:id="841" w:name="_Toc7460"/>
      <w:bookmarkStart w:id="842" w:name="_Toc304"/>
      <w:bookmarkStart w:id="843" w:name="_Toc4985"/>
      <w:bookmarkStart w:id="844" w:name="_Toc29895"/>
      <w:bookmarkStart w:id="845" w:name="_Toc8605"/>
      <w:r>
        <w:rPr>
          <w:rFonts w:hint="eastAsia" w:ascii="仿宋" w:hAnsi="仿宋" w:eastAsia="仿宋"/>
          <w:b/>
          <w:bCs/>
          <w:color w:val="auto"/>
        </w:rPr>
        <w:t>三、商务文件</w:t>
      </w:r>
      <w:bookmarkEnd w:id="833"/>
      <w:bookmarkEnd w:id="834"/>
      <w:bookmarkEnd w:id="835"/>
      <w:bookmarkEnd w:id="836"/>
      <w:bookmarkEnd w:id="837"/>
      <w:bookmarkEnd w:id="838"/>
      <w:bookmarkEnd w:id="839"/>
      <w:bookmarkEnd w:id="840"/>
      <w:bookmarkEnd w:id="841"/>
      <w:bookmarkEnd w:id="842"/>
      <w:bookmarkEnd w:id="843"/>
      <w:bookmarkEnd w:id="844"/>
      <w:bookmarkEnd w:id="845"/>
    </w:p>
    <w:p>
      <w:pPr>
        <w:ind w:firstLine="438"/>
        <w:rPr>
          <w:rFonts w:ascii="仿宋" w:hAnsi="仿宋" w:eastAsia="仿宋"/>
          <w:color w:val="auto"/>
        </w:rPr>
      </w:pPr>
      <w:r>
        <w:rPr>
          <w:rFonts w:hint="eastAsia" w:ascii="仿宋" w:hAnsi="仿宋" w:eastAsia="仿宋"/>
          <w:color w:val="auto"/>
        </w:rPr>
        <w:t>（一）投标函（格式）</w:t>
      </w:r>
    </w:p>
    <w:p>
      <w:pPr>
        <w:ind w:firstLine="438"/>
        <w:rPr>
          <w:rFonts w:ascii="仿宋" w:hAnsi="仿宋" w:eastAsia="仿宋"/>
          <w:color w:val="auto"/>
        </w:rPr>
      </w:pPr>
      <w:r>
        <w:rPr>
          <w:rFonts w:hint="eastAsia" w:ascii="仿宋" w:hAnsi="仿宋" w:eastAsia="仿宋"/>
          <w:color w:val="auto"/>
        </w:rPr>
        <w:t>（二）商务条款差异表</w:t>
      </w:r>
    </w:p>
    <w:p>
      <w:pPr>
        <w:ind w:firstLine="438"/>
        <w:rPr>
          <w:rFonts w:ascii="仿宋" w:hAnsi="仿宋" w:eastAsia="仿宋"/>
          <w:color w:val="auto"/>
        </w:rPr>
      </w:pPr>
      <w:r>
        <w:rPr>
          <w:rFonts w:hint="eastAsia" w:ascii="仿宋" w:hAnsi="仿宋" w:eastAsia="仿宋"/>
          <w:color w:val="auto"/>
        </w:rPr>
        <w:t>（三）第三篇所需证明材料（如果有）</w:t>
      </w:r>
    </w:p>
    <w:p>
      <w:pPr>
        <w:ind w:firstLine="438"/>
        <w:rPr>
          <w:rFonts w:ascii="仿宋" w:hAnsi="仿宋" w:eastAsia="仿宋"/>
          <w:color w:val="auto"/>
          <w:szCs w:val="22"/>
        </w:rPr>
      </w:pPr>
      <w:r>
        <w:rPr>
          <w:rFonts w:hint="eastAsia" w:ascii="仿宋" w:hAnsi="仿宋" w:eastAsia="仿宋"/>
          <w:color w:val="auto"/>
        </w:rPr>
        <w:t>（四）第四篇评审因素商务部分所需证明材料</w:t>
      </w:r>
    </w:p>
    <w:p>
      <w:pPr>
        <w:ind w:firstLine="438"/>
        <w:rPr>
          <w:rFonts w:ascii="仿宋" w:hAnsi="仿宋" w:eastAsia="仿宋" w:cs="仿宋"/>
          <w:color w:val="auto"/>
          <w:szCs w:val="22"/>
        </w:rPr>
      </w:pPr>
      <w:r>
        <w:rPr>
          <w:rFonts w:hint="eastAsia" w:ascii="仿宋" w:hAnsi="仿宋" w:eastAsia="仿宋" w:cs="仿宋"/>
          <w:color w:val="auto"/>
          <w:szCs w:val="22"/>
        </w:rPr>
        <w:t>（五）其他商务资料</w:t>
      </w:r>
    </w:p>
    <w:p>
      <w:pPr>
        <w:keepNext/>
        <w:keepLines/>
        <w:adjustRightInd w:val="0"/>
        <w:snapToGrid w:val="0"/>
        <w:ind w:firstLine="440"/>
        <w:rPr>
          <w:rFonts w:ascii="仿宋" w:hAnsi="仿宋" w:eastAsia="仿宋"/>
          <w:b/>
          <w:bCs/>
          <w:color w:val="auto"/>
        </w:rPr>
      </w:pPr>
      <w:bookmarkStart w:id="846" w:name="_Toc24520"/>
      <w:bookmarkStart w:id="847" w:name="_Toc8323"/>
      <w:bookmarkStart w:id="848" w:name="_Toc10509"/>
      <w:bookmarkStart w:id="849" w:name="_Toc16846"/>
      <w:bookmarkStart w:id="850" w:name="_Toc1981"/>
      <w:bookmarkStart w:id="851" w:name="_Toc29910"/>
      <w:bookmarkStart w:id="852" w:name="_Toc21704"/>
      <w:bookmarkStart w:id="853" w:name="_Toc13714"/>
      <w:bookmarkStart w:id="854" w:name="_Toc13937"/>
      <w:bookmarkStart w:id="855" w:name="_Toc20489908"/>
      <w:bookmarkStart w:id="856" w:name="_Toc13294"/>
      <w:bookmarkStart w:id="857" w:name="_Toc12785"/>
      <w:bookmarkStart w:id="858" w:name="_Toc12262"/>
      <w:r>
        <w:rPr>
          <w:rFonts w:hint="eastAsia" w:ascii="仿宋" w:hAnsi="仿宋" w:eastAsia="仿宋"/>
          <w:b/>
          <w:bCs/>
          <w:color w:val="auto"/>
        </w:rPr>
        <w:t>四、其他</w:t>
      </w:r>
      <w:bookmarkEnd w:id="846"/>
      <w:bookmarkEnd w:id="847"/>
      <w:bookmarkEnd w:id="848"/>
      <w:bookmarkEnd w:id="849"/>
      <w:bookmarkEnd w:id="850"/>
      <w:bookmarkEnd w:id="851"/>
      <w:bookmarkEnd w:id="852"/>
      <w:bookmarkEnd w:id="853"/>
      <w:bookmarkEnd w:id="854"/>
      <w:bookmarkEnd w:id="855"/>
      <w:bookmarkEnd w:id="856"/>
      <w:bookmarkEnd w:id="857"/>
      <w:bookmarkEnd w:id="858"/>
    </w:p>
    <w:p>
      <w:pPr>
        <w:ind w:firstLine="438"/>
        <w:rPr>
          <w:rFonts w:ascii="仿宋" w:hAnsi="仿宋" w:eastAsia="仿宋"/>
          <w:color w:val="auto"/>
        </w:rPr>
      </w:pPr>
      <w:r>
        <w:rPr>
          <w:rFonts w:hint="eastAsia" w:ascii="仿宋" w:hAnsi="仿宋" w:eastAsia="仿宋"/>
          <w:color w:val="auto"/>
        </w:rPr>
        <w:t>（一）中小企业声明函、监狱企业证明文件、残疾人福利性单位声明函</w:t>
      </w:r>
    </w:p>
    <w:p>
      <w:pPr>
        <w:ind w:firstLine="438"/>
        <w:rPr>
          <w:rFonts w:ascii="仿宋" w:hAnsi="仿宋" w:eastAsia="仿宋"/>
          <w:color w:val="auto"/>
        </w:rPr>
      </w:pPr>
      <w:r>
        <w:rPr>
          <w:rFonts w:hint="eastAsia" w:ascii="仿宋" w:hAnsi="仿宋" w:eastAsia="仿宋"/>
          <w:color w:val="auto"/>
        </w:rPr>
        <w:t>（二）其他与项目有关的资料（自附）</w:t>
      </w:r>
    </w:p>
    <w:p>
      <w:pPr>
        <w:ind w:firstLine="438"/>
        <w:rPr>
          <w:rFonts w:ascii="仿宋" w:hAnsi="仿宋" w:eastAsia="仿宋"/>
          <w:color w:val="auto"/>
        </w:rPr>
      </w:pPr>
      <w:r>
        <w:rPr>
          <w:rFonts w:hint="eastAsia" w:ascii="仿宋" w:hAnsi="仿宋" w:eastAsia="仿宋"/>
          <w:color w:val="auto"/>
        </w:rPr>
        <w:t>（三）联合体协议或分包意向协议（格式自定）</w:t>
      </w:r>
    </w:p>
    <w:p>
      <w:pPr>
        <w:keepNext/>
        <w:keepLines/>
        <w:adjustRightInd w:val="0"/>
        <w:snapToGrid w:val="0"/>
        <w:ind w:firstLine="440"/>
        <w:rPr>
          <w:rFonts w:ascii="仿宋" w:hAnsi="仿宋" w:eastAsia="仿宋"/>
          <w:b/>
          <w:bCs/>
          <w:color w:val="auto"/>
        </w:rPr>
      </w:pPr>
      <w:bookmarkStart w:id="859" w:name="_Toc30272"/>
      <w:bookmarkStart w:id="860" w:name="_Toc8757"/>
      <w:bookmarkStart w:id="861" w:name="_Toc20489905"/>
      <w:bookmarkStart w:id="862" w:name="_Toc10268"/>
      <w:bookmarkStart w:id="863" w:name="_Toc24038"/>
      <w:bookmarkStart w:id="864" w:name="_Toc26355"/>
      <w:bookmarkStart w:id="865" w:name="_Toc5349"/>
      <w:bookmarkStart w:id="866" w:name="_Toc18842"/>
      <w:bookmarkStart w:id="867" w:name="_Toc19896"/>
      <w:bookmarkStart w:id="868" w:name="_Toc502"/>
      <w:bookmarkStart w:id="869" w:name="_Toc18962"/>
      <w:bookmarkStart w:id="870" w:name="_Toc20821"/>
      <w:bookmarkStart w:id="871" w:name="_Toc1244"/>
      <w:r>
        <w:rPr>
          <w:rFonts w:hint="eastAsia" w:ascii="仿宋" w:hAnsi="仿宋" w:eastAsia="仿宋"/>
          <w:b/>
          <w:bCs/>
          <w:color w:val="auto"/>
        </w:rPr>
        <w:t>五、资格文件</w:t>
      </w:r>
      <w:bookmarkEnd w:id="859"/>
      <w:bookmarkEnd w:id="860"/>
      <w:bookmarkEnd w:id="861"/>
      <w:bookmarkEnd w:id="862"/>
      <w:bookmarkEnd w:id="863"/>
      <w:bookmarkEnd w:id="864"/>
      <w:bookmarkEnd w:id="865"/>
      <w:bookmarkEnd w:id="866"/>
      <w:bookmarkEnd w:id="867"/>
      <w:bookmarkEnd w:id="868"/>
      <w:bookmarkEnd w:id="869"/>
      <w:bookmarkEnd w:id="870"/>
      <w:bookmarkEnd w:id="871"/>
    </w:p>
    <w:p>
      <w:pPr>
        <w:ind w:firstLine="438"/>
        <w:rPr>
          <w:rFonts w:ascii="仿宋" w:hAnsi="仿宋" w:eastAsia="仿宋"/>
          <w:color w:val="auto"/>
        </w:rPr>
      </w:pPr>
      <w:r>
        <w:rPr>
          <w:rFonts w:hint="eastAsia" w:ascii="仿宋" w:hAnsi="仿宋" w:eastAsia="仿宋"/>
          <w:color w:val="auto"/>
        </w:rPr>
        <w:t>（一）投标人法人营业执照（副本）或事业单位法人证书（副本）或个体工商户营业执照或有效的自然人身份证明或社会团体法人登记证书（提供复印件）</w:t>
      </w:r>
    </w:p>
    <w:p>
      <w:pPr>
        <w:ind w:firstLine="438"/>
        <w:rPr>
          <w:rFonts w:ascii="仿宋" w:hAnsi="仿宋" w:eastAsia="仿宋"/>
          <w:color w:val="auto"/>
        </w:rPr>
      </w:pPr>
      <w:r>
        <w:rPr>
          <w:rFonts w:hint="eastAsia" w:ascii="仿宋" w:hAnsi="仿宋" w:eastAsia="仿宋"/>
          <w:color w:val="auto"/>
        </w:rPr>
        <w:t>（二）法定代表人身份证明书（格式）</w:t>
      </w:r>
    </w:p>
    <w:p>
      <w:pPr>
        <w:ind w:firstLine="438"/>
        <w:rPr>
          <w:rFonts w:ascii="仿宋" w:hAnsi="仿宋" w:eastAsia="仿宋"/>
          <w:color w:val="auto"/>
        </w:rPr>
      </w:pPr>
      <w:r>
        <w:rPr>
          <w:rFonts w:hint="eastAsia" w:ascii="仿宋" w:hAnsi="仿宋" w:eastAsia="仿宋"/>
          <w:color w:val="auto"/>
        </w:rPr>
        <w:t>（三）法定代表人授权委托书（格式）</w:t>
      </w:r>
    </w:p>
    <w:p>
      <w:pPr>
        <w:ind w:firstLine="438"/>
        <w:rPr>
          <w:rFonts w:ascii="仿宋" w:hAnsi="仿宋" w:eastAsia="仿宋"/>
          <w:color w:val="auto"/>
        </w:rPr>
      </w:pPr>
      <w:r>
        <w:rPr>
          <w:rFonts w:hint="eastAsia" w:ascii="仿宋" w:hAnsi="仿宋" w:eastAsia="仿宋"/>
          <w:color w:val="auto"/>
        </w:rPr>
        <w:t>（四）基本资格条件承诺函（格式）</w:t>
      </w:r>
    </w:p>
    <w:p>
      <w:pPr>
        <w:ind w:firstLine="438"/>
        <w:rPr>
          <w:rFonts w:ascii="仿宋" w:hAnsi="仿宋" w:eastAsia="仿宋"/>
          <w:color w:val="auto"/>
          <w:szCs w:val="22"/>
        </w:rPr>
      </w:pPr>
      <w:r>
        <w:rPr>
          <w:rFonts w:hint="eastAsia" w:ascii="仿宋" w:hAnsi="仿宋" w:eastAsia="仿宋"/>
          <w:color w:val="auto"/>
        </w:rPr>
        <w:t>（五）</w:t>
      </w:r>
      <w:r>
        <w:rPr>
          <w:rFonts w:hint="eastAsia" w:ascii="仿宋" w:hAnsi="仿宋" w:eastAsia="仿宋"/>
          <w:color w:val="auto"/>
          <w:szCs w:val="22"/>
        </w:rPr>
        <w:t>特定资格条件证书或证明文件</w:t>
      </w:r>
    </w:p>
    <w:p>
      <w:pPr>
        <w:numPr>
          <w:ilvl w:val="0"/>
          <w:numId w:val="0"/>
        </w:numPr>
        <w:ind w:firstLine="438" w:firstLineChars="200"/>
        <w:rPr>
          <w:rFonts w:hint="eastAsia" w:ascii="仿宋" w:hAnsi="仿宋" w:eastAsia="仿宋"/>
          <w:color w:val="auto"/>
          <w:szCs w:val="22"/>
          <w:lang w:eastAsia="zh-CN"/>
        </w:rPr>
      </w:pPr>
      <w:r>
        <w:rPr>
          <w:rFonts w:hint="eastAsia" w:ascii="仿宋" w:hAnsi="仿宋" w:eastAsia="仿宋"/>
          <w:color w:val="auto"/>
          <w:szCs w:val="22"/>
          <w:lang w:eastAsia="zh-CN"/>
        </w:rPr>
        <w:t>无</w:t>
      </w:r>
    </w:p>
    <w:p>
      <w:pPr>
        <w:numPr>
          <w:ilvl w:val="0"/>
          <w:numId w:val="0"/>
        </w:numPr>
        <w:ind w:firstLine="438" w:firstLineChars="200"/>
        <w:rPr>
          <w:rFonts w:ascii="仿宋" w:hAnsi="仿宋" w:eastAsia="仿宋"/>
          <w:color w:val="auto"/>
        </w:rPr>
      </w:pPr>
      <w:r>
        <w:rPr>
          <w:rFonts w:hint="eastAsia" w:ascii="仿宋" w:hAnsi="仿宋" w:eastAsia="仿宋"/>
          <w:color w:val="auto"/>
        </w:rPr>
        <w:t>……</w:t>
      </w:r>
    </w:p>
    <w:p>
      <w:pPr>
        <w:pStyle w:val="2"/>
        <w:ind w:firstLine="438"/>
        <w:rPr>
          <w:rFonts w:ascii="仿宋" w:hAnsi="仿宋" w:eastAsia="仿宋"/>
          <w:color w:val="auto"/>
          <w:sz w:val="24"/>
          <w:szCs w:val="20"/>
        </w:rPr>
      </w:pPr>
      <w:r>
        <w:rPr>
          <w:rFonts w:hint="eastAsia" w:ascii="仿宋" w:hAnsi="仿宋" w:eastAsia="仿宋"/>
          <w:color w:val="auto"/>
          <w:sz w:val="24"/>
          <w:szCs w:val="20"/>
        </w:rPr>
        <w:t>说明：投标人按“多证合一”登记制度办理营业执照的，税务登记证（副本）和社会保险登记证以投标人所提供的法人营业执照（副本）复印件为准。</w:t>
      </w:r>
    </w:p>
    <w:p>
      <w:pPr>
        <w:ind w:firstLine="438"/>
        <w:rPr>
          <w:rFonts w:ascii="仿宋" w:hAnsi="仿宋" w:eastAsia="仿宋"/>
          <w:color w:val="auto"/>
        </w:rPr>
      </w:pPr>
    </w:p>
    <w:p>
      <w:pPr>
        <w:spacing w:line="400" w:lineRule="exact"/>
        <w:ind w:firstLine="438"/>
        <w:outlineLvl w:val="1"/>
        <w:rPr>
          <w:rStyle w:val="32"/>
          <w:rFonts w:hint="default" w:ascii="仿宋" w:hAnsi="仿宋" w:eastAsia="仿宋"/>
          <w:color w:val="auto"/>
        </w:rPr>
      </w:pPr>
      <w:r>
        <w:rPr>
          <w:rFonts w:ascii="黑体" w:hAnsi="黑体"/>
          <w:bCs/>
          <w:color w:val="auto"/>
        </w:rPr>
        <w:br w:type="page"/>
      </w:r>
      <w:bookmarkStart w:id="872" w:name="_Toc15147"/>
      <w:bookmarkStart w:id="873" w:name="_Toc10910"/>
      <w:bookmarkStart w:id="874" w:name="_Toc20070"/>
      <w:bookmarkStart w:id="875" w:name="_Toc823"/>
      <w:bookmarkStart w:id="876" w:name="_Toc508"/>
      <w:bookmarkStart w:id="877" w:name="_Toc339"/>
      <w:bookmarkStart w:id="878" w:name="_Toc12115"/>
      <w:bookmarkStart w:id="879" w:name="_Toc17100"/>
      <w:bookmarkStart w:id="880" w:name="_Toc20730"/>
      <w:bookmarkStart w:id="881" w:name="_Toc1248"/>
      <w:bookmarkStart w:id="882" w:name="_Toc16189"/>
      <w:bookmarkStart w:id="883" w:name="_Toc21372"/>
      <w:bookmarkStart w:id="884" w:name="_Toc63600444"/>
      <w:bookmarkStart w:id="885" w:name="_Toc11027"/>
      <w:bookmarkStart w:id="886" w:name="_Toc20488347"/>
      <w:r>
        <w:rPr>
          <w:rStyle w:val="32"/>
          <w:rFonts w:hint="default" w:ascii="仿宋" w:hAnsi="仿宋" w:eastAsia="仿宋"/>
          <w:color w:val="auto"/>
        </w:rPr>
        <w:t>一、经济文件</w:t>
      </w:r>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p>
    <w:p>
      <w:pPr>
        <w:spacing w:beforeLines="100" w:afterLines="100"/>
        <w:ind w:firstLine="0" w:firstLineChars="0"/>
        <w:jc w:val="center"/>
        <w:rPr>
          <w:rFonts w:ascii="仿宋" w:hAnsi="仿宋" w:eastAsia="仿宋"/>
          <w:color w:val="auto"/>
          <w:sz w:val="28"/>
          <w:szCs w:val="21"/>
        </w:rPr>
      </w:pPr>
      <w:r>
        <w:rPr>
          <w:rFonts w:hint="eastAsia" w:ascii="仿宋" w:hAnsi="仿宋" w:eastAsia="仿宋"/>
          <w:color w:val="auto"/>
          <w:sz w:val="28"/>
          <w:szCs w:val="21"/>
        </w:rPr>
        <w:t>（一）开标一览表</w:t>
      </w:r>
    </w:p>
    <w:p>
      <w:pPr>
        <w:snapToGrid w:val="0"/>
        <w:spacing w:line="400" w:lineRule="exact"/>
        <w:ind w:firstLine="438"/>
        <w:rPr>
          <w:rFonts w:ascii="仿宋" w:hAnsi="仿宋" w:eastAsia="仿宋"/>
          <w:color w:val="auto"/>
          <w:szCs w:val="28"/>
        </w:rPr>
      </w:pPr>
      <w:r>
        <w:rPr>
          <w:rFonts w:hint="eastAsia" w:ascii="仿宋" w:hAnsi="仿宋" w:eastAsia="仿宋"/>
          <w:color w:val="auto"/>
          <w:szCs w:val="28"/>
        </w:rPr>
        <w:t>项目号：</w:t>
      </w:r>
    </w:p>
    <w:p>
      <w:pPr>
        <w:snapToGrid w:val="0"/>
        <w:spacing w:line="400" w:lineRule="exact"/>
        <w:ind w:firstLine="438"/>
        <w:rPr>
          <w:rFonts w:ascii="仿宋" w:hAnsi="仿宋" w:eastAsia="仿宋"/>
          <w:color w:val="auto"/>
          <w:szCs w:val="28"/>
        </w:rPr>
      </w:pPr>
      <w:r>
        <w:rPr>
          <w:rFonts w:hint="eastAsia" w:ascii="仿宋" w:hAnsi="仿宋" w:eastAsia="仿宋"/>
          <w:color w:val="auto"/>
          <w:szCs w:val="28"/>
        </w:rPr>
        <w:t>招标项目名称：</w:t>
      </w:r>
    </w:p>
    <w:tbl>
      <w:tblPr>
        <w:tblStyle w:val="23"/>
        <w:tblW w:w="9491"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6"/>
        <w:gridCol w:w="2268"/>
        <w:gridCol w:w="2694"/>
        <w:gridCol w:w="2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2126" w:type="dxa"/>
            <w:vAlign w:val="center"/>
          </w:tcPr>
          <w:p>
            <w:pPr>
              <w:adjustRightInd w:val="0"/>
              <w:snapToGrid w:val="0"/>
              <w:spacing w:line="240" w:lineRule="auto"/>
              <w:ind w:firstLine="0" w:firstLineChars="0"/>
              <w:jc w:val="center"/>
              <w:rPr>
                <w:rFonts w:ascii="仿宋" w:hAnsi="仿宋" w:eastAsia="仿宋"/>
                <w:color w:val="auto"/>
                <w:sz w:val="21"/>
                <w:szCs w:val="28"/>
              </w:rPr>
            </w:pPr>
            <w:bookmarkStart w:id="887" w:name="_Hlk70157005"/>
            <w:r>
              <w:rPr>
                <w:rFonts w:hint="eastAsia" w:ascii="仿宋" w:hAnsi="仿宋" w:eastAsia="仿宋"/>
                <w:color w:val="auto"/>
                <w:sz w:val="21"/>
                <w:szCs w:val="28"/>
              </w:rPr>
              <w:t>投标人名称</w:t>
            </w:r>
          </w:p>
        </w:tc>
        <w:tc>
          <w:tcPr>
            <w:tcW w:w="7365" w:type="dxa"/>
            <w:gridSpan w:val="3"/>
            <w:vAlign w:val="center"/>
          </w:tcPr>
          <w:p>
            <w:pPr>
              <w:adjustRightInd w:val="0"/>
              <w:snapToGrid w:val="0"/>
              <w:spacing w:line="240" w:lineRule="auto"/>
              <w:ind w:firstLine="378" w:firstLineChars="0"/>
              <w:jc w:val="center"/>
              <w:rPr>
                <w:rFonts w:ascii="仿宋" w:hAnsi="仿宋" w:eastAsia="仿宋"/>
                <w:color w:val="auto"/>
                <w:sz w:val="21"/>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2126" w:type="dxa"/>
            <w:vAlign w:val="center"/>
          </w:tcPr>
          <w:p>
            <w:pPr>
              <w:adjustRightInd w:val="0"/>
              <w:snapToGrid w:val="0"/>
              <w:spacing w:line="240" w:lineRule="auto"/>
              <w:ind w:firstLine="0" w:firstLineChars="0"/>
              <w:jc w:val="center"/>
              <w:rPr>
                <w:rFonts w:ascii="仿宋" w:hAnsi="仿宋" w:eastAsia="仿宋"/>
                <w:color w:val="auto"/>
                <w:sz w:val="21"/>
                <w:szCs w:val="28"/>
              </w:rPr>
            </w:pPr>
            <w:r>
              <w:rPr>
                <w:rFonts w:hint="eastAsia" w:ascii="仿宋" w:hAnsi="仿宋" w:eastAsia="仿宋"/>
                <w:color w:val="auto"/>
                <w:sz w:val="21"/>
                <w:szCs w:val="28"/>
              </w:rPr>
              <w:t>（分包号及）名称</w:t>
            </w:r>
          </w:p>
        </w:tc>
        <w:tc>
          <w:tcPr>
            <w:tcW w:w="2268" w:type="dxa"/>
            <w:vAlign w:val="center"/>
          </w:tcPr>
          <w:p>
            <w:pPr>
              <w:adjustRightInd w:val="0"/>
              <w:snapToGrid w:val="0"/>
              <w:spacing w:line="240" w:lineRule="auto"/>
              <w:ind w:firstLine="0" w:firstLineChars="0"/>
              <w:jc w:val="center"/>
              <w:rPr>
                <w:rFonts w:ascii="仿宋" w:hAnsi="仿宋" w:eastAsia="仿宋"/>
                <w:color w:val="auto"/>
                <w:sz w:val="21"/>
                <w:szCs w:val="28"/>
              </w:rPr>
            </w:pPr>
            <w:r>
              <w:rPr>
                <w:rFonts w:hint="eastAsia" w:ascii="仿宋" w:hAnsi="仿宋" w:eastAsia="仿宋"/>
                <w:color w:val="auto"/>
                <w:sz w:val="21"/>
                <w:szCs w:val="28"/>
              </w:rPr>
              <w:t>投标报价（小写）</w:t>
            </w:r>
          </w:p>
        </w:tc>
        <w:tc>
          <w:tcPr>
            <w:tcW w:w="2694" w:type="dxa"/>
            <w:vAlign w:val="center"/>
          </w:tcPr>
          <w:p>
            <w:pPr>
              <w:adjustRightInd w:val="0"/>
              <w:snapToGrid w:val="0"/>
              <w:spacing w:line="240" w:lineRule="auto"/>
              <w:ind w:firstLine="0" w:firstLineChars="0"/>
              <w:jc w:val="center"/>
              <w:rPr>
                <w:rFonts w:ascii="仿宋" w:hAnsi="仿宋" w:eastAsia="仿宋"/>
                <w:color w:val="auto"/>
                <w:sz w:val="21"/>
                <w:szCs w:val="28"/>
              </w:rPr>
            </w:pPr>
            <w:r>
              <w:rPr>
                <w:rFonts w:hint="eastAsia" w:ascii="仿宋" w:hAnsi="仿宋" w:eastAsia="仿宋"/>
                <w:color w:val="auto"/>
                <w:sz w:val="21"/>
                <w:szCs w:val="28"/>
              </w:rPr>
              <w:t>交货期</w:t>
            </w:r>
          </w:p>
        </w:tc>
        <w:tc>
          <w:tcPr>
            <w:tcW w:w="2403" w:type="dxa"/>
            <w:vAlign w:val="center"/>
          </w:tcPr>
          <w:p>
            <w:pPr>
              <w:adjustRightInd w:val="0"/>
              <w:snapToGrid w:val="0"/>
              <w:spacing w:line="240" w:lineRule="auto"/>
              <w:ind w:firstLine="0" w:firstLineChars="0"/>
              <w:jc w:val="center"/>
              <w:rPr>
                <w:rFonts w:ascii="仿宋" w:hAnsi="仿宋" w:eastAsia="仿宋"/>
                <w:color w:val="auto"/>
                <w:sz w:val="21"/>
                <w:szCs w:val="28"/>
              </w:rPr>
            </w:pPr>
            <w:r>
              <w:rPr>
                <w:rFonts w:hint="eastAsia" w:ascii="仿宋" w:hAnsi="仿宋" w:eastAsia="仿宋"/>
                <w:color w:val="auto"/>
                <w:sz w:val="21"/>
                <w:szCs w:val="28"/>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2126" w:type="dxa"/>
            <w:tcBorders>
              <w:bottom w:val="single" w:color="auto" w:sz="4" w:space="0"/>
            </w:tcBorders>
            <w:vAlign w:val="center"/>
          </w:tcPr>
          <w:p>
            <w:pPr>
              <w:adjustRightInd w:val="0"/>
              <w:snapToGrid w:val="0"/>
              <w:spacing w:line="240" w:lineRule="auto"/>
              <w:ind w:firstLine="0" w:firstLineChars="0"/>
              <w:jc w:val="center"/>
              <w:rPr>
                <w:rFonts w:ascii="仿宋" w:hAnsi="仿宋" w:eastAsia="仿宋"/>
                <w:color w:val="auto"/>
                <w:sz w:val="21"/>
                <w:szCs w:val="28"/>
              </w:rPr>
            </w:pPr>
          </w:p>
        </w:tc>
        <w:tc>
          <w:tcPr>
            <w:tcW w:w="2268" w:type="dxa"/>
            <w:tcBorders>
              <w:bottom w:val="single" w:color="auto" w:sz="4" w:space="0"/>
            </w:tcBorders>
            <w:vAlign w:val="center"/>
          </w:tcPr>
          <w:p>
            <w:pPr>
              <w:adjustRightInd w:val="0"/>
              <w:snapToGrid w:val="0"/>
              <w:spacing w:line="240" w:lineRule="auto"/>
              <w:ind w:firstLine="0" w:firstLineChars="0"/>
              <w:jc w:val="center"/>
              <w:rPr>
                <w:rFonts w:ascii="仿宋" w:hAnsi="仿宋" w:eastAsia="仿宋"/>
                <w:color w:val="auto"/>
                <w:sz w:val="21"/>
                <w:szCs w:val="28"/>
              </w:rPr>
            </w:pPr>
          </w:p>
        </w:tc>
        <w:tc>
          <w:tcPr>
            <w:tcW w:w="2694" w:type="dxa"/>
            <w:tcBorders>
              <w:bottom w:val="single" w:color="auto" w:sz="4" w:space="0"/>
            </w:tcBorders>
            <w:vAlign w:val="center"/>
          </w:tcPr>
          <w:p>
            <w:pPr>
              <w:adjustRightInd w:val="0"/>
              <w:snapToGrid w:val="0"/>
              <w:spacing w:line="240" w:lineRule="auto"/>
              <w:ind w:firstLine="0" w:firstLineChars="0"/>
              <w:jc w:val="center"/>
              <w:rPr>
                <w:rFonts w:ascii="仿宋" w:hAnsi="仿宋" w:eastAsia="仿宋"/>
                <w:color w:val="auto"/>
                <w:sz w:val="21"/>
                <w:szCs w:val="28"/>
              </w:rPr>
            </w:pPr>
          </w:p>
        </w:tc>
        <w:tc>
          <w:tcPr>
            <w:tcW w:w="2403" w:type="dxa"/>
            <w:tcBorders>
              <w:bottom w:val="single" w:color="auto" w:sz="4" w:space="0"/>
            </w:tcBorders>
            <w:vAlign w:val="center"/>
          </w:tcPr>
          <w:p>
            <w:pPr>
              <w:adjustRightInd w:val="0"/>
              <w:snapToGrid w:val="0"/>
              <w:spacing w:line="240" w:lineRule="auto"/>
              <w:ind w:firstLine="0" w:firstLineChars="0"/>
              <w:jc w:val="center"/>
              <w:rPr>
                <w:rFonts w:ascii="仿宋" w:hAnsi="仿宋" w:eastAsia="仿宋"/>
                <w:color w:val="auto"/>
                <w:sz w:val="21"/>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9491" w:type="dxa"/>
            <w:gridSpan w:val="4"/>
            <w:tcBorders>
              <w:bottom w:val="single" w:color="auto" w:sz="4" w:space="0"/>
            </w:tcBorders>
            <w:vAlign w:val="center"/>
          </w:tcPr>
          <w:p>
            <w:pPr>
              <w:adjustRightInd w:val="0"/>
              <w:snapToGrid w:val="0"/>
              <w:spacing w:line="240" w:lineRule="auto"/>
              <w:ind w:firstLine="0" w:firstLineChars="0"/>
              <w:jc w:val="left"/>
              <w:rPr>
                <w:rFonts w:ascii="仿宋" w:hAnsi="仿宋" w:eastAsia="仿宋"/>
                <w:color w:val="auto"/>
                <w:sz w:val="21"/>
                <w:szCs w:val="28"/>
              </w:rPr>
            </w:pPr>
            <w:r>
              <w:rPr>
                <w:rFonts w:hint="eastAsia" w:ascii="仿宋" w:hAnsi="仿宋" w:eastAsia="仿宋"/>
                <w:color w:val="auto"/>
                <w:sz w:val="21"/>
                <w:szCs w:val="28"/>
              </w:rPr>
              <w:t>投标报价（大写）：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trPr>
        <w:tc>
          <w:tcPr>
            <w:tcW w:w="9491" w:type="dxa"/>
            <w:gridSpan w:val="4"/>
            <w:vAlign w:val="center"/>
          </w:tcPr>
          <w:p>
            <w:pPr>
              <w:pStyle w:val="14"/>
              <w:adjustRightInd w:val="0"/>
              <w:snapToGrid w:val="0"/>
              <w:spacing w:line="240" w:lineRule="auto"/>
              <w:ind w:firstLine="0" w:firstLineChars="0"/>
              <w:jc w:val="left"/>
              <w:rPr>
                <w:rFonts w:ascii="仿宋" w:hAnsi="仿宋" w:eastAsia="仿宋"/>
                <w:color w:val="auto"/>
                <w:sz w:val="21"/>
                <w:szCs w:val="28"/>
              </w:rPr>
            </w:pPr>
            <w:r>
              <w:rPr>
                <w:rFonts w:hint="eastAsia" w:ascii="仿宋" w:hAnsi="仿宋" w:eastAsia="仿宋"/>
                <w:color w:val="auto"/>
                <w:sz w:val="21"/>
                <w:szCs w:val="28"/>
              </w:rPr>
              <w:t>备注：</w:t>
            </w:r>
          </w:p>
        </w:tc>
      </w:tr>
      <w:bookmarkEnd w:id="887"/>
    </w:tbl>
    <w:p>
      <w:pPr>
        <w:ind w:firstLine="0" w:firstLineChars="0"/>
        <w:rPr>
          <w:rFonts w:ascii="仿宋" w:hAnsi="仿宋" w:eastAsia="仿宋"/>
          <w:color w:val="auto"/>
          <w:szCs w:val="22"/>
        </w:rPr>
      </w:pPr>
    </w:p>
    <w:p>
      <w:pPr>
        <w:ind w:firstLine="1095" w:firstLineChars="500"/>
        <w:rPr>
          <w:rFonts w:ascii="仿宋" w:hAnsi="仿宋" w:eastAsia="仿宋"/>
          <w:color w:val="auto"/>
        </w:rPr>
      </w:pPr>
      <w:r>
        <w:rPr>
          <w:rFonts w:hint="eastAsia" w:ascii="仿宋" w:hAnsi="仿宋" w:eastAsia="仿宋"/>
          <w:color w:val="auto"/>
        </w:rPr>
        <w:t>投标人：                      法定代表人（或法定代表人授权代表）或自然人：</w:t>
      </w:r>
    </w:p>
    <w:p>
      <w:pPr>
        <w:ind w:firstLine="876" w:firstLineChars="400"/>
        <w:rPr>
          <w:rFonts w:ascii="仿宋" w:hAnsi="仿宋" w:eastAsia="仿宋"/>
          <w:color w:val="auto"/>
        </w:rPr>
      </w:pPr>
      <w:r>
        <w:rPr>
          <w:rFonts w:hint="eastAsia" w:ascii="仿宋" w:hAnsi="仿宋" w:eastAsia="仿宋"/>
          <w:color w:val="auto"/>
        </w:rPr>
        <w:t>（投标人公章）</w:t>
      </w:r>
      <w:r>
        <w:rPr>
          <w:rFonts w:hint="eastAsia" w:ascii="仿宋" w:hAnsi="仿宋" w:eastAsia="仿宋"/>
          <w:color w:val="auto"/>
        </w:rPr>
        <w:tab/>
      </w:r>
      <w:r>
        <w:rPr>
          <w:rFonts w:hint="eastAsia" w:ascii="仿宋" w:hAnsi="仿宋" w:eastAsia="仿宋"/>
          <w:color w:val="auto"/>
        </w:rPr>
        <w:tab/>
      </w:r>
      <w:r>
        <w:rPr>
          <w:rFonts w:hint="eastAsia" w:ascii="仿宋" w:hAnsi="仿宋" w:eastAsia="仿宋"/>
          <w:color w:val="auto"/>
        </w:rPr>
        <w:tab/>
      </w:r>
      <w:r>
        <w:rPr>
          <w:rFonts w:hint="eastAsia" w:ascii="仿宋" w:hAnsi="仿宋" w:eastAsia="仿宋"/>
          <w:color w:val="auto"/>
        </w:rPr>
        <w:tab/>
      </w:r>
      <w:r>
        <w:rPr>
          <w:rFonts w:hint="eastAsia" w:ascii="仿宋" w:hAnsi="仿宋" w:eastAsia="仿宋"/>
          <w:color w:val="auto"/>
        </w:rPr>
        <w:tab/>
      </w:r>
      <w:r>
        <w:rPr>
          <w:rFonts w:hint="eastAsia" w:ascii="仿宋" w:hAnsi="仿宋" w:eastAsia="仿宋"/>
          <w:color w:val="auto"/>
        </w:rPr>
        <w:tab/>
      </w:r>
      <w:r>
        <w:rPr>
          <w:rFonts w:hint="eastAsia" w:ascii="仿宋" w:hAnsi="仿宋" w:eastAsia="仿宋"/>
          <w:color w:val="auto"/>
        </w:rPr>
        <w:tab/>
      </w:r>
      <w:r>
        <w:rPr>
          <w:rFonts w:hint="eastAsia" w:ascii="仿宋" w:hAnsi="仿宋" w:eastAsia="仿宋"/>
          <w:color w:val="auto"/>
        </w:rPr>
        <w:tab/>
      </w:r>
      <w:r>
        <w:rPr>
          <w:rFonts w:hint="eastAsia" w:ascii="仿宋" w:hAnsi="仿宋" w:eastAsia="仿宋"/>
          <w:color w:val="auto"/>
        </w:rPr>
        <w:tab/>
      </w:r>
      <w:r>
        <w:rPr>
          <w:rFonts w:hint="eastAsia" w:ascii="仿宋" w:hAnsi="仿宋" w:eastAsia="仿宋"/>
          <w:color w:val="auto"/>
        </w:rPr>
        <w:tab/>
      </w:r>
      <w:r>
        <w:rPr>
          <w:rFonts w:hint="eastAsia" w:ascii="仿宋" w:hAnsi="仿宋" w:eastAsia="仿宋"/>
          <w:color w:val="auto"/>
        </w:rPr>
        <w:t>（签署或盖章）</w:t>
      </w:r>
    </w:p>
    <w:p>
      <w:pPr>
        <w:ind w:firstLine="438"/>
        <w:rPr>
          <w:rFonts w:ascii="仿宋" w:hAnsi="仿宋" w:eastAsia="仿宋"/>
          <w:color w:val="auto"/>
        </w:rPr>
      </w:pPr>
    </w:p>
    <w:p>
      <w:pPr>
        <w:wordWrap w:val="0"/>
        <w:ind w:firstLine="6132" w:firstLineChars="2800"/>
        <w:jc w:val="right"/>
        <w:rPr>
          <w:rFonts w:ascii="仿宋" w:hAnsi="仿宋" w:eastAsia="仿宋"/>
          <w:color w:val="auto"/>
        </w:rPr>
      </w:pPr>
      <w:r>
        <w:rPr>
          <w:rFonts w:hint="eastAsia" w:ascii="仿宋" w:hAnsi="仿宋" w:eastAsia="仿宋"/>
          <w:color w:val="auto"/>
        </w:rPr>
        <w:t xml:space="preserve">年   月   日               </w:t>
      </w:r>
    </w:p>
    <w:p>
      <w:pPr>
        <w:ind w:firstLine="438"/>
        <w:rPr>
          <w:rFonts w:ascii="仿宋" w:hAnsi="仿宋" w:eastAsia="仿宋"/>
          <w:color w:val="auto"/>
        </w:rPr>
      </w:pPr>
    </w:p>
    <w:p>
      <w:pPr>
        <w:ind w:firstLine="438"/>
        <w:rPr>
          <w:rFonts w:ascii="仿宋" w:hAnsi="仿宋" w:eastAsia="仿宋"/>
          <w:color w:val="auto"/>
        </w:rPr>
      </w:pPr>
      <w:r>
        <w:rPr>
          <w:rFonts w:hint="eastAsia" w:ascii="仿宋" w:hAnsi="仿宋" w:eastAsia="仿宋"/>
          <w:color w:val="auto"/>
        </w:rPr>
        <w:t>说明：</w:t>
      </w:r>
    </w:p>
    <w:p>
      <w:pPr>
        <w:ind w:firstLine="438"/>
        <w:rPr>
          <w:rFonts w:ascii="仿宋" w:hAnsi="仿宋" w:eastAsia="仿宋"/>
          <w:color w:val="auto"/>
        </w:rPr>
      </w:pPr>
      <w:r>
        <w:rPr>
          <w:rFonts w:hint="eastAsia" w:ascii="仿宋" w:hAnsi="仿宋" w:eastAsia="仿宋"/>
          <w:color w:val="auto"/>
        </w:rPr>
        <w:t>1.开标一览表按格式填列；</w:t>
      </w:r>
    </w:p>
    <w:p>
      <w:pPr>
        <w:ind w:firstLine="438"/>
        <w:rPr>
          <w:rFonts w:ascii="仿宋" w:hAnsi="仿宋" w:eastAsia="仿宋"/>
          <w:color w:val="auto"/>
          <w:szCs w:val="22"/>
        </w:rPr>
      </w:pPr>
      <w:r>
        <w:rPr>
          <w:rFonts w:hint="eastAsia" w:ascii="仿宋" w:hAnsi="仿宋" w:eastAsia="仿宋"/>
          <w:color w:val="auto"/>
          <w:szCs w:val="22"/>
        </w:rPr>
        <w:t>2.开标一览表在开标大会上当众宣读，务必填写清楚，准确无误。</w:t>
      </w:r>
    </w:p>
    <w:p>
      <w:pPr>
        <w:ind w:firstLine="438"/>
        <w:rPr>
          <w:rFonts w:ascii="仿宋" w:hAnsi="仿宋" w:eastAsia="仿宋"/>
          <w:color w:val="auto"/>
          <w:szCs w:val="22"/>
        </w:rPr>
      </w:pPr>
      <w:r>
        <w:rPr>
          <w:rFonts w:hint="eastAsia" w:ascii="仿宋" w:hAnsi="仿宋" w:eastAsia="仿宋"/>
          <w:color w:val="auto"/>
          <w:szCs w:val="22"/>
        </w:rPr>
        <w:t>3.若以联合体参与投标的，应在“投标人名称”处注明所有联合体名称。“投标人”处至少应加盖联合体主办方（主体）公章。</w:t>
      </w:r>
    </w:p>
    <w:p>
      <w:pPr>
        <w:ind w:firstLine="0" w:firstLineChars="0"/>
        <w:jc w:val="left"/>
        <w:rPr>
          <w:rFonts w:ascii="仿宋" w:hAnsi="仿宋" w:eastAsia="仿宋"/>
          <w:color w:val="auto"/>
          <w:sz w:val="28"/>
          <w:szCs w:val="21"/>
        </w:rPr>
      </w:pPr>
      <w:r>
        <w:rPr>
          <w:rFonts w:hint="eastAsia" w:ascii="仿宋" w:hAnsi="仿宋" w:eastAsia="仿宋"/>
          <w:color w:val="auto"/>
          <w:sz w:val="28"/>
          <w:szCs w:val="21"/>
        </w:rPr>
        <w:br w:type="page"/>
      </w:r>
      <w:r>
        <w:rPr>
          <w:rFonts w:hint="eastAsia" w:ascii="仿宋" w:hAnsi="仿宋" w:eastAsia="仿宋"/>
          <w:color w:val="auto"/>
          <w:sz w:val="28"/>
          <w:szCs w:val="21"/>
        </w:rPr>
        <w:t>（二）分项报价明细表</w:t>
      </w:r>
    </w:p>
    <w:p>
      <w:pPr>
        <w:adjustRightInd w:val="0"/>
        <w:snapToGrid w:val="0"/>
        <w:spacing w:line="400" w:lineRule="exact"/>
        <w:ind w:left="140" w:leftChars="64" w:firstLine="0" w:firstLineChars="0"/>
        <w:rPr>
          <w:rFonts w:ascii="仿宋" w:hAnsi="仿宋" w:eastAsia="仿宋"/>
          <w:color w:val="auto"/>
          <w:szCs w:val="28"/>
        </w:rPr>
      </w:pPr>
      <w:bookmarkStart w:id="888" w:name="_Hlk70157082"/>
    </w:p>
    <w:p>
      <w:pPr>
        <w:adjustRightInd w:val="0"/>
        <w:snapToGrid w:val="0"/>
        <w:spacing w:line="400" w:lineRule="exact"/>
        <w:ind w:left="140" w:leftChars="64" w:firstLine="0" w:firstLineChars="0"/>
        <w:rPr>
          <w:rFonts w:ascii="仿宋" w:hAnsi="仿宋" w:eastAsia="仿宋"/>
          <w:color w:val="auto"/>
          <w:szCs w:val="28"/>
        </w:rPr>
      </w:pPr>
      <w:r>
        <w:rPr>
          <w:rFonts w:hint="eastAsia" w:ascii="仿宋" w:hAnsi="仿宋" w:eastAsia="仿宋"/>
          <w:color w:val="auto"/>
          <w:szCs w:val="28"/>
        </w:rPr>
        <w:t>项目号：</w:t>
      </w:r>
    </w:p>
    <w:p>
      <w:pPr>
        <w:adjustRightInd w:val="0"/>
        <w:snapToGrid w:val="0"/>
        <w:ind w:left="140" w:leftChars="64" w:firstLine="0" w:firstLineChars="0"/>
        <w:rPr>
          <w:rFonts w:ascii="仿宋" w:hAnsi="仿宋" w:eastAsia="仿宋"/>
          <w:color w:val="auto"/>
          <w:szCs w:val="22"/>
        </w:rPr>
      </w:pPr>
      <w:r>
        <w:rPr>
          <w:rFonts w:hint="eastAsia" w:ascii="仿宋" w:hAnsi="仿宋" w:eastAsia="仿宋"/>
          <w:color w:val="auto"/>
          <w:szCs w:val="28"/>
        </w:rPr>
        <w:t>招标项目名称：                                           单位：元</w:t>
      </w:r>
    </w:p>
    <w:tbl>
      <w:tblPr>
        <w:tblStyle w:val="23"/>
        <w:tblW w:w="91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917"/>
        <w:gridCol w:w="1779"/>
        <w:gridCol w:w="1547"/>
        <w:gridCol w:w="1242"/>
        <w:gridCol w:w="934"/>
        <w:gridCol w:w="934"/>
        <w:gridCol w:w="10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exact"/>
          <w:jc w:val="center"/>
        </w:trPr>
        <w:tc>
          <w:tcPr>
            <w:tcW w:w="704" w:type="dxa"/>
            <w:vAlign w:val="center"/>
          </w:tcPr>
          <w:p>
            <w:pPr>
              <w:ind w:firstLine="0" w:firstLineChars="0"/>
              <w:jc w:val="center"/>
              <w:rPr>
                <w:rFonts w:ascii="仿宋" w:hAnsi="仿宋" w:eastAsia="仿宋"/>
                <w:b/>
                <w:bCs/>
                <w:color w:val="auto"/>
                <w:sz w:val="21"/>
                <w:szCs w:val="21"/>
              </w:rPr>
            </w:pPr>
            <w:r>
              <w:rPr>
                <w:rFonts w:hint="eastAsia" w:ascii="仿宋" w:hAnsi="仿宋" w:eastAsia="仿宋"/>
                <w:b/>
                <w:bCs/>
                <w:color w:val="auto"/>
                <w:sz w:val="21"/>
                <w:szCs w:val="21"/>
              </w:rPr>
              <w:t>序号</w:t>
            </w:r>
          </w:p>
        </w:tc>
        <w:tc>
          <w:tcPr>
            <w:tcW w:w="917" w:type="dxa"/>
            <w:vAlign w:val="center"/>
          </w:tcPr>
          <w:p>
            <w:pPr>
              <w:ind w:firstLine="0" w:firstLineChars="0"/>
              <w:jc w:val="center"/>
              <w:rPr>
                <w:rFonts w:ascii="仿宋" w:hAnsi="仿宋" w:eastAsia="仿宋"/>
                <w:b/>
                <w:bCs/>
                <w:color w:val="auto"/>
                <w:sz w:val="21"/>
                <w:szCs w:val="21"/>
              </w:rPr>
            </w:pPr>
            <w:r>
              <w:rPr>
                <w:rFonts w:hint="eastAsia" w:ascii="仿宋" w:hAnsi="仿宋" w:eastAsia="仿宋"/>
                <w:b/>
                <w:bCs/>
                <w:color w:val="auto"/>
                <w:sz w:val="21"/>
                <w:szCs w:val="21"/>
              </w:rPr>
              <w:t>名称</w:t>
            </w:r>
          </w:p>
        </w:tc>
        <w:tc>
          <w:tcPr>
            <w:tcW w:w="1779" w:type="dxa"/>
            <w:vAlign w:val="center"/>
          </w:tcPr>
          <w:p>
            <w:pPr>
              <w:ind w:firstLine="0" w:firstLineChars="0"/>
              <w:jc w:val="center"/>
              <w:rPr>
                <w:rFonts w:ascii="仿宋" w:hAnsi="仿宋" w:eastAsia="仿宋"/>
                <w:b/>
                <w:bCs/>
                <w:color w:val="auto"/>
                <w:sz w:val="21"/>
                <w:szCs w:val="21"/>
              </w:rPr>
            </w:pPr>
            <w:r>
              <w:rPr>
                <w:rFonts w:hint="eastAsia" w:ascii="仿宋" w:hAnsi="仿宋" w:eastAsia="仿宋"/>
                <w:b/>
                <w:bCs/>
                <w:color w:val="auto"/>
                <w:sz w:val="21"/>
                <w:szCs w:val="21"/>
              </w:rPr>
              <w:t>品牌、规格型号</w:t>
            </w:r>
          </w:p>
        </w:tc>
        <w:tc>
          <w:tcPr>
            <w:tcW w:w="1547" w:type="dxa"/>
            <w:vAlign w:val="center"/>
          </w:tcPr>
          <w:p>
            <w:pPr>
              <w:ind w:firstLine="0" w:firstLineChars="0"/>
              <w:jc w:val="center"/>
              <w:rPr>
                <w:rFonts w:ascii="仿宋" w:hAnsi="仿宋" w:eastAsia="仿宋"/>
                <w:b/>
                <w:bCs/>
                <w:color w:val="auto"/>
                <w:sz w:val="21"/>
                <w:szCs w:val="21"/>
              </w:rPr>
            </w:pPr>
            <w:r>
              <w:rPr>
                <w:rFonts w:hint="eastAsia" w:ascii="仿宋" w:hAnsi="仿宋" w:eastAsia="仿宋"/>
                <w:b/>
                <w:bCs/>
                <w:color w:val="auto"/>
                <w:sz w:val="21"/>
                <w:szCs w:val="21"/>
              </w:rPr>
              <w:t>制造商</w:t>
            </w:r>
          </w:p>
        </w:tc>
        <w:tc>
          <w:tcPr>
            <w:tcW w:w="1242" w:type="dxa"/>
            <w:vAlign w:val="center"/>
          </w:tcPr>
          <w:p>
            <w:pPr>
              <w:ind w:firstLine="0" w:firstLineChars="0"/>
              <w:jc w:val="center"/>
              <w:rPr>
                <w:rFonts w:ascii="仿宋" w:hAnsi="仿宋" w:eastAsia="仿宋"/>
                <w:b/>
                <w:bCs/>
                <w:color w:val="auto"/>
                <w:sz w:val="21"/>
                <w:szCs w:val="21"/>
              </w:rPr>
            </w:pPr>
            <w:r>
              <w:rPr>
                <w:rFonts w:hint="eastAsia" w:ascii="仿宋" w:hAnsi="仿宋" w:eastAsia="仿宋"/>
                <w:b/>
                <w:bCs/>
                <w:color w:val="auto"/>
                <w:sz w:val="21"/>
                <w:szCs w:val="21"/>
              </w:rPr>
              <w:t>生产地</w:t>
            </w:r>
          </w:p>
        </w:tc>
        <w:tc>
          <w:tcPr>
            <w:tcW w:w="934" w:type="dxa"/>
            <w:vAlign w:val="center"/>
          </w:tcPr>
          <w:p>
            <w:pPr>
              <w:ind w:firstLine="0" w:firstLineChars="0"/>
              <w:jc w:val="center"/>
              <w:rPr>
                <w:rFonts w:ascii="仿宋" w:hAnsi="仿宋" w:eastAsia="仿宋"/>
                <w:b/>
                <w:bCs/>
                <w:color w:val="auto"/>
                <w:sz w:val="21"/>
                <w:szCs w:val="21"/>
              </w:rPr>
            </w:pPr>
            <w:r>
              <w:rPr>
                <w:rFonts w:hint="eastAsia" w:ascii="仿宋" w:hAnsi="仿宋" w:eastAsia="仿宋"/>
                <w:b/>
                <w:bCs/>
                <w:color w:val="auto"/>
                <w:sz w:val="21"/>
                <w:szCs w:val="21"/>
              </w:rPr>
              <w:t>数量</w:t>
            </w:r>
          </w:p>
        </w:tc>
        <w:tc>
          <w:tcPr>
            <w:tcW w:w="934" w:type="dxa"/>
            <w:vAlign w:val="center"/>
          </w:tcPr>
          <w:p>
            <w:pPr>
              <w:ind w:firstLine="0" w:firstLineChars="0"/>
              <w:jc w:val="center"/>
              <w:rPr>
                <w:rFonts w:ascii="仿宋" w:hAnsi="仿宋" w:eastAsia="仿宋"/>
                <w:b/>
                <w:bCs/>
                <w:color w:val="auto"/>
                <w:sz w:val="21"/>
                <w:szCs w:val="21"/>
              </w:rPr>
            </w:pPr>
            <w:r>
              <w:rPr>
                <w:rFonts w:hint="eastAsia" w:ascii="仿宋" w:hAnsi="仿宋" w:eastAsia="仿宋"/>
                <w:b/>
                <w:bCs/>
                <w:color w:val="auto"/>
                <w:sz w:val="21"/>
                <w:szCs w:val="21"/>
              </w:rPr>
              <w:t>单价</w:t>
            </w:r>
          </w:p>
        </w:tc>
        <w:tc>
          <w:tcPr>
            <w:tcW w:w="1053" w:type="dxa"/>
            <w:vAlign w:val="center"/>
          </w:tcPr>
          <w:p>
            <w:pPr>
              <w:ind w:firstLine="0" w:firstLineChars="0"/>
              <w:jc w:val="center"/>
              <w:rPr>
                <w:rFonts w:ascii="仿宋" w:hAnsi="仿宋" w:eastAsia="仿宋"/>
                <w:b/>
                <w:bCs/>
                <w:color w:val="auto"/>
                <w:sz w:val="21"/>
                <w:szCs w:val="21"/>
              </w:rPr>
            </w:pPr>
            <w:r>
              <w:rPr>
                <w:rFonts w:hint="eastAsia" w:ascii="仿宋" w:hAnsi="仿宋" w:eastAsia="仿宋"/>
                <w:b/>
                <w:bCs/>
                <w:color w:val="auto"/>
                <w:sz w:val="21"/>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04" w:type="dxa"/>
            <w:vAlign w:val="center"/>
          </w:tcPr>
          <w:p>
            <w:pPr>
              <w:spacing w:line="400" w:lineRule="exact"/>
              <w:ind w:firstLine="0" w:firstLineChars="0"/>
              <w:jc w:val="center"/>
              <w:rPr>
                <w:rFonts w:ascii="仿宋" w:hAnsi="仿宋" w:eastAsia="仿宋"/>
                <w:color w:val="auto"/>
                <w:sz w:val="21"/>
                <w:szCs w:val="21"/>
              </w:rPr>
            </w:pPr>
            <w:r>
              <w:rPr>
                <w:rFonts w:hint="eastAsia" w:ascii="仿宋" w:hAnsi="仿宋" w:eastAsia="仿宋"/>
                <w:color w:val="auto"/>
                <w:sz w:val="21"/>
                <w:szCs w:val="21"/>
              </w:rPr>
              <w:t>1</w:t>
            </w:r>
          </w:p>
        </w:tc>
        <w:tc>
          <w:tcPr>
            <w:tcW w:w="917" w:type="dxa"/>
            <w:vAlign w:val="center"/>
          </w:tcPr>
          <w:p>
            <w:pPr>
              <w:spacing w:line="400" w:lineRule="exact"/>
              <w:ind w:firstLine="0" w:firstLineChars="0"/>
              <w:jc w:val="center"/>
              <w:rPr>
                <w:rFonts w:ascii="仿宋" w:hAnsi="仿宋" w:eastAsia="仿宋"/>
                <w:color w:val="auto"/>
                <w:szCs w:val="22"/>
              </w:rPr>
            </w:pPr>
          </w:p>
        </w:tc>
        <w:tc>
          <w:tcPr>
            <w:tcW w:w="1779" w:type="dxa"/>
          </w:tcPr>
          <w:p>
            <w:pPr>
              <w:spacing w:line="400" w:lineRule="exact"/>
              <w:ind w:firstLine="0" w:firstLineChars="0"/>
              <w:jc w:val="center"/>
              <w:rPr>
                <w:rFonts w:ascii="仿宋" w:hAnsi="仿宋" w:eastAsia="仿宋"/>
                <w:color w:val="auto"/>
                <w:szCs w:val="22"/>
              </w:rPr>
            </w:pPr>
          </w:p>
        </w:tc>
        <w:tc>
          <w:tcPr>
            <w:tcW w:w="1547" w:type="dxa"/>
          </w:tcPr>
          <w:p>
            <w:pPr>
              <w:spacing w:line="400" w:lineRule="exact"/>
              <w:ind w:firstLine="0" w:firstLineChars="0"/>
              <w:jc w:val="center"/>
              <w:rPr>
                <w:rFonts w:ascii="仿宋" w:hAnsi="仿宋" w:eastAsia="仿宋"/>
                <w:color w:val="auto"/>
                <w:szCs w:val="22"/>
              </w:rPr>
            </w:pPr>
          </w:p>
        </w:tc>
        <w:tc>
          <w:tcPr>
            <w:tcW w:w="1242" w:type="dxa"/>
          </w:tcPr>
          <w:p>
            <w:pPr>
              <w:spacing w:line="400" w:lineRule="exact"/>
              <w:ind w:firstLine="0" w:firstLineChars="0"/>
              <w:jc w:val="center"/>
              <w:rPr>
                <w:rFonts w:ascii="仿宋" w:hAnsi="仿宋" w:eastAsia="仿宋"/>
                <w:color w:val="auto"/>
                <w:szCs w:val="22"/>
              </w:rPr>
            </w:pPr>
          </w:p>
        </w:tc>
        <w:tc>
          <w:tcPr>
            <w:tcW w:w="934" w:type="dxa"/>
            <w:vAlign w:val="center"/>
          </w:tcPr>
          <w:p>
            <w:pPr>
              <w:spacing w:line="400" w:lineRule="exact"/>
              <w:ind w:firstLine="0" w:firstLineChars="0"/>
              <w:jc w:val="center"/>
              <w:rPr>
                <w:rFonts w:ascii="仿宋" w:hAnsi="仿宋" w:eastAsia="仿宋"/>
                <w:color w:val="auto"/>
                <w:szCs w:val="22"/>
              </w:rPr>
            </w:pPr>
          </w:p>
        </w:tc>
        <w:tc>
          <w:tcPr>
            <w:tcW w:w="934" w:type="dxa"/>
          </w:tcPr>
          <w:p>
            <w:pPr>
              <w:spacing w:line="400" w:lineRule="exact"/>
              <w:ind w:firstLine="0" w:firstLineChars="0"/>
              <w:jc w:val="center"/>
              <w:rPr>
                <w:rFonts w:ascii="仿宋" w:hAnsi="仿宋" w:eastAsia="仿宋"/>
                <w:color w:val="auto"/>
                <w:szCs w:val="22"/>
              </w:rPr>
            </w:pPr>
          </w:p>
        </w:tc>
        <w:tc>
          <w:tcPr>
            <w:tcW w:w="1053" w:type="dxa"/>
          </w:tcPr>
          <w:p>
            <w:pPr>
              <w:spacing w:line="400" w:lineRule="exact"/>
              <w:ind w:firstLine="0" w:firstLineChars="0"/>
              <w:jc w:val="center"/>
              <w:rPr>
                <w:rFonts w:ascii="仿宋" w:hAnsi="仿宋" w:eastAsia="仿宋"/>
                <w:color w:val="auto"/>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704" w:type="dxa"/>
            <w:vAlign w:val="center"/>
          </w:tcPr>
          <w:p>
            <w:pPr>
              <w:spacing w:line="400" w:lineRule="exact"/>
              <w:ind w:firstLine="0" w:firstLineChars="0"/>
              <w:jc w:val="center"/>
              <w:rPr>
                <w:rFonts w:ascii="仿宋" w:hAnsi="仿宋" w:eastAsia="仿宋"/>
                <w:color w:val="auto"/>
                <w:sz w:val="21"/>
                <w:szCs w:val="21"/>
              </w:rPr>
            </w:pPr>
            <w:r>
              <w:rPr>
                <w:rFonts w:hint="eastAsia" w:ascii="仿宋" w:hAnsi="仿宋" w:eastAsia="仿宋"/>
                <w:color w:val="auto"/>
                <w:sz w:val="21"/>
                <w:szCs w:val="21"/>
              </w:rPr>
              <w:t>2</w:t>
            </w:r>
          </w:p>
        </w:tc>
        <w:tc>
          <w:tcPr>
            <w:tcW w:w="917" w:type="dxa"/>
            <w:vAlign w:val="center"/>
          </w:tcPr>
          <w:p>
            <w:pPr>
              <w:spacing w:line="400" w:lineRule="exact"/>
              <w:ind w:firstLine="0" w:firstLineChars="0"/>
              <w:jc w:val="center"/>
              <w:rPr>
                <w:rFonts w:ascii="仿宋" w:hAnsi="仿宋" w:eastAsia="仿宋"/>
                <w:color w:val="auto"/>
                <w:szCs w:val="22"/>
              </w:rPr>
            </w:pPr>
          </w:p>
        </w:tc>
        <w:tc>
          <w:tcPr>
            <w:tcW w:w="1779" w:type="dxa"/>
          </w:tcPr>
          <w:p>
            <w:pPr>
              <w:spacing w:line="400" w:lineRule="exact"/>
              <w:ind w:firstLine="0" w:firstLineChars="0"/>
              <w:jc w:val="center"/>
              <w:rPr>
                <w:rFonts w:ascii="仿宋" w:hAnsi="仿宋" w:eastAsia="仿宋"/>
                <w:color w:val="auto"/>
                <w:szCs w:val="22"/>
              </w:rPr>
            </w:pPr>
          </w:p>
        </w:tc>
        <w:tc>
          <w:tcPr>
            <w:tcW w:w="1547" w:type="dxa"/>
          </w:tcPr>
          <w:p>
            <w:pPr>
              <w:spacing w:line="400" w:lineRule="exact"/>
              <w:ind w:firstLine="0" w:firstLineChars="0"/>
              <w:jc w:val="center"/>
              <w:rPr>
                <w:rFonts w:ascii="仿宋" w:hAnsi="仿宋" w:eastAsia="仿宋"/>
                <w:color w:val="auto"/>
                <w:szCs w:val="22"/>
              </w:rPr>
            </w:pPr>
          </w:p>
        </w:tc>
        <w:tc>
          <w:tcPr>
            <w:tcW w:w="1242" w:type="dxa"/>
          </w:tcPr>
          <w:p>
            <w:pPr>
              <w:spacing w:line="400" w:lineRule="exact"/>
              <w:ind w:firstLine="0" w:firstLineChars="0"/>
              <w:jc w:val="center"/>
              <w:rPr>
                <w:rFonts w:ascii="仿宋" w:hAnsi="仿宋" w:eastAsia="仿宋"/>
                <w:color w:val="auto"/>
                <w:szCs w:val="22"/>
              </w:rPr>
            </w:pPr>
          </w:p>
        </w:tc>
        <w:tc>
          <w:tcPr>
            <w:tcW w:w="934" w:type="dxa"/>
            <w:vAlign w:val="center"/>
          </w:tcPr>
          <w:p>
            <w:pPr>
              <w:spacing w:line="400" w:lineRule="exact"/>
              <w:ind w:firstLine="0" w:firstLineChars="0"/>
              <w:jc w:val="center"/>
              <w:rPr>
                <w:rFonts w:ascii="仿宋" w:hAnsi="仿宋" w:eastAsia="仿宋"/>
                <w:color w:val="auto"/>
                <w:szCs w:val="22"/>
              </w:rPr>
            </w:pPr>
          </w:p>
        </w:tc>
        <w:tc>
          <w:tcPr>
            <w:tcW w:w="934" w:type="dxa"/>
          </w:tcPr>
          <w:p>
            <w:pPr>
              <w:spacing w:line="400" w:lineRule="exact"/>
              <w:ind w:firstLine="0" w:firstLineChars="0"/>
              <w:jc w:val="center"/>
              <w:rPr>
                <w:rFonts w:ascii="仿宋" w:hAnsi="仿宋" w:eastAsia="仿宋"/>
                <w:color w:val="auto"/>
                <w:szCs w:val="22"/>
              </w:rPr>
            </w:pPr>
          </w:p>
        </w:tc>
        <w:tc>
          <w:tcPr>
            <w:tcW w:w="1053" w:type="dxa"/>
          </w:tcPr>
          <w:p>
            <w:pPr>
              <w:spacing w:line="400" w:lineRule="exact"/>
              <w:ind w:firstLine="0" w:firstLineChars="0"/>
              <w:jc w:val="center"/>
              <w:rPr>
                <w:rFonts w:ascii="仿宋" w:hAnsi="仿宋" w:eastAsia="仿宋"/>
                <w:color w:val="auto"/>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704" w:type="dxa"/>
            <w:vAlign w:val="center"/>
          </w:tcPr>
          <w:p>
            <w:pPr>
              <w:spacing w:line="400" w:lineRule="exact"/>
              <w:ind w:firstLine="0" w:firstLineChars="0"/>
              <w:jc w:val="center"/>
              <w:rPr>
                <w:rFonts w:ascii="仿宋" w:hAnsi="仿宋" w:eastAsia="仿宋"/>
                <w:color w:val="auto"/>
                <w:sz w:val="21"/>
                <w:szCs w:val="21"/>
              </w:rPr>
            </w:pPr>
            <w:r>
              <w:rPr>
                <w:rFonts w:hint="eastAsia" w:ascii="仿宋" w:hAnsi="仿宋" w:eastAsia="仿宋"/>
                <w:color w:val="auto"/>
                <w:sz w:val="21"/>
                <w:szCs w:val="21"/>
              </w:rPr>
              <w:t>3</w:t>
            </w:r>
          </w:p>
        </w:tc>
        <w:tc>
          <w:tcPr>
            <w:tcW w:w="917" w:type="dxa"/>
            <w:vAlign w:val="center"/>
          </w:tcPr>
          <w:p>
            <w:pPr>
              <w:spacing w:line="400" w:lineRule="exact"/>
              <w:ind w:firstLine="0" w:firstLineChars="0"/>
              <w:jc w:val="center"/>
              <w:rPr>
                <w:rFonts w:ascii="仿宋" w:hAnsi="仿宋" w:eastAsia="仿宋"/>
                <w:color w:val="auto"/>
                <w:szCs w:val="22"/>
              </w:rPr>
            </w:pPr>
          </w:p>
        </w:tc>
        <w:tc>
          <w:tcPr>
            <w:tcW w:w="1779" w:type="dxa"/>
          </w:tcPr>
          <w:p>
            <w:pPr>
              <w:spacing w:line="400" w:lineRule="exact"/>
              <w:ind w:firstLine="0" w:firstLineChars="0"/>
              <w:jc w:val="center"/>
              <w:rPr>
                <w:rFonts w:ascii="仿宋" w:hAnsi="仿宋" w:eastAsia="仿宋"/>
                <w:color w:val="auto"/>
                <w:szCs w:val="22"/>
              </w:rPr>
            </w:pPr>
          </w:p>
        </w:tc>
        <w:tc>
          <w:tcPr>
            <w:tcW w:w="1547" w:type="dxa"/>
          </w:tcPr>
          <w:p>
            <w:pPr>
              <w:spacing w:line="400" w:lineRule="exact"/>
              <w:ind w:firstLine="0" w:firstLineChars="0"/>
              <w:jc w:val="center"/>
              <w:rPr>
                <w:rFonts w:ascii="仿宋" w:hAnsi="仿宋" w:eastAsia="仿宋"/>
                <w:color w:val="auto"/>
                <w:szCs w:val="22"/>
              </w:rPr>
            </w:pPr>
          </w:p>
        </w:tc>
        <w:tc>
          <w:tcPr>
            <w:tcW w:w="1242" w:type="dxa"/>
          </w:tcPr>
          <w:p>
            <w:pPr>
              <w:spacing w:line="400" w:lineRule="exact"/>
              <w:ind w:firstLine="0" w:firstLineChars="0"/>
              <w:jc w:val="center"/>
              <w:rPr>
                <w:rFonts w:ascii="仿宋" w:hAnsi="仿宋" w:eastAsia="仿宋"/>
                <w:color w:val="auto"/>
                <w:szCs w:val="22"/>
              </w:rPr>
            </w:pPr>
          </w:p>
        </w:tc>
        <w:tc>
          <w:tcPr>
            <w:tcW w:w="934" w:type="dxa"/>
            <w:vAlign w:val="center"/>
          </w:tcPr>
          <w:p>
            <w:pPr>
              <w:spacing w:line="400" w:lineRule="exact"/>
              <w:ind w:firstLine="0" w:firstLineChars="0"/>
              <w:jc w:val="center"/>
              <w:rPr>
                <w:rFonts w:ascii="仿宋" w:hAnsi="仿宋" w:eastAsia="仿宋"/>
                <w:color w:val="auto"/>
                <w:szCs w:val="22"/>
              </w:rPr>
            </w:pPr>
          </w:p>
        </w:tc>
        <w:tc>
          <w:tcPr>
            <w:tcW w:w="934" w:type="dxa"/>
          </w:tcPr>
          <w:p>
            <w:pPr>
              <w:spacing w:line="400" w:lineRule="exact"/>
              <w:ind w:firstLine="0" w:firstLineChars="0"/>
              <w:jc w:val="center"/>
              <w:rPr>
                <w:rFonts w:ascii="仿宋" w:hAnsi="仿宋" w:eastAsia="仿宋"/>
                <w:color w:val="auto"/>
                <w:szCs w:val="22"/>
              </w:rPr>
            </w:pPr>
          </w:p>
        </w:tc>
        <w:tc>
          <w:tcPr>
            <w:tcW w:w="1053" w:type="dxa"/>
          </w:tcPr>
          <w:p>
            <w:pPr>
              <w:spacing w:line="400" w:lineRule="exact"/>
              <w:ind w:firstLine="0" w:firstLineChars="0"/>
              <w:jc w:val="center"/>
              <w:rPr>
                <w:rFonts w:ascii="仿宋" w:hAnsi="仿宋" w:eastAsia="仿宋"/>
                <w:color w:val="auto"/>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704" w:type="dxa"/>
            <w:vAlign w:val="center"/>
          </w:tcPr>
          <w:p>
            <w:pPr>
              <w:spacing w:line="400" w:lineRule="exact"/>
              <w:ind w:firstLine="0" w:firstLineChars="0"/>
              <w:jc w:val="center"/>
              <w:rPr>
                <w:rFonts w:ascii="仿宋" w:hAnsi="仿宋" w:eastAsia="仿宋"/>
                <w:color w:val="auto"/>
                <w:sz w:val="21"/>
                <w:szCs w:val="21"/>
              </w:rPr>
            </w:pPr>
            <w:r>
              <w:rPr>
                <w:rFonts w:hint="eastAsia" w:ascii="仿宋" w:hAnsi="仿宋" w:eastAsia="仿宋"/>
                <w:color w:val="auto"/>
                <w:sz w:val="21"/>
                <w:szCs w:val="21"/>
              </w:rPr>
              <w:t>4</w:t>
            </w:r>
          </w:p>
        </w:tc>
        <w:tc>
          <w:tcPr>
            <w:tcW w:w="917" w:type="dxa"/>
            <w:vAlign w:val="center"/>
          </w:tcPr>
          <w:p>
            <w:pPr>
              <w:spacing w:line="400" w:lineRule="exact"/>
              <w:ind w:firstLine="0" w:firstLineChars="0"/>
              <w:jc w:val="center"/>
              <w:rPr>
                <w:rFonts w:ascii="仿宋" w:hAnsi="仿宋" w:eastAsia="仿宋"/>
                <w:color w:val="auto"/>
                <w:szCs w:val="22"/>
              </w:rPr>
            </w:pPr>
          </w:p>
        </w:tc>
        <w:tc>
          <w:tcPr>
            <w:tcW w:w="1779" w:type="dxa"/>
          </w:tcPr>
          <w:p>
            <w:pPr>
              <w:spacing w:line="400" w:lineRule="exact"/>
              <w:ind w:firstLine="0" w:firstLineChars="0"/>
              <w:jc w:val="center"/>
              <w:rPr>
                <w:rFonts w:ascii="仿宋" w:hAnsi="仿宋" w:eastAsia="仿宋"/>
                <w:color w:val="auto"/>
                <w:szCs w:val="22"/>
              </w:rPr>
            </w:pPr>
          </w:p>
        </w:tc>
        <w:tc>
          <w:tcPr>
            <w:tcW w:w="1547" w:type="dxa"/>
          </w:tcPr>
          <w:p>
            <w:pPr>
              <w:spacing w:line="400" w:lineRule="exact"/>
              <w:ind w:firstLine="0" w:firstLineChars="0"/>
              <w:jc w:val="center"/>
              <w:rPr>
                <w:rFonts w:ascii="仿宋" w:hAnsi="仿宋" w:eastAsia="仿宋"/>
                <w:color w:val="auto"/>
                <w:szCs w:val="22"/>
              </w:rPr>
            </w:pPr>
          </w:p>
        </w:tc>
        <w:tc>
          <w:tcPr>
            <w:tcW w:w="1242" w:type="dxa"/>
          </w:tcPr>
          <w:p>
            <w:pPr>
              <w:spacing w:line="400" w:lineRule="exact"/>
              <w:ind w:firstLine="0" w:firstLineChars="0"/>
              <w:jc w:val="center"/>
              <w:rPr>
                <w:rFonts w:ascii="仿宋" w:hAnsi="仿宋" w:eastAsia="仿宋"/>
                <w:color w:val="auto"/>
                <w:szCs w:val="22"/>
              </w:rPr>
            </w:pPr>
          </w:p>
        </w:tc>
        <w:tc>
          <w:tcPr>
            <w:tcW w:w="934" w:type="dxa"/>
            <w:vAlign w:val="center"/>
          </w:tcPr>
          <w:p>
            <w:pPr>
              <w:spacing w:line="400" w:lineRule="exact"/>
              <w:ind w:firstLine="0" w:firstLineChars="0"/>
              <w:jc w:val="center"/>
              <w:rPr>
                <w:rFonts w:ascii="仿宋" w:hAnsi="仿宋" w:eastAsia="仿宋"/>
                <w:color w:val="auto"/>
                <w:szCs w:val="22"/>
              </w:rPr>
            </w:pPr>
          </w:p>
        </w:tc>
        <w:tc>
          <w:tcPr>
            <w:tcW w:w="934" w:type="dxa"/>
          </w:tcPr>
          <w:p>
            <w:pPr>
              <w:spacing w:line="400" w:lineRule="exact"/>
              <w:ind w:firstLine="0" w:firstLineChars="0"/>
              <w:jc w:val="center"/>
              <w:rPr>
                <w:rFonts w:ascii="仿宋" w:hAnsi="仿宋" w:eastAsia="仿宋"/>
                <w:color w:val="auto"/>
                <w:szCs w:val="22"/>
              </w:rPr>
            </w:pPr>
          </w:p>
        </w:tc>
        <w:tc>
          <w:tcPr>
            <w:tcW w:w="1053" w:type="dxa"/>
          </w:tcPr>
          <w:p>
            <w:pPr>
              <w:spacing w:line="400" w:lineRule="exact"/>
              <w:ind w:firstLine="0" w:firstLineChars="0"/>
              <w:jc w:val="center"/>
              <w:rPr>
                <w:rFonts w:ascii="仿宋" w:hAnsi="仿宋" w:eastAsia="仿宋"/>
                <w:color w:val="auto"/>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04" w:type="dxa"/>
            <w:vAlign w:val="center"/>
          </w:tcPr>
          <w:p>
            <w:pPr>
              <w:spacing w:line="400" w:lineRule="exact"/>
              <w:ind w:firstLine="0" w:firstLineChars="0"/>
              <w:jc w:val="center"/>
              <w:rPr>
                <w:rFonts w:ascii="仿宋" w:hAnsi="仿宋" w:eastAsia="仿宋"/>
                <w:color w:val="auto"/>
                <w:sz w:val="21"/>
                <w:szCs w:val="21"/>
              </w:rPr>
            </w:pPr>
            <w:r>
              <w:rPr>
                <w:rFonts w:hint="eastAsia" w:ascii="仿宋" w:hAnsi="仿宋" w:eastAsia="仿宋"/>
                <w:color w:val="auto"/>
                <w:sz w:val="21"/>
                <w:szCs w:val="21"/>
              </w:rPr>
              <w:t>5</w:t>
            </w:r>
          </w:p>
        </w:tc>
        <w:tc>
          <w:tcPr>
            <w:tcW w:w="917" w:type="dxa"/>
            <w:vAlign w:val="center"/>
          </w:tcPr>
          <w:p>
            <w:pPr>
              <w:spacing w:line="400" w:lineRule="exact"/>
              <w:ind w:firstLine="0" w:firstLineChars="0"/>
              <w:jc w:val="center"/>
              <w:rPr>
                <w:rFonts w:ascii="仿宋" w:hAnsi="仿宋" w:eastAsia="仿宋"/>
                <w:color w:val="auto"/>
                <w:szCs w:val="22"/>
              </w:rPr>
            </w:pPr>
          </w:p>
        </w:tc>
        <w:tc>
          <w:tcPr>
            <w:tcW w:w="1779" w:type="dxa"/>
          </w:tcPr>
          <w:p>
            <w:pPr>
              <w:spacing w:line="400" w:lineRule="exact"/>
              <w:ind w:firstLine="0" w:firstLineChars="0"/>
              <w:jc w:val="center"/>
              <w:rPr>
                <w:rFonts w:ascii="仿宋" w:hAnsi="仿宋" w:eastAsia="仿宋"/>
                <w:color w:val="auto"/>
                <w:szCs w:val="22"/>
              </w:rPr>
            </w:pPr>
          </w:p>
        </w:tc>
        <w:tc>
          <w:tcPr>
            <w:tcW w:w="1547" w:type="dxa"/>
          </w:tcPr>
          <w:p>
            <w:pPr>
              <w:spacing w:line="400" w:lineRule="exact"/>
              <w:ind w:firstLine="0" w:firstLineChars="0"/>
              <w:jc w:val="center"/>
              <w:rPr>
                <w:rFonts w:ascii="仿宋" w:hAnsi="仿宋" w:eastAsia="仿宋"/>
                <w:color w:val="auto"/>
                <w:szCs w:val="22"/>
              </w:rPr>
            </w:pPr>
          </w:p>
        </w:tc>
        <w:tc>
          <w:tcPr>
            <w:tcW w:w="1242" w:type="dxa"/>
          </w:tcPr>
          <w:p>
            <w:pPr>
              <w:spacing w:line="400" w:lineRule="exact"/>
              <w:ind w:firstLine="0" w:firstLineChars="0"/>
              <w:jc w:val="center"/>
              <w:rPr>
                <w:rFonts w:ascii="仿宋" w:hAnsi="仿宋" w:eastAsia="仿宋"/>
                <w:color w:val="auto"/>
                <w:szCs w:val="22"/>
              </w:rPr>
            </w:pPr>
          </w:p>
        </w:tc>
        <w:tc>
          <w:tcPr>
            <w:tcW w:w="934" w:type="dxa"/>
            <w:vAlign w:val="center"/>
          </w:tcPr>
          <w:p>
            <w:pPr>
              <w:spacing w:line="400" w:lineRule="exact"/>
              <w:ind w:firstLine="0" w:firstLineChars="0"/>
              <w:jc w:val="center"/>
              <w:rPr>
                <w:rFonts w:ascii="仿宋" w:hAnsi="仿宋" w:eastAsia="仿宋"/>
                <w:color w:val="auto"/>
                <w:szCs w:val="22"/>
              </w:rPr>
            </w:pPr>
          </w:p>
        </w:tc>
        <w:tc>
          <w:tcPr>
            <w:tcW w:w="934" w:type="dxa"/>
          </w:tcPr>
          <w:p>
            <w:pPr>
              <w:spacing w:line="400" w:lineRule="exact"/>
              <w:ind w:firstLine="0" w:firstLineChars="0"/>
              <w:jc w:val="center"/>
              <w:rPr>
                <w:rFonts w:ascii="仿宋" w:hAnsi="仿宋" w:eastAsia="仿宋"/>
                <w:color w:val="auto"/>
                <w:szCs w:val="22"/>
              </w:rPr>
            </w:pPr>
          </w:p>
        </w:tc>
        <w:tc>
          <w:tcPr>
            <w:tcW w:w="1053" w:type="dxa"/>
          </w:tcPr>
          <w:p>
            <w:pPr>
              <w:spacing w:line="400" w:lineRule="exact"/>
              <w:ind w:firstLine="0" w:firstLineChars="0"/>
              <w:jc w:val="center"/>
              <w:rPr>
                <w:rFonts w:ascii="仿宋" w:hAnsi="仿宋" w:eastAsia="仿宋"/>
                <w:color w:val="auto"/>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704" w:type="dxa"/>
            <w:vAlign w:val="center"/>
          </w:tcPr>
          <w:p>
            <w:pPr>
              <w:spacing w:line="400" w:lineRule="exact"/>
              <w:ind w:firstLine="0" w:firstLineChars="0"/>
              <w:jc w:val="center"/>
              <w:rPr>
                <w:rFonts w:ascii="仿宋" w:hAnsi="仿宋" w:eastAsia="仿宋"/>
                <w:color w:val="auto"/>
                <w:sz w:val="21"/>
                <w:szCs w:val="21"/>
              </w:rPr>
            </w:pPr>
            <w:r>
              <w:rPr>
                <w:rFonts w:hint="eastAsia" w:ascii="仿宋" w:hAnsi="仿宋" w:eastAsia="仿宋"/>
                <w:color w:val="auto"/>
                <w:sz w:val="21"/>
                <w:szCs w:val="21"/>
              </w:rPr>
              <w:t>6</w:t>
            </w:r>
          </w:p>
        </w:tc>
        <w:tc>
          <w:tcPr>
            <w:tcW w:w="917" w:type="dxa"/>
            <w:vAlign w:val="center"/>
          </w:tcPr>
          <w:p>
            <w:pPr>
              <w:spacing w:line="400" w:lineRule="exact"/>
              <w:ind w:firstLine="0" w:firstLineChars="0"/>
              <w:jc w:val="center"/>
              <w:rPr>
                <w:rFonts w:ascii="仿宋" w:hAnsi="仿宋" w:eastAsia="仿宋"/>
                <w:color w:val="auto"/>
                <w:szCs w:val="22"/>
              </w:rPr>
            </w:pPr>
          </w:p>
        </w:tc>
        <w:tc>
          <w:tcPr>
            <w:tcW w:w="1779" w:type="dxa"/>
          </w:tcPr>
          <w:p>
            <w:pPr>
              <w:spacing w:line="400" w:lineRule="exact"/>
              <w:ind w:firstLine="0" w:firstLineChars="0"/>
              <w:jc w:val="center"/>
              <w:rPr>
                <w:rFonts w:ascii="仿宋" w:hAnsi="仿宋" w:eastAsia="仿宋"/>
                <w:color w:val="auto"/>
                <w:szCs w:val="22"/>
              </w:rPr>
            </w:pPr>
          </w:p>
        </w:tc>
        <w:tc>
          <w:tcPr>
            <w:tcW w:w="1547" w:type="dxa"/>
          </w:tcPr>
          <w:p>
            <w:pPr>
              <w:spacing w:line="400" w:lineRule="exact"/>
              <w:ind w:firstLine="0" w:firstLineChars="0"/>
              <w:jc w:val="center"/>
              <w:rPr>
                <w:rFonts w:ascii="仿宋" w:hAnsi="仿宋" w:eastAsia="仿宋"/>
                <w:color w:val="auto"/>
                <w:szCs w:val="22"/>
              </w:rPr>
            </w:pPr>
          </w:p>
        </w:tc>
        <w:tc>
          <w:tcPr>
            <w:tcW w:w="1242" w:type="dxa"/>
          </w:tcPr>
          <w:p>
            <w:pPr>
              <w:spacing w:line="400" w:lineRule="exact"/>
              <w:ind w:firstLine="0" w:firstLineChars="0"/>
              <w:jc w:val="center"/>
              <w:rPr>
                <w:rFonts w:ascii="仿宋" w:hAnsi="仿宋" w:eastAsia="仿宋"/>
                <w:color w:val="auto"/>
                <w:szCs w:val="22"/>
              </w:rPr>
            </w:pPr>
          </w:p>
        </w:tc>
        <w:tc>
          <w:tcPr>
            <w:tcW w:w="934" w:type="dxa"/>
            <w:vAlign w:val="center"/>
          </w:tcPr>
          <w:p>
            <w:pPr>
              <w:spacing w:line="400" w:lineRule="exact"/>
              <w:ind w:firstLine="0" w:firstLineChars="0"/>
              <w:jc w:val="center"/>
              <w:rPr>
                <w:rFonts w:ascii="仿宋" w:hAnsi="仿宋" w:eastAsia="仿宋"/>
                <w:color w:val="auto"/>
                <w:szCs w:val="22"/>
              </w:rPr>
            </w:pPr>
          </w:p>
        </w:tc>
        <w:tc>
          <w:tcPr>
            <w:tcW w:w="934" w:type="dxa"/>
          </w:tcPr>
          <w:p>
            <w:pPr>
              <w:spacing w:line="400" w:lineRule="exact"/>
              <w:ind w:firstLine="0" w:firstLineChars="0"/>
              <w:jc w:val="center"/>
              <w:rPr>
                <w:rFonts w:ascii="仿宋" w:hAnsi="仿宋" w:eastAsia="仿宋"/>
                <w:color w:val="auto"/>
                <w:szCs w:val="22"/>
              </w:rPr>
            </w:pPr>
          </w:p>
        </w:tc>
        <w:tc>
          <w:tcPr>
            <w:tcW w:w="1053" w:type="dxa"/>
          </w:tcPr>
          <w:p>
            <w:pPr>
              <w:spacing w:line="400" w:lineRule="exact"/>
              <w:ind w:firstLine="0" w:firstLineChars="0"/>
              <w:jc w:val="center"/>
              <w:rPr>
                <w:rFonts w:ascii="仿宋" w:hAnsi="仿宋" w:eastAsia="仿宋"/>
                <w:color w:val="auto"/>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4" w:type="dxa"/>
            <w:vAlign w:val="center"/>
          </w:tcPr>
          <w:p>
            <w:pPr>
              <w:spacing w:line="400" w:lineRule="exact"/>
              <w:ind w:firstLine="0" w:firstLineChars="0"/>
              <w:jc w:val="center"/>
              <w:rPr>
                <w:rFonts w:ascii="仿宋" w:hAnsi="仿宋" w:eastAsia="仿宋"/>
                <w:color w:val="auto"/>
                <w:sz w:val="21"/>
                <w:szCs w:val="21"/>
              </w:rPr>
            </w:pPr>
            <w:r>
              <w:rPr>
                <w:rFonts w:hint="eastAsia" w:ascii="仿宋" w:hAnsi="仿宋" w:eastAsia="仿宋"/>
                <w:color w:val="auto"/>
                <w:sz w:val="21"/>
                <w:szCs w:val="21"/>
              </w:rPr>
              <w:t>7</w:t>
            </w:r>
          </w:p>
        </w:tc>
        <w:tc>
          <w:tcPr>
            <w:tcW w:w="917" w:type="dxa"/>
            <w:vAlign w:val="center"/>
          </w:tcPr>
          <w:p>
            <w:pPr>
              <w:spacing w:line="400" w:lineRule="exact"/>
              <w:ind w:firstLine="0" w:firstLineChars="0"/>
              <w:jc w:val="center"/>
              <w:rPr>
                <w:rFonts w:ascii="仿宋" w:hAnsi="仿宋" w:eastAsia="仿宋"/>
                <w:color w:val="auto"/>
                <w:szCs w:val="22"/>
              </w:rPr>
            </w:pPr>
          </w:p>
        </w:tc>
        <w:tc>
          <w:tcPr>
            <w:tcW w:w="1779" w:type="dxa"/>
          </w:tcPr>
          <w:p>
            <w:pPr>
              <w:spacing w:line="400" w:lineRule="exact"/>
              <w:ind w:firstLine="0" w:firstLineChars="0"/>
              <w:jc w:val="center"/>
              <w:rPr>
                <w:rFonts w:ascii="仿宋" w:hAnsi="仿宋" w:eastAsia="仿宋"/>
                <w:color w:val="auto"/>
                <w:szCs w:val="22"/>
              </w:rPr>
            </w:pPr>
          </w:p>
        </w:tc>
        <w:tc>
          <w:tcPr>
            <w:tcW w:w="1547" w:type="dxa"/>
          </w:tcPr>
          <w:p>
            <w:pPr>
              <w:spacing w:line="400" w:lineRule="exact"/>
              <w:ind w:firstLine="0" w:firstLineChars="0"/>
              <w:jc w:val="center"/>
              <w:rPr>
                <w:rFonts w:ascii="仿宋" w:hAnsi="仿宋" w:eastAsia="仿宋"/>
                <w:color w:val="auto"/>
                <w:szCs w:val="22"/>
              </w:rPr>
            </w:pPr>
          </w:p>
        </w:tc>
        <w:tc>
          <w:tcPr>
            <w:tcW w:w="1242" w:type="dxa"/>
          </w:tcPr>
          <w:p>
            <w:pPr>
              <w:spacing w:line="400" w:lineRule="exact"/>
              <w:ind w:firstLine="0" w:firstLineChars="0"/>
              <w:jc w:val="center"/>
              <w:rPr>
                <w:rFonts w:ascii="仿宋" w:hAnsi="仿宋" w:eastAsia="仿宋"/>
                <w:color w:val="auto"/>
                <w:szCs w:val="22"/>
              </w:rPr>
            </w:pPr>
          </w:p>
        </w:tc>
        <w:tc>
          <w:tcPr>
            <w:tcW w:w="934" w:type="dxa"/>
            <w:vAlign w:val="center"/>
          </w:tcPr>
          <w:p>
            <w:pPr>
              <w:spacing w:line="400" w:lineRule="exact"/>
              <w:ind w:firstLine="0" w:firstLineChars="0"/>
              <w:jc w:val="center"/>
              <w:rPr>
                <w:rFonts w:ascii="仿宋" w:hAnsi="仿宋" w:eastAsia="仿宋"/>
                <w:color w:val="auto"/>
                <w:szCs w:val="22"/>
              </w:rPr>
            </w:pPr>
          </w:p>
        </w:tc>
        <w:tc>
          <w:tcPr>
            <w:tcW w:w="934" w:type="dxa"/>
          </w:tcPr>
          <w:p>
            <w:pPr>
              <w:spacing w:line="400" w:lineRule="exact"/>
              <w:ind w:firstLine="0" w:firstLineChars="0"/>
              <w:jc w:val="center"/>
              <w:rPr>
                <w:rFonts w:ascii="仿宋" w:hAnsi="仿宋" w:eastAsia="仿宋"/>
                <w:color w:val="auto"/>
                <w:szCs w:val="22"/>
              </w:rPr>
            </w:pPr>
          </w:p>
        </w:tc>
        <w:tc>
          <w:tcPr>
            <w:tcW w:w="1053" w:type="dxa"/>
          </w:tcPr>
          <w:p>
            <w:pPr>
              <w:spacing w:line="400" w:lineRule="exact"/>
              <w:ind w:firstLine="0" w:firstLineChars="0"/>
              <w:jc w:val="center"/>
              <w:rPr>
                <w:rFonts w:ascii="仿宋" w:hAnsi="仿宋" w:eastAsia="仿宋"/>
                <w:color w:val="auto"/>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jc w:val="center"/>
        </w:trPr>
        <w:tc>
          <w:tcPr>
            <w:tcW w:w="704" w:type="dxa"/>
            <w:vAlign w:val="center"/>
          </w:tcPr>
          <w:p>
            <w:pPr>
              <w:spacing w:line="400" w:lineRule="exact"/>
              <w:ind w:firstLine="0" w:firstLineChars="0"/>
              <w:jc w:val="center"/>
              <w:rPr>
                <w:rFonts w:ascii="仿宋" w:hAnsi="仿宋" w:eastAsia="仿宋"/>
                <w:color w:val="auto"/>
                <w:sz w:val="21"/>
                <w:szCs w:val="21"/>
              </w:rPr>
            </w:pPr>
            <w:r>
              <w:rPr>
                <w:rFonts w:hint="eastAsia" w:ascii="仿宋" w:hAnsi="仿宋" w:eastAsia="仿宋"/>
                <w:color w:val="auto"/>
                <w:sz w:val="21"/>
                <w:szCs w:val="21"/>
              </w:rPr>
              <w:t>8</w:t>
            </w:r>
          </w:p>
        </w:tc>
        <w:tc>
          <w:tcPr>
            <w:tcW w:w="917" w:type="dxa"/>
            <w:vAlign w:val="center"/>
          </w:tcPr>
          <w:p>
            <w:pPr>
              <w:spacing w:line="400" w:lineRule="exact"/>
              <w:ind w:firstLine="0" w:firstLineChars="0"/>
              <w:jc w:val="center"/>
              <w:rPr>
                <w:rFonts w:ascii="仿宋" w:hAnsi="仿宋" w:eastAsia="仿宋"/>
                <w:color w:val="auto"/>
                <w:szCs w:val="22"/>
              </w:rPr>
            </w:pPr>
          </w:p>
        </w:tc>
        <w:tc>
          <w:tcPr>
            <w:tcW w:w="1779" w:type="dxa"/>
          </w:tcPr>
          <w:p>
            <w:pPr>
              <w:spacing w:line="400" w:lineRule="exact"/>
              <w:ind w:firstLine="0" w:firstLineChars="0"/>
              <w:jc w:val="center"/>
              <w:rPr>
                <w:rFonts w:ascii="仿宋" w:hAnsi="仿宋" w:eastAsia="仿宋"/>
                <w:color w:val="auto"/>
                <w:szCs w:val="22"/>
              </w:rPr>
            </w:pPr>
          </w:p>
        </w:tc>
        <w:tc>
          <w:tcPr>
            <w:tcW w:w="1547" w:type="dxa"/>
          </w:tcPr>
          <w:p>
            <w:pPr>
              <w:spacing w:line="400" w:lineRule="exact"/>
              <w:ind w:firstLine="0" w:firstLineChars="0"/>
              <w:jc w:val="center"/>
              <w:rPr>
                <w:rFonts w:ascii="仿宋" w:hAnsi="仿宋" w:eastAsia="仿宋"/>
                <w:color w:val="auto"/>
                <w:szCs w:val="22"/>
              </w:rPr>
            </w:pPr>
          </w:p>
        </w:tc>
        <w:tc>
          <w:tcPr>
            <w:tcW w:w="1242" w:type="dxa"/>
          </w:tcPr>
          <w:p>
            <w:pPr>
              <w:spacing w:line="400" w:lineRule="exact"/>
              <w:ind w:firstLine="0" w:firstLineChars="0"/>
              <w:jc w:val="center"/>
              <w:rPr>
                <w:rFonts w:ascii="仿宋" w:hAnsi="仿宋" w:eastAsia="仿宋"/>
                <w:color w:val="auto"/>
                <w:szCs w:val="22"/>
              </w:rPr>
            </w:pPr>
          </w:p>
        </w:tc>
        <w:tc>
          <w:tcPr>
            <w:tcW w:w="934" w:type="dxa"/>
            <w:vAlign w:val="center"/>
          </w:tcPr>
          <w:p>
            <w:pPr>
              <w:spacing w:line="400" w:lineRule="exact"/>
              <w:ind w:firstLine="0" w:firstLineChars="0"/>
              <w:jc w:val="center"/>
              <w:rPr>
                <w:rFonts w:ascii="仿宋" w:hAnsi="仿宋" w:eastAsia="仿宋"/>
                <w:color w:val="auto"/>
                <w:szCs w:val="22"/>
              </w:rPr>
            </w:pPr>
            <w:r>
              <w:rPr>
                <w:rFonts w:hint="eastAsia" w:ascii="仿宋" w:hAnsi="仿宋" w:eastAsia="仿宋"/>
                <w:color w:val="auto"/>
                <w:szCs w:val="22"/>
              </w:rPr>
              <w:t>/</w:t>
            </w:r>
          </w:p>
        </w:tc>
        <w:tc>
          <w:tcPr>
            <w:tcW w:w="934" w:type="dxa"/>
          </w:tcPr>
          <w:p>
            <w:pPr>
              <w:spacing w:line="400" w:lineRule="exact"/>
              <w:ind w:firstLine="0" w:firstLineChars="0"/>
              <w:jc w:val="center"/>
              <w:rPr>
                <w:rFonts w:ascii="仿宋" w:hAnsi="仿宋" w:eastAsia="仿宋"/>
                <w:color w:val="auto"/>
                <w:szCs w:val="22"/>
              </w:rPr>
            </w:pPr>
          </w:p>
        </w:tc>
        <w:tc>
          <w:tcPr>
            <w:tcW w:w="1053" w:type="dxa"/>
          </w:tcPr>
          <w:p>
            <w:pPr>
              <w:spacing w:line="400" w:lineRule="exact"/>
              <w:ind w:firstLine="0" w:firstLineChars="0"/>
              <w:jc w:val="center"/>
              <w:rPr>
                <w:rFonts w:ascii="仿宋" w:hAnsi="仿宋" w:eastAsia="仿宋"/>
                <w:color w:val="auto"/>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4" w:type="dxa"/>
            <w:vAlign w:val="center"/>
          </w:tcPr>
          <w:p>
            <w:pPr>
              <w:spacing w:line="400" w:lineRule="exact"/>
              <w:ind w:firstLine="0" w:firstLineChars="0"/>
              <w:jc w:val="center"/>
              <w:rPr>
                <w:rFonts w:ascii="仿宋" w:hAnsi="仿宋" w:eastAsia="仿宋"/>
                <w:color w:val="auto"/>
                <w:sz w:val="21"/>
                <w:szCs w:val="21"/>
              </w:rPr>
            </w:pPr>
            <w:r>
              <w:rPr>
                <w:rFonts w:hint="eastAsia" w:ascii="仿宋" w:hAnsi="仿宋" w:eastAsia="仿宋"/>
                <w:color w:val="auto"/>
                <w:sz w:val="21"/>
                <w:szCs w:val="21"/>
              </w:rPr>
              <w:t>9</w:t>
            </w:r>
          </w:p>
        </w:tc>
        <w:tc>
          <w:tcPr>
            <w:tcW w:w="917" w:type="dxa"/>
            <w:vAlign w:val="center"/>
          </w:tcPr>
          <w:p>
            <w:pPr>
              <w:spacing w:line="400" w:lineRule="exact"/>
              <w:ind w:firstLine="0" w:firstLineChars="0"/>
              <w:jc w:val="center"/>
              <w:rPr>
                <w:rFonts w:ascii="仿宋" w:hAnsi="仿宋" w:eastAsia="仿宋"/>
                <w:color w:val="auto"/>
                <w:szCs w:val="22"/>
              </w:rPr>
            </w:pPr>
          </w:p>
        </w:tc>
        <w:tc>
          <w:tcPr>
            <w:tcW w:w="1779" w:type="dxa"/>
          </w:tcPr>
          <w:p>
            <w:pPr>
              <w:spacing w:line="400" w:lineRule="exact"/>
              <w:ind w:firstLine="0" w:firstLineChars="0"/>
              <w:jc w:val="center"/>
              <w:rPr>
                <w:rFonts w:ascii="仿宋" w:hAnsi="仿宋" w:eastAsia="仿宋"/>
                <w:color w:val="auto"/>
                <w:szCs w:val="22"/>
              </w:rPr>
            </w:pPr>
          </w:p>
        </w:tc>
        <w:tc>
          <w:tcPr>
            <w:tcW w:w="1547" w:type="dxa"/>
          </w:tcPr>
          <w:p>
            <w:pPr>
              <w:spacing w:line="400" w:lineRule="exact"/>
              <w:ind w:firstLine="0" w:firstLineChars="0"/>
              <w:jc w:val="center"/>
              <w:rPr>
                <w:rFonts w:ascii="仿宋" w:hAnsi="仿宋" w:eastAsia="仿宋"/>
                <w:color w:val="auto"/>
                <w:szCs w:val="22"/>
              </w:rPr>
            </w:pPr>
          </w:p>
        </w:tc>
        <w:tc>
          <w:tcPr>
            <w:tcW w:w="1242" w:type="dxa"/>
          </w:tcPr>
          <w:p>
            <w:pPr>
              <w:spacing w:line="400" w:lineRule="exact"/>
              <w:ind w:firstLine="0" w:firstLineChars="0"/>
              <w:jc w:val="center"/>
              <w:rPr>
                <w:rFonts w:ascii="仿宋" w:hAnsi="仿宋" w:eastAsia="仿宋"/>
                <w:color w:val="auto"/>
                <w:szCs w:val="22"/>
              </w:rPr>
            </w:pPr>
          </w:p>
        </w:tc>
        <w:tc>
          <w:tcPr>
            <w:tcW w:w="934" w:type="dxa"/>
            <w:vAlign w:val="center"/>
          </w:tcPr>
          <w:p>
            <w:pPr>
              <w:spacing w:line="400" w:lineRule="exact"/>
              <w:ind w:firstLine="0" w:firstLineChars="0"/>
              <w:jc w:val="center"/>
              <w:rPr>
                <w:rFonts w:ascii="仿宋" w:hAnsi="仿宋" w:eastAsia="仿宋"/>
                <w:color w:val="auto"/>
                <w:szCs w:val="22"/>
              </w:rPr>
            </w:pPr>
            <w:r>
              <w:rPr>
                <w:rFonts w:hint="eastAsia" w:ascii="仿宋" w:hAnsi="仿宋" w:eastAsia="仿宋"/>
                <w:color w:val="auto"/>
                <w:szCs w:val="22"/>
              </w:rPr>
              <w:t>/</w:t>
            </w:r>
          </w:p>
        </w:tc>
        <w:tc>
          <w:tcPr>
            <w:tcW w:w="934" w:type="dxa"/>
          </w:tcPr>
          <w:p>
            <w:pPr>
              <w:spacing w:line="400" w:lineRule="exact"/>
              <w:ind w:firstLine="0" w:firstLineChars="0"/>
              <w:jc w:val="center"/>
              <w:rPr>
                <w:rFonts w:ascii="仿宋" w:hAnsi="仿宋" w:eastAsia="仿宋"/>
                <w:color w:val="auto"/>
                <w:szCs w:val="22"/>
              </w:rPr>
            </w:pPr>
          </w:p>
        </w:tc>
        <w:tc>
          <w:tcPr>
            <w:tcW w:w="1053" w:type="dxa"/>
          </w:tcPr>
          <w:p>
            <w:pPr>
              <w:spacing w:line="400" w:lineRule="exact"/>
              <w:ind w:firstLine="0" w:firstLineChars="0"/>
              <w:jc w:val="center"/>
              <w:rPr>
                <w:rFonts w:ascii="仿宋" w:hAnsi="仿宋" w:eastAsia="仿宋"/>
                <w:color w:val="auto"/>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704" w:type="dxa"/>
            <w:vAlign w:val="center"/>
          </w:tcPr>
          <w:p>
            <w:pPr>
              <w:spacing w:line="400" w:lineRule="exact"/>
              <w:ind w:firstLine="0" w:firstLineChars="0"/>
              <w:jc w:val="center"/>
              <w:rPr>
                <w:rFonts w:ascii="仿宋" w:hAnsi="仿宋" w:eastAsia="仿宋"/>
                <w:color w:val="auto"/>
                <w:sz w:val="21"/>
                <w:szCs w:val="21"/>
              </w:rPr>
            </w:pPr>
            <w:r>
              <w:rPr>
                <w:rFonts w:hint="eastAsia" w:ascii="仿宋" w:hAnsi="仿宋" w:eastAsia="仿宋"/>
                <w:color w:val="auto"/>
                <w:sz w:val="21"/>
                <w:szCs w:val="21"/>
              </w:rPr>
              <w:t>10</w:t>
            </w:r>
          </w:p>
        </w:tc>
        <w:tc>
          <w:tcPr>
            <w:tcW w:w="917" w:type="dxa"/>
            <w:vAlign w:val="center"/>
          </w:tcPr>
          <w:p>
            <w:pPr>
              <w:spacing w:line="400" w:lineRule="exact"/>
              <w:ind w:firstLine="0" w:firstLineChars="0"/>
              <w:jc w:val="center"/>
              <w:rPr>
                <w:rFonts w:ascii="仿宋" w:hAnsi="仿宋" w:eastAsia="仿宋"/>
                <w:color w:val="auto"/>
                <w:szCs w:val="22"/>
              </w:rPr>
            </w:pPr>
          </w:p>
        </w:tc>
        <w:tc>
          <w:tcPr>
            <w:tcW w:w="1779" w:type="dxa"/>
          </w:tcPr>
          <w:p>
            <w:pPr>
              <w:spacing w:line="400" w:lineRule="exact"/>
              <w:ind w:firstLine="0" w:firstLineChars="0"/>
              <w:jc w:val="center"/>
              <w:rPr>
                <w:rFonts w:ascii="仿宋" w:hAnsi="仿宋" w:eastAsia="仿宋"/>
                <w:color w:val="auto"/>
                <w:szCs w:val="22"/>
              </w:rPr>
            </w:pPr>
          </w:p>
        </w:tc>
        <w:tc>
          <w:tcPr>
            <w:tcW w:w="1547" w:type="dxa"/>
          </w:tcPr>
          <w:p>
            <w:pPr>
              <w:spacing w:line="400" w:lineRule="exact"/>
              <w:ind w:firstLine="0" w:firstLineChars="0"/>
              <w:jc w:val="center"/>
              <w:rPr>
                <w:rFonts w:ascii="仿宋" w:hAnsi="仿宋" w:eastAsia="仿宋"/>
                <w:color w:val="auto"/>
                <w:szCs w:val="22"/>
              </w:rPr>
            </w:pPr>
          </w:p>
        </w:tc>
        <w:tc>
          <w:tcPr>
            <w:tcW w:w="1242" w:type="dxa"/>
          </w:tcPr>
          <w:p>
            <w:pPr>
              <w:spacing w:line="400" w:lineRule="exact"/>
              <w:ind w:firstLine="0" w:firstLineChars="0"/>
              <w:jc w:val="center"/>
              <w:rPr>
                <w:rFonts w:ascii="仿宋" w:hAnsi="仿宋" w:eastAsia="仿宋"/>
                <w:color w:val="auto"/>
                <w:szCs w:val="22"/>
              </w:rPr>
            </w:pPr>
          </w:p>
        </w:tc>
        <w:tc>
          <w:tcPr>
            <w:tcW w:w="934" w:type="dxa"/>
            <w:vAlign w:val="center"/>
          </w:tcPr>
          <w:p>
            <w:pPr>
              <w:spacing w:line="400" w:lineRule="exact"/>
              <w:ind w:firstLine="0" w:firstLineChars="0"/>
              <w:jc w:val="center"/>
              <w:rPr>
                <w:rFonts w:ascii="仿宋" w:hAnsi="仿宋" w:eastAsia="仿宋"/>
                <w:color w:val="auto"/>
                <w:szCs w:val="22"/>
              </w:rPr>
            </w:pPr>
            <w:r>
              <w:rPr>
                <w:rFonts w:hint="eastAsia" w:ascii="仿宋" w:hAnsi="仿宋" w:eastAsia="仿宋"/>
                <w:color w:val="auto"/>
                <w:szCs w:val="22"/>
              </w:rPr>
              <w:t>/</w:t>
            </w:r>
          </w:p>
        </w:tc>
        <w:tc>
          <w:tcPr>
            <w:tcW w:w="934" w:type="dxa"/>
          </w:tcPr>
          <w:p>
            <w:pPr>
              <w:spacing w:line="400" w:lineRule="exact"/>
              <w:ind w:firstLine="0" w:firstLineChars="0"/>
              <w:jc w:val="center"/>
              <w:rPr>
                <w:rFonts w:ascii="仿宋" w:hAnsi="仿宋" w:eastAsia="仿宋"/>
                <w:color w:val="auto"/>
                <w:szCs w:val="22"/>
              </w:rPr>
            </w:pPr>
          </w:p>
        </w:tc>
        <w:tc>
          <w:tcPr>
            <w:tcW w:w="1053" w:type="dxa"/>
          </w:tcPr>
          <w:p>
            <w:pPr>
              <w:spacing w:line="400" w:lineRule="exact"/>
              <w:ind w:firstLine="0" w:firstLineChars="0"/>
              <w:jc w:val="center"/>
              <w:rPr>
                <w:rFonts w:ascii="仿宋" w:hAnsi="仿宋" w:eastAsia="仿宋"/>
                <w:color w:val="auto"/>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4" w:type="dxa"/>
            <w:vAlign w:val="center"/>
          </w:tcPr>
          <w:p>
            <w:pPr>
              <w:spacing w:line="400" w:lineRule="exact"/>
              <w:ind w:firstLine="0" w:firstLineChars="0"/>
              <w:jc w:val="center"/>
              <w:rPr>
                <w:rFonts w:ascii="仿宋" w:hAnsi="仿宋" w:eastAsia="仿宋"/>
                <w:color w:val="auto"/>
                <w:sz w:val="21"/>
                <w:szCs w:val="21"/>
              </w:rPr>
            </w:pPr>
            <w:r>
              <w:rPr>
                <w:rFonts w:hint="eastAsia" w:ascii="仿宋" w:hAnsi="仿宋" w:eastAsia="仿宋"/>
                <w:color w:val="auto"/>
                <w:sz w:val="21"/>
                <w:szCs w:val="21"/>
              </w:rPr>
              <w:t>11</w:t>
            </w:r>
          </w:p>
        </w:tc>
        <w:tc>
          <w:tcPr>
            <w:tcW w:w="917" w:type="dxa"/>
            <w:vAlign w:val="center"/>
          </w:tcPr>
          <w:p>
            <w:pPr>
              <w:spacing w:line="400" w:lineRule="exact"/>
              <w:ind w:firstLine="0" w:firstLineChars="0"/>
              <w:jc w:val="center"/>
              <w:rPr>
                <w:rFonts w:ascii="仿宋" w:hAnsi="仿宋" w:eastAsia="仿宋"/>
                <w:color w:val="auto"/>
                <w:szCs w:val="22"/>
              </w:rPr>
            </w:pPr>
            <w:r>
              <w:rPr>
                <w:rFonts w:hint="eastAsia" w:ascii="仿宋" w:hAnsi="仿宋" w:eastAsia="仿宋"/>
                <w:color w:val="auto"/>
                <w:szCs w:val="22"/>
              </w:rPr>
              <w:t>……</w:t>
            </w:r>
          </w:p>
        </w:tc>
        <w:tc>
          <w:tcPr>
            <w:tcW w:w="1779" w:type="dxa"/>
          </w:tcPr>
          <w:p>
            <w:pPr>
              <w:spacing w:line="400" w:lineRule="exact"/>
              <w:ind w:firstLine="0" w:firstLineChars="0"/>
              <w:jc w:val="center"/>
              <w:rPr>
                <w:rFonts w:ascii="仿宋" w:hAnsi="仿宋" w:eastAsia="仿宋"/>
                <w:color w:val="auto"/>
                <w:szCs w:val="22"/>
              </w:rPr>
            </w:pPr>
          </w:p>
        </w:tc>
        <w:tc>
          <w:tcPr>
            <w:tcW w:w="1547" w:type="dxa"/>
          </w:tcPr>
          <w:p>
            <w:pPr>
              <w:spacing w:line="400" w:lineRule="exact"/>
              <w:ind w:firstLine="0" w:firstLineChars="0"/>
              <w:jc w:val="center"/>
              <w:rPr>
                <w:rFonts w:ascii="仿宋" w:hAnsi="仿宋" w:eastAsia="仿宋"/>
                <w:color w:val="auto"/>
                <w:szCs w:val="22"/>
              </w:rPr>
            </w:pPr>
          </w:p>
        </w:tc>
        <w:tc>
          <w:tcPr>
            <w:tcW w:w="1242" w:type="dxa"/>
          </w:tcPr>
          <w:p>
            <w:pPr>
              <w:spacing w:line="400" w:lineRule="exact"/>
              <w:ind w:firstLine="0" w:firstLineChars="0"/>
              <w:jc w:val="center"/>
              <w:rPr>
                <w:rFonts w:ascii="仿宋" w:hAnsi="仿宋" w:eastAsia="仿宋"/>
                <w:color w:val="auto"/>
                <w:szCs w:val="22"/>
              </w:rPr>
            </w:pPr>
          </w:p>
        </w:tc>
        <w:tc>
          <w:tcPr>
            <w:tcW w:w="934" w:type="dxa"/>
            <w:vAlign w:val="center"/>
          </w:tcPr>
          <w:p>
            <w:pPr>
              <w:spacing w:line="400" w:lineRule="exact"/>
              <w:ind w:firstLine="0" w:firstLineChars="0"/>
              <w:jc w:val="center"/>
              <w:rPr>
                <w:rFonts w:ascii="仿宋" w:hAnsi="仿宋" w:eastAsia="仿宋"/>
                <w:color w:val="auto"/>
                <w:szCs w:val="22"/>
              </w:rPr>
            </w:pPr>
            <w:r>
              <w:rPr>
                <w:rFonts w:hint="eastAsia" w:ascii="仿宋" w:hAnsi="仿宋" w:eastAsia="仿宋"/>
                <w:color w:val="auto"/>
                <w:szCs w:val="22"/>
              </w:rPr>
              <w:t>/</w:t>
            </w:r>
          </w:p>
        </w:tc>
        <w:tc>
          <w:tcPr>
            <w:tcW w:w="934" w:type="dxa"/>
          </w:tcPr>
          <w:p>
            <w:pPr>
              <w:spacing w:line="400" w:lineRule="exact"/>
              <w:ind w:firstLine="0" w:firstLineChars="0"/>
              <w:jc w:val="center"/>
              <w:rPr>
                <w:rFonts w:ascii="仿宋" w:hAnsi="仿宋" w:eastAsia="仿宋"/>
                <w:color w:val="auto"/>
                <w:szCs w:val="22"/>
              </w:rPr>
            </w:pPr>
          </w:p>
        </w:tc>
        <w:tc>
          <w:tcPr>
            <w:tcW w:w="1053" w:type="dxa"/>
          </w:tcPr>
          <w:p>
            <w:pPr>
              <w:spacing w:line="400" w:lineRule="exact"/>
              <w:ind w:firstLine="0" w:firstLineChars="0"/>
              <w:jc w:val="center"/>
              <w:rPr>
                <w:rFonts w:ascii="仿宋" w:hAnsi="仿宋" w:eastAsia="仿宋"/>
                <w:color w:val="auto"/>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4" w:type="dxa"/>
            <w:vAlign w:val="center"/>
          </w:tcPr>
          <w:p>
            <w:pPr>
              <w:spacing w:line="400" w:lineRule="exact"/>
              <w:ind w:firstLine="0" w:firstLineChars="0"/>
              <w:jc w:val="center"/>
              <w:rPr>
                <w:rFonts w:ascii="仿宋" w:hAnsi="仿宋" w:eastAsia="仿宋"/>
                <w:color w:val="auto"/>
                <w:sz w:val="21"/>
                <w:szCs w:val="21"/>
              </w:rPr>
            </w:pPr>
            <w:r>
              <w:rPr>
                <w:rFonts w:hint="eastAsia" w:ascii="仿宋" w:hAnsi="仿宋" w:eastAsia="仿宋"/>
                <w:color w:val="auto"/>
                <w:sz w:val="21"/>
                <w:szCs w:val="21"/>
              </w:rPr>
              <w:t>12</w:t>
            </w:r>
          </w:p>
        </w:tc>
        <w:tc>
          <w:tcPr>
            <w:tcW w:w="917" w:type="dxa"/>
            <w:vAlign w:val="center"/>
          </w:tcPr>
          <w:p>
            <w:pPr>
              <w:spacing w:line="400" w:lineRule="exact"/>
              <w:ind w:firstLine="0" w:firstLineChars="0"/>
              <w:jc w:val="center"/>
              <w:rPr>
                <w:rFonts w:ascii="仿宋" w:hAnsi="仿宋" w:eastAsia="仿宋"/>
                <w:color w:val="auto"/>
                <w:sz w:val="21"/>
                <w:szCs w:val="21"/>
              </w:rPr>
            </w:pPr>
            <w:r>
              <w:rPr>
                <w:rFonts w:hint="eastAsia" w:ascii="仿宋" w:hAnsi="仿宋" w:eastAsia="仿宋"/>
                <w:color w:val="auto"/>
                <w:sz w:val="21"/>
                <w:szCs w:val="21"/>
              </w:rPr>
              <w:t>总计</w:t>
            </w:r>
          </w:p>
        </w:tc>
        <w:tc>
          <w:tcPr>
            <w:tcW w:w="7489" w:type="dxa"/>
            <w:gridSpan w:val="6"/>
          </w:tcPr>
          <w:p>
            <w:pPr>
              <w:spacing w:line="400" w:lineRule="exact"/>
              <w:ind w:firstLine="0" w:firstLineChars="0"/>
              <w:jc w:val="center"/>
              <w:rPr>
                <w:rFonts w:ascii="仿宋" w:hAnsi="仿宋" w:eastAsia="仿宋"/>
                <w:color w:val="auto"/>
                <w:sz w:val="21"/>
                <w:szCs w:val="21"/>
              </w:rPr>
            </w:pPr>
          </w:p>
        </w:tc>
      </w:tr>
    </w:tbl>
    <w:p>
      <w:pPr>
        <w:ind w:firstLine="438"/>
        <w:rPr>
          <w:rFonts w:ascii="仿宋" w:hAnsi="仿宋" w:eastAsia="仿宋"/>
          <w:color w:val="auto"/>
          <w:szCs w:val="22"/>
        </w:rPr>
      </w:pPr>
    </w:p>
    <w:p>
      <w:pPr>
        <w:ind w:firstLine="1095" w:firstLineChars="500"/>
        <w:rPr>
          <w:rFonts w:ascii="仿宋" w:hAnsi="仿宋" w:eastAsia="仿宋"/>
          <w:color w:val="auto"/>
        </w:rPr>
      </w:pPr>
      <w:r>
        <w:rPr>
          <w:rFonts w:hint="eastAsia" w:ascii="仿宋" w:hAnsi="仿宋" w:eastAsia="仿宋"/>
          <w:color w:val="auto"/>
        </w:rPr>
        <w:t>投标人：                      法定代表人（或法定代表人授权代表）或自然人：</w:t>
      </w:r>
    </w:p>
    <w:p>
      <w:pPr>
        <w:ind w:firstLine="876" w:firstLineChars="400"/>
        <w:rPr>
          <w:rFonts w:ascii="仿宋" w:hAnsi="仿宋" w:eastAsia="仿宋"/>
          <w:color w:val="auto"/>
        </w:rPr>
      </w:pPr>
      <w:r>
        <w:rPr>
          <w:rFonts w:hint="eastAsia" w:ascii="仿宋" w:hAnsi="仿宋" w:eastAsia="仿宋"/>
          <w:color w:val="auto"/>
        </w:rPr>
        <w:t>（投标人公章）</w:t>
      </w:r>
      <w:r>
        <w:rPr>
          <w:rFonts w:hint="eastAsia" w:ascii="仿宋" w:hAnsi="仿宋" w:eastAsia="仿宋"/>
          <w:color w:val="auto"/>
        </w:rPr>
        <w:tab/>
      </w:r>
      <w:r>
        <w:rPr>
          <w:rFonts w:hint="eastAsia" w:ascii="仿宋" w:hAnsi="仿宋" w:eastAsia="仿宋"/>
          <w:color w:val="auto"/>
        </w:rPr>
        <w:tab/>
      </w:r>
      <w:r>
        <w:rPr>
          <w:rFonts w:hint="eastAsia" w:ascii="仿宋" w:hAnsi="仿宋" w:eastAsia="仿宋"/>
          <w:color w:val="auto"/>
        </w:rPr>
        <w:tab/>
      </w:r>
      <w:r>
        <w:rPr>
          <w:rFonts w:hint="eastAsia" w:ascii="仿宋" w:hAnsi="仿宋" w:eastAsia="仿宋"/>
          <w:color w:val="auto"/>
        </w:rPr>
        <w:tab/>
      </w:r>
      <w:r>
        <w:rPr>
          <w:rFonts w:hint="eastAsia" w:ascii="仿宋" w:hAnsi="仿宋" w:eastAsia="仿宋"/>
          <w:color w:val="auto"/>
        </w:rPr>
        <w:tab/>
      </w:r>
      <w:r>
        <w:rPr>
          <w:rFonts w:hint="eastAsia" w:ascii="仿宋" w:hAnsi="仿宋" w:eastAsia="仿宋"/>
          <w:color w:val="auto"/>
        </w:rPr>
        <w:tab/>
      </w:r>
      <w:r>
        <w:rPr>
          <w:rFonts w:hint="eastAsia" w:ascii="仿宋" w:hAnsi="仿宋" w:eastAsia="仿宋"/>
          <w:color w:val="auto"/>
        </w:rPr>
        <w:tab/>
      </w:r>
      <w:r>
        <w:rPr>
          <w:rFonts w:hint="eastAsia" w:ascii="仿宋" w:hAnsi="仿宋" w:eastAsia="仿宋"/>
          <w:color w:val="auto"/>
        </w:rPr>
        <w:tab/>
      </w:r>
      <w:r>
        <w:rPr>
          <w:rFonts w:hint="eastAsia" w:ascii="仿宋" w:hAnsi="仿宋" w:eastAsia="仿宋"/>
          <w:color w:val="auto"/>
        </w:rPr>
        <w:tab/>
      </w:r>
      <w:r>
        <w:rPr>
          <w:rFonts w:hint="eastAsia" w:ascii="仿宋" w:hAnsi="仿宋" w:eastAsia="仿宋"/>
          <w:color w:val="auto"/>
        </w:rPr>
        <w:tab/>
      </w:r>
      <w:r>
        <w:rPr>
          <w:rFonts w:hint="eastAsia" w:ascii="仿宋" w:hAnsi="仿宋" w:eastAsia="仿宋"/>
          <w:color w:val="auto"/>
        </w:rPr>
        <w:t>（签署或盖章）</w:t>
      </w:r>
    </w:p>
    <w:p>
      <w:pPr>
        <w:ind w:firstLine="438"/>
        <w:rPr>
          <w:rFonts w:ascii="仿宋" w:hAnsi="仿宋" w:eastAsia="仿宋"/>
          <w:color w:val="auto"/>
        </w:rPr>
      </w:pPr>
    </w:p>
    <w:p>
      <w:pPr>
        <w:wordWrap w:val="0"/>
        <w:ind w:firstLine="6132" w:firstLineChars="2800"/>
        <w:jc w:val="right"/>
        <w:rPr>
          <w:rFonts w:ascii="仿宋" w:hAnsi="仿宋" w:eastAsia="仿宋"/>
          <w:color w:val="auto"/>
        </w:rPr>
      </w:pPr>
      <w:r>
        <w:rPr>
          <w:rFonts w:hint="eastAsia" w:ascii="仿宋" w:hAnsi="仿宋" w:eastAsia="仿宋"/>
          <w:color w:val="auto"/>
        </w:rPr>
        <w:t xml:space="preserve">年   月   日               </w:t>
      </w:r>
    </w:p>
    <w:p>
      <w:pPr>
        <w:ind w:firstLine="438"/>
        <w:rPr>
          <w:rFonts w:ascii="仿宋" w:hAnsi="仿宋" w:eastAsia="仿宋"/>
          <w:color w:val="auto"/>
          <w:szCs w:val="22"/>
        </w:rPr>
      </w:pPr>
    </w:p>
    <w:p>
      <w:pPr>
        <w:ind w:firstLine="438"/>
        <w:rPr>
          <w:rFonts w:ascii="仿宋" w:hAnsi="仿宋" w:eastAsia="仿宋"/>
          <w:color w:val="auto"/>
        </w:rPr>
      </w:pPr>
    </w:p>
    <w:p>
      <w:pPr>
        <w:ind w:firstLine="438"/>
        <w:rPr>
          <w:rFonts w:ascii="仿宋" w:hAnsi="仿宋" w:eastAsia="仿宋"/>
          <w:color w:val="auto"/>
          <w:szCs w:val="22"/>
        </w:rPr>
      </w:pPr>
      <w:r>
        <w:rPr>
          <w:rFonts w:hint="eastAsia" w:ascii="仿宋" w:hAnsi="仿宋" w:eastAsia="仿宋"/>
          <w:color w:val="auto"/>
          <w:szCs w:val="22"/>
        </w:rPr>
        <w:t>注：</w:t>
      </w:r>
    </w:p>
    <w:p>
      <w:pPr>
        <w:ind w:firstLine="438"/>
        <w:rPr>
          <w:rFonts w:ascii="仿宋" w:hAnsi="仿宋" w:eastAsia="仿宋"/>
          <w:color w:val="auto"/>
          <w:szCs w:val="22"/>
        </w:rPr>
      </w:pPr>
      <w:r>
        <w:rPr>
          <w:rFonts w:hint="eastAsia" w:ascii="仿宋" w:hAnsi="仿宋" w:eastAsia="仿宋"/>
          <w:color w:val="auto"/>
          <w:szCs w:val="22"/>
        </w:rPr>
        <w:t>1.请投标人完整填写本表；</w:t>
      </w:r>
    </w:p>
    <w:p>
      <w:pPr>
        <w:ind w:firstLine="438"/>
        <w:rPr>
          <w:rFonts w:ascii="仿宋" w:hAnsi="仿宋" w:eastAsia="仿宋"/>
          <w:color w:val="auto"/>
          <w:szCs w:val="22"/>
        </w:rPr>
      </w:pPr>
      <w:r>
        <w:rPr>
          <w:rFonts w:hint="eastAsia" w:ascii="仿宋" w:hAnsi="仿宋" w:eastAsia="仿宋"/>
          <w:color w:val="auto"/>
          <w:szCs w:val="22"/>
        </w:rPr>
        <w:t>2.该表可扩展。</w:t>
      </w:r>
    </w:p>
    <w:bookmarkEnd w:id="888"/>
    <w:p>
      <w:pPr>
        <w:pStyle w:val="4"/>
        <w:widowControl/>
        <w:spacing w:before="196" w:after="196"/>
        <w:ind w:firstLine="520"/>
        <w:rPr>
          <w:rFonts w:ascii="仿宋" w:hAnsi="仿宋" w:eastAsia="仿宋"/>
          <w:color w:val="auto"/>
        </w:rPr>
      </w:pPr>
      <w:r>
        <w:rPr>
          <w:rFonts w:hint="eastAsia" w:ascii="仿宋" w:hAnsi="仿宋" w:eastAsia="仿宋"/>
          <w:color w:val="auto"/>
        </w:rPr>
        <w:br w:type="page"/>
      </w:r>
      <w:bookmarkStart w:id="889" w:name="_Toc28517"/>
      <w:bookmarkStart w:id="890" w:name="_Toc10012"/>
      <w:bookmarkStart w:id="891" w:name="_Toc6953"/>
      <w:bookmarkStart w:id="892" w:name="_Toc29440"/>
      <w:bookmarkStart w:id="893" w:name="_Toc1915"/>
      <w:bookmarkStart w:id="894" w:name="_Toc15644"/>
      <w:bookmarkStart w:id="895" w:name="_Toc24944"/>
      <w:bookmarkStart w:id="896" w:name="_Toc26378"/>
      <w:bookmarkStart w:id="897" w:name="_Toc27069"/>
      <w:bookmarkStart w:id="898" w:name="_Toc22842"/>
      <w:bookmarkStart w:id="899" w:name="_Toc5688"/>
      <w:bookmarkStart w:id="900" w:name="_Toc29775"/>
      <w:bookmarkStart w:id="901" w:name="_Toc63600445"/>
      <w:bookmarkStart w:id="902" w:name="_Toc26823"/>
      <w:bookmarkStart w:id="903" w:name="_Toc384905086"/>
      <w:r>
        <w:rPr>
          <w:rFonts w:hint="eastAsia" w:ascii="仿宋" w:hAnsi="仿宋" w:eastAsia="仿宋" w:cs="Arial"/>
          <w:color w:val="auto"/>
        </w:rPr>
        <w:t>二、技术（质量）文件</w:t>
      </w:r>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p>
    <w:p>
      <w:pPr>
        <w:ind w:firstLine="438"/>
        <w:rPr>
          <w:rFonts w:ascii="仿宋" w:hAnsi="仿宋" w:eastAsia="仿宋"/>
          <w:color w:val="auto"/>
          <w:szCs w:val="22"/>
        </w:rPr>
      </w:pPr>
      <w:bookmarkStart w:id="904" w:name="_Hlk70157132"/>
      <w:r>
        <w:rPr>
          <w:rFonts w:hint="eastAsia" w:ascii="仿宋" w:hAnsi="仿宋" w:eastAsia="仿宋"/>
          <w:color w:val="auto"/>
          <w:szCs w:val="22"/>
        </w:rPr>
        <w:t>（一）技术（质量）条款差异表</w:t>
      </w:r>
    </w:p>
    <w:p>
      <w:pPr>
        <w:snapToGrid w:val="0"/>
        <w:spacing w:line="400" w:lineRule="exact"/>
        <w:ind w:firstLine="438"/>
        <w:rPr>
          <w:rFonts w:ascii="仿宋" w:hAnsi="仿宋" w:eastAsia="仿宋"/>
          <w:color w:val="auto"/>
          <w:szCs w:val="28"/>
        </w:rPr>
      </w:pPr>
      <w:r>
        <w:rPr>
          <w:rFonts w:hint="eastAsia" w:ascii="仿宋" w:hAnsi="仿宋" w:eastAsia="仿宋"/>
          <w:color w:val="auto"/>
          <w:szCs w:val="28"/>
        </w:rPr>
        <w:t>项目号：</w:t>
      </w:r>
    </w:p>
    <w:p>
      <w:pPr>
        <w:ind w:firstLine="438"/>
        <w:rPr>
          <w:rFonts w:ascii="仿宋" w:hAnsi="仿宋" w:eastAsia="仿宋"/>
          <w:color w:val="auto"/>
          <w:szCs w:val="22"/>
        </w:rPr>
      </w:pPr>
      <w:r>
        <w:rPr>
          <w:rFonts w:hint="eastAsia" w:ascii="仿宋" w:hAnsi="仿宋" w:eastAsia="仿宋"/>
          <w:color w:val="auto"/>
          <w:szCs w:val="28"/>
        </w:rPr>
        <w:t>招标项目名称：</w:t>
      </w:r>
    </w:p>
    <w:tbl>
      <w:tblPr>
        <w:tblStyle w:val="23"/>
        <w:tblW w:w="89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3339"/>
        <w:gridCol w:w="3340"/>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86" w:type="dxa"/>
            <w:vAlign w:val="center"/>
          </w:tcPr>
          <w:p>
            <w:pPr>
              <w:ind w:firstLine="0" w:firstLineChars="0"/>
              <w:jc w:val="center"/>
              <w:rPr>
                <w:rFonts w:ascii="仿宋" w:hAnsi="仿宋" w:eastAsia="仿宋"/>
                <w:color w:val="auto"/>
                <w:szCs w:val="22"/>
              </w:rPr>
            </w:pPr>
            <w:r>
              <w:rPr>
                <w:rFonts w:hint="eastAsia" w:ascii="仿宋" w:hAnsi="仿宋" w:eastAsia="仿宋"/>
                <w:color w:val="auto"/>
                <w:szCs w:val="22"/>
              </w:rPr>
              <w:t>序号</w:t>
            </w:r>
          </w:p>
        </w:tc>
        <w:tc>
          <w:tcPr>
            <w:tcW w:w="3339" w:type="dxa"/>
            <w:vAlign w:val="center"/>
          </w:tcPr>
          <w:p>
            <w:pPr>
              <w:ind w:firstLine="0" w:firstLineChars="0"/>
              <w:jc w:val="center"/>
              <w:rPr>
                <w:rFonts w:ascii="仿宋" w:hAnsi="仿宋" w:eastAsia="仿宋"/>
                <w:color w:val="auto"/>
                <w:szCs w:val="22"/>
              </w:rPr>
            </w:pPr>
            <w:r>
              <w:rPr>
                <w:rFonts w:hint="eastAsia" w:ascii="仿宋" w:hAnsi="仿宋" w:eastAsia="仿宋"/>
                <w:color w:val="auto"/>
                <w:szCs w:val="22"/>
              </w:rPr>
              <w:t>招标要求</w:t>
            </w:r>
          </w:p>
        </w:tc>
        <w:tc>
          <w:tcPr>
            <w:tcW w:w="3340" w:type="dxa"/>
            <w:vAlign w:val="center"/>
          </w:tcPr>
          <w:p>
            <w:pPr>
              <w:ind w:firstLine="0" w:firstLineChars="0"/>
              <w:jc w:val="center"/>
              <w:rPr>
                <w:rFonts w:ascii="仿宋" w:hAnsi="仿宋" w:eastAsia="仿宋"/>
                <w:color w:val="auto"/>
                <w:szCs w:val="22"/>
              </w:rPr>
            </w:pPr>
            <w:r>
              <w:rPr>
                <w:rFonts w:hint="eastAsia" w:ascii="仿宋" w:hAnsi="仿宋" w:eastAsia="仿宋"/>
                <w:color w:val="auto"/>
                <w:szCs w:val="22"/>
              </w:rPr>
              <w:t>投标应答</w:t>
            </w:r>
          </w:p>
        </w:tc>
        <w:tc>
          <w:tcPr>
            <w:tcW w:w="1364" w:type="dxa"/>
            <w:vAlign w:val="center"/>
          </w:tcPr>
          <w:p>
            <w:pPr>
              <w:ind w:firstLine="0" w:firstLineChars="0"/>
              <w:jc w:val="center"/>
              <w:rPr>
                <w:rFonts w:ascii="仿宋" w:hAnsi="仿宋" w:eastAsia="仿宋"/>
                <w:color w:val="auto"/>
                <w:szCs w:val="22"/>
              </w:rPr>
            </w:pPr>
            <w:r>
              <w:rPr>
                <w:rFonts w:hint="eastAsia" w:ascii="仿宋" w:hAnsi="仿宋" w:eastAsia="仿宋"/>
                <w:color w:val="auto"/>
                <w:szCs w:val="22"/>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886" w:type="dxa"/>
            <w:vAlign w:val="center"/>
          </w:tcPr>
          <w:p>
            <w:pPr>
              <w:ind w:firstLine="0" w:firstLineChars="0"/>
              <w:jc w:val="center"/>
              <w:rPr>
                <w:rFonts w:ascii="仿宋" w:hAnsi="仿宋" w:eastAsia="仿宋"/>
                <w:color w:val="auto"/>
                <w:szCs w:val="22"/>
              </w:rPr>
            </w:pPr>
          </w:p>
        </w:tc>
        <w:tc>
          <w:tcPr>
            <w:tcW w:w="3339" w:type="dxa"/>
            <w:vAlign w:val="center"/>
          </w:tcPr>
          <w:p>
            <w:pPr>
              <w:ind w:firstLine="0" w:firstLineChars="0"/>
              <w:jc w:val="center"/>
              <w:rPr>
                <w:rFonts w:ascii="仿宋" w:hAnsi="仿宋" w:eastAsia="仿宋"/>
                <w:color w:val="auto"/>
                <w:szCs w:val="22"/>
              </w:rPr>
            </w:pPr>
          </w:p>
        </w:tc>
        <w:tc>
          <w:tcPr>
            <w:tcW w:w="3340" w:type="dxa"/>
            <w:vAlign w:val="center"/>
          </w:tcPr>
          <w:p>
            <w:pPr>
              <w:ind w:firstLine="0" w:firstLineChars="0"/>
              <w:jc w:val="center"/>
              <w:rPr>
                <w:rFonts w:ascii="仿宋" w:hAnsi="仿宋" w:eastAsia="方正仿宋_GBK"/>
                <w:color w:val="auto"/>
                <w:szCs w:val="22"/>
              </w:rPr>
            </w:pPr>
            <w:r>
              <w:rPr>
                <w:rFonts w:ascii="方正仿宋_GBK" w:hAnsi="仿宋" w:eastAsia="方正仿宋_GBK"/>
                <w:color w:val="auto"/>
                <w:sz w:val="21"/>
                <w:szCs w:val="21"/>
              </w:rPr>
              <w:t>提醒</w:t>
            </w:r>
            <w:r>
              <w:rPr>
                <w:rFonts w:hint="eastAsia" w:ascii="方正仿宋_GBK" w:hAnsi="仿宋" w:eastAsia="方正仿宋_GBK"/>
                <w:color w:val="auto"/>
                <w:sz w:val="21"/>
                <w:szCs w:val="21"/>
              </w:rPr>
              <w:t>：</w:t>
            </w:r>
            <w:r>
              <w:rPr>
                <w:rFonts w:ascii="方正仿宋_GBK" w:hAnsi="仿宋" w:eastAsia="方正仿宋_GBK"/>
                <w:color w:val="auto"/>
                <w:sz w:val="21"/>
                <w:szCs w:val="21"/>
              </w:rPr>
              <w:t>请注明</w:t>
            </w:r>
            <w:r>
              <w:rPr>
                <w:rFonts w:hint="eastAsia" w:ascii="方正仿宋_GBK" w:hAnsi="仿宋" w:eastAsia="方正仿宋_GBK"/>
                <w:color w:val="auto"/>
                <w:sz w:val="21"/>
                <w:szCs w:val="21"/>
              </w:rPr>
              <w:t>技术</w:t>
            </w:r>
            <w:r>
              <w:rPr>
                <w:rFonts w:ascii="方正仿宋_GBK" w:hAnsi="仿宋" w:eastAsia="方正仿宋_GBK"/>
                <w:color w:val="auto"/>
                <w:sz w:val="21"/>
                <w:szCs w:val="21"/>
              </w:rPr>
              <w:t>参数或具体内容以及</w:t>
            </w:r>
            <w:r>
              <w:rPr>
                <w:rFonts w:hint="eastAsia" w:ascii="方正仿宋_GBK" w:hAnsi="仿宋" w:eastAsia="方正仿宋_GBK"/>
                <w:color w:val="auto"/>
                <w:sz w:val="21"/>
                <w:szCs w:val="21"/>
              </w:rPr>
              <w:t>投标文件</w:t>
            </w:r>
            <w:r>
              <w:rPr>
                <w:rFonts w:ascii="方正仿宋_GBK" w:hAnsi="仿宋" w:eastAsia="方正仿宋_GBK"/>
                <w:color w:val="auto"/>
                <w:sz w:val="21"/>
                <w:szCs w:val="21"/>
              </w:rPr>
              <w:t>中</w:t>
            </w:r>
            <w:r>
              <w:rPr>
                <w:rFonts w:hint="eastAsia" w:ascii="方正仿宋_GBK" w:hAnsi="仿宋" w:eastAsia="方正仿宋_GBK"/>
                <w:color w:val="auto"/>
                <w:sz w:val="21"/>
                <w:szCs w:val="21"/>
              </w:rPr>
              <w:t>技术</w:t>
            </w:r>
            <w:r>
              <w:rPr>
                <w:rFonts w:ascii="方正仿宋_GBK" w:hAnsi="仿宋" w:eastAsia="方正仿宋_GBK"/>
                <w:color w:val="auto"/>
                <w:sz w:val="21"/>
                <w:szCs w:val="21"/>
              </w:rPr>
              <w:t>参数或</w:t>
            </w:r>
            <w:r>
              <w:rPr>
                <w:rFonts w:hint="eastAsia" w:ascii="方正仿宋_GBK" w:hAnsi="仿宋" w:eastAsia="方正仿宋_GBK"/>
                <w:color w:val="auto"/>
                <w:sz w:val="21"/>
                <w:szCs w:val="21"/>
              </w:rPr>
              <w:t>具体</w:t>
            </w:r>
            <w:r>
              <w:rPr>
                <w:rFonts w:ascii="方正仿宋_GBK" w:hAnsi="仿宋" w:eastAsia="方正仿宋_GBK"/>
                <w:color w:val="auto"/>
                <w:sz w:val="21"/>
                <w:szCs w:val="21"/>
              </w:rPr>
              <w:t>内容</w:t>
            </w:r>
            <w:r>
              <w:rPr>
                <w:rFonts w:hint="eastAsia" w:ascii="方正仿宋_GBK" w:hAnsi="仿宋" w:eastAsia="方正仿宋_GBK"/>
                <w:color w:val="auto"/>
                <w:sz w:val="21"/>
                <w:szCs w:val="21"/>
              </w:rPr>
              <w:t>的</w:t>
            </w:r>
            <w:r>
              <w:rPr>
                <w:rFonts w:ascii="方正仿宋_GBK" w:hAnsi="仿宋" w:eastAsia="方正仿宋_GBK"/>
                <w:color w:val="auto"/>
                <w:sz w:val="21"/>
                <w:szCs w:val="21"/>
              </w:rPr>
              <w:t>位置（</w:t>
            </w:r>
            <w:r>
              <w:rPr>
                <w:rFonts w:hint="eastAsia" w:ascii="方正仿宋_GBK" w:hAnsi="仿宋" w:eastAsia="方正仿宋_GBK"/>
                <w:color w:val="auto"/>
                <w:sz w:val="21"/>
                <w:szCs w:val="21"/>
              </w:rPr>
              <w:t>页码</w:t>
            </w:r>
            <w:r>
              <w:rPr>
                <w:rFonts w:ascii="方正仿宋_GBK" w:hAnsi="仿宋" w:eastAsia="方正仿宋_GBK"/>
                <w:color w:val="auto"/>
                <w:sz w:val="21"/>
                <w:szCs w:val="21"/>
              </w:rPr>
              <w:t>）</w:t>
            </w:r>
          </w:p>
        </w:tc>
        <w:tc>
          <w:tcPr>
            <w:tcW w:w="1364" w:type="dxa"/>
            <w:vAlign w:val="center"/>
          </w:tcPr>
          <w:p>
            <w:pPr>
              <w:ind w:firstLine="0" w:firstLineChars="0"/>
              <w:jc w:val="center"/>
              <w:rPr>
                <w:rFonts w:ascii="仿宋" w:hAnsi="仿宋" w:eastAsia="仿宋"/>
                <w:color w:val="auto"/>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886" w:type="dxa"/>
            <w:vAlign w:val="center"/>
          </w:tcPr>
          <w:p>
            <w:pPr>
              <w:ind w:firstLine="0" w:firstLineChars="0"/>
              <w:jc w:val="center"/>
              <w:rPr>
                <w:rFonts w:ascii="仿宋" w:hAnsi="仿宋" w:eastAsia="仿宋"/>
                <w:color w:val="auto"/>
                <w:szCs w:val="22"/>
              </w:rPr>
            </w:pPr>
          </w:p>
        </w:tc>
        <w:tc>
          <w:tcPr>
            <w:tcW w:w="3339" w:type="dxa"/>
            <w:vAlign w:val="center"/>
          </w:tcPr>
          <w:p>
            <w:pPr>
              <w:ind w:firstLine="0" w:firstLineChars="0"/>
              <w:jc w:val="center"/>
              <w:rPr>
                <w:rFonts w:ascii="仿宋" w:hAnsi="仿宋" w:eastAsia="仿宋"/>
                <w:color w:val="auto"/>
                <w:szCs w:val="22"/>
              </w:rPr>
            </w:pPr>
          </w:p>
        </w:tc>
        <w:tc>
          <w:tcPr>
            <w:tcW w:w="3340" w:type="dxa"/>
            <w:vAlign w:val="center"/>
          </w:tcPr>
          <w:p>
            <w:pPr>
              <w:ind w:firstLine="0" w:firstLineChars="0"/>
              <w:jc w:val="center"/>
              <w:rPr>
                <w:rFonts w:ascii="仿宋" w:hAnsi="仿宋" w:eastAsia="仿宋"/>
                <w:color w:val="auto"/>
                <w:szCs w:val="22"/>
              </w:rPr>
            </w:pPr>
          </w:p>
        </w:tc>
        <w:tc>
          <w:tcPr>
            <w:tcW w:w="1364" w:type="dxa"/>
            <w:vAlign w:val="center"/>
          </w:tcPr>
          <w:p>
            <w:pPr>
              <w:ind w:firstLine="0" w:firstLineChars="0"/>
              <w:jc w:val="center"/>
              <w:rPr>
                <w:rFonts w:ascii="仿宋" w:hAnsi="仿宋" w:eastAsia="仿宋"/>
                <w:color w:val="auto"/>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886" w:type="dxa"/>
            <w:vAlign w:val="center"/>
          </w:tcPr>
          <w:p>
            <w:pPr>
              <w:ind w:firstLine="0" w:firstLineChars="0"/>
              <w:jc w:val="center"/>
              <w:rPr>
                <w:rFonts w:ascii="仿宋" w:hAnsi="仿宋" w:eastAsia="仿宋"/>
                <w:color w:val="auto"/>
                <w:szCs w:val="22"/>
              </w:rPr>
            </w:pPr>
          </w:p>
        </w:tc>
        <w:tc>
          <w:tcPr>
            <w:tcW w:w="3339" w:type="dxa"/>
            <w:vAlign w:val="center"/>
          </w:tcPr>
          <w:p>
            <w:pPr>
              <w:ind w:firstLine="0" w:firstLineChars="0"/>
              <w:jc w:val="center"/>
              <w:rPr>
                <w:rFonts w:ascii="仿宋" w:hAnsi="仿宋" w:eastAsia="仿宋"/>
                <w:color w:val="auto"/>
                <w:szCs w:val="22"/>
              </w:rPr>
            </w:pPr>
          </w:p>
        </w:tc>
        <w:tc>
          <w:tcPr>
            <w:tcW w:w="3340" w:type="dxa"/>
            <w:vAlign w:val="center"/>
          </w:tcPr>
          <w:p>
            <w:pPr>
              <w:ind w:firstLine="0" w:firstLineChars="0"/>
              <w:jc w:val="center"/>
              <w:rPr>
                <w:rFonts w:ascii="仿宋" w:hAnsi="仿宋" w:eastAsia="仿宋"/>
                <w:color w:val="auto"/>
                <w:szCs w:val="22"/>
              </w:rPr>
            </w:pPr>
          </w:p>
        </w:tc>
        <w:tc>
          <w:tcPr>
            <w:tcW w:w="1364" w:type="dxa"/>
            <w:vAlign w:val="center"/>
          </w:tcPr>
          <w:p>
            <w:pPr>
              <w:ind w:firstLine="0" w:firstLineChars="0"/>
              <w:jc w:val="center"/>
              <w:rPr>
                <w:rFonts w:ascii="仿宋" w:hAnsi="仿宋" w:eastAsia="仿宋"/>
                <w:color w:val="auto"/>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886" w:type="dxa"/>
            <w:vAlign w:val="center"/>
          </w:tcPr>
          <w:p>
            <w:pPr>
              <w:ind w:firstLine="0" w:firstLineChars="0"/>
              <w:jc w:val="center"/>
              <w:rPr>
                <w:rFonts w:ascii="仿宋" w:hAnsi="仿宋" w:eastAsia="仿宋"/>
                <w:color w:val="auto"/>
                <w:szCs w:val="22"/>
              </w:rPr>
            </w:pPr>
          </w:p>
        </w:tc>
        <w:tc>
          <w:tcPr>
            <w:tcW w:w="3339" w:type="dxa"/>
            <w:vAlign w:val="center"/>
          </w:tcPr>
          <w:p>
            <w:pPr>
              <w:ind w:firstLine="0" w:firstLineChars="0"/>
              <w:jc w:val="center"/>
              <w:rPr>
                <w:rFonts w:ascii="仿宋" w:hAnsi="仿宋" w:eastAsia="仿宋"/>
                <w:color w:val="auto"/>
                <w:szCs w:val="22"/>
              </w:rPr>
            </w:pPr>
          </w:p>
        </w:tc>
        <w:tc>
          <w:tcPr>
            <w:tcW w:w="3340" w:type="dxa"/>
            <w:vAlign w:val="center"/>
          </w:tcPr>
          <w:p>
            <w:pPr>
              <w:ind w:firstLine="0" w:firstLineChars="0"/>
              <w:jc w:val="center"/>
              <w:rPr>
                <w:rFonts w:ascii="仿宋" w:hAnsi="仿宋" w:eastAsia="仿宋"/>
                <w:color w:val="auto"/>
                <w:szCs w:val="22"/>
              </w:rPr>
            </w:pPr>
          </w:p>
        </w:tc>
        <w:tc>
          <w:tcPr>
            <w:tcW w:w="1364" w:type="dxa"/>
            <w:vAlign w:val="center"/>
          </w:tcPr>
          <w:p>
            <w:pPr>
              <w:ind w:firstLine="0" w:firstLineChars="0"/>
              <w:jc w:val="center"/>
              <w:rPr>
                <w:rFonts w:ascii="仿宋" w:hAnsi="仿宋" w:eastAsia="仿宋"/>
                <w:color w:val="auto"/>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886" w:type="dxa"/>
            <w:vAlign w:val="center"/>
          </w:tcPr>
          <w:p>
            <w:pPr>
              <w:ind w:firstLine="0" w:firstLineChars="0"/>
              <w:jc w:val="center"/>
              <w:rPr>
                <w:rFonts w:ascii="仿宋" w:hAnsi="仿宋" w:eastAsia="仿宋"/>
                <w:color w:val="auto"/>
                <w:szCs w:val="22"/>
              </w:rPr>
            </w:pPr>
          </w:p>
        </w:tc>
        <w:tc>
          <w:tcPr>
            <w:tcW w:w="3339" w:type="dxa"/>
            <w:vAlign w:val="center"/>
          </w:tcPr>
          <w:p>
            <w:pPr>
              <w:ind w:firstLine="0" w:firstLineChars="0"/>
              <w:jc w:val="center"/>
              <w:rPr>
                <w:rFonts w:ascii="仿宋" w:hAnsi="仿宋" w:eastAsia="仿宋"/>
                <w:color w:val="auto"/>
                <w:szCs w:val="22"/>
              </w:rPr>
            </w:pPr>
          </w:p>
        </w:tc>
        <w:tc>
          <w:tcPr>
            <w:tcW w:w="3340" w:type="dxa"/>
            <w:vAlign w:val="center"/>
          </w:tcPr>
          <w:p>
            <w:pPr>
              <w:ind w:firstLine="0" w:firstLineChars="0"/>
              <w:jc w:val="center"/>
              <w:rPr>
                <w:rFonts w:ascii="仿宋" w:hAnsi="仿宋" w:eastAsia="仿宋"/>
                <w:color w:val="auto"/>
                <w:szCs w:val="22"/>
              </w:rPr>
            </w:pPr>
          </w:p>
        </w:tc>
        <w:tc>
          <w:tcPr>
            <w:tcW w:w="1364" w:type="dxa"/>
            <w:vAlign w:val="center"/>
          </w:tcPr>
          <w:p>
            <w:pPr>
              <w:ind w:firstLine="0" w:firstLineChars="0"/>
              <w:jc w:val="center"/>
              <w:rPr>
                <w:rFonts w:ascii="仿宋" w:hAnsi="仿宋" w:eastAsia="仿宋"/>
                <w:color w:val="auto"/>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886" w:type="dxa"/>
            <w:vAlign w:val="center"/>
          </w:tcPr>
          <w:p>
            <w:pPr>
              <w:ind w:firstLine="0" w:firstLineChars="0"/>
              <w:jc w:val="center"/>
              <w:rPr>
                <w:rFonts w:ascii="仿宋" w:hAnsi="仿宋" w:eastAsia="仿宋"/>
                <w:color w:val="auto"/>
                <w:szCs w:val="22"/>
              </w:rPr>
            </w:pPr>
          </w:p>
        </w:tc>
        <w:tc>
          <w:tcPr>
            <w:tcW w:w="3339" w:type="dxa"/>
            <w:vAlign w:val="center"/>
          </w:tcPr>
          <w:p>
            <w:pPr>
              <w:ind w:firstLine="0" w:firstLineChars="0"/>
              <w:jc w:val="center"/>
              <w:rPr>
                <w:rFonts w:ascii="仿宋" w:hAnsi="仿宋" w:eastAsia="仿宋"/>
                <w:color w:val="auto"/>
                <w:szCs w:val="22"/>
              </w:rPr>
            </w:pPr>
          </w:p>
        </w:tc>
        <w:tc>
          <w:tcPr>
            <w:tcW w:w="3340" w:type="dxa"/>
            <w:vAlign w:val="center"/>
          </w:tcPr>
          <w:p>
            <w:pPr>
              <w:ind w:firstLine="0" w:firstLineChars="0"/>
              <w:jc w:val="center"/>
              <w:rPr>
                <w:rFonts w:ascii="仿宋" w:hAnsi="仿宋" w:eastAsia="仿宋"/>
                <w:color w:val="auto"/>
                <w:szCs w:val="22"/>
              </w:rPr>
            </w:pPr>
          </w:p>
        </w:tc>
        <w:tc>
          <w:tcPr>
            <w:tcW w:w="1364" w:type="dxa"/>
            <w:vAlign w:val="center"/>
          </w:tcPr>
          <w:p>
            <w:pPr>
              <w:ind w:firstLine="0" w:firstLineChars="0"/>
              <w:jc w:val="center"/>
              <w:rPr>
                <w:rFonts w:ascii="仿宋" w:hAnsi="仿宋" w:eastAsia="仿宋"/>
                <w:color w:val="auto"/>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886" w:type="dxa"/>
            <w:vAlign w:val="center"/>
          </w:tcPr>
          <w:p>
            <w:pPr>
              <w:ind w:firstLine="0" w:firstLineChars="0"/>
              <w:jc w:val="center"/>
              <w:rPr>
                <w:rFonts w:ascii="仿宋" w:hAnsi="仿宋" w:eastAsia="仿宋"/>
                <w:color w:val="auto"/>
                <w:szCs w:val="22"/>
              </w:rPr>
            </w:pPr>
          </w:p>
        </w:tc>
        <w:tc>
          <w:tcPr>
            <w:tcW w:w="3339" w:type="dxa"/>
            <w:vAlign w:val="center"/>
          </w:tcPr>
          <w:p>
            <w:pPr>
              <w:ind w:firstLine="0" w:firstLineChars="0"/>
              <w:jc w:val="center"/>
              <w:rPr>
                <w:rFonts w:ascii="仿宋" w:hAnsi="仿宋" w:eastAsia="仿宋"/>
                <w:color w:val="auto"/>
                <w:szCs w:val="22"/>
              </w:rPr>
            </w:pPr>
          </w:p>
        </w:tc>
        <w:tc>
          <w:tcPr>
            <w:tcW w:w="3340" w:type="dxa"/>
            <w:vAlign w:val="center"/>
          </w:tcPr>
          <w:p>
            <w:pPr>
              <w:ind w:firstLine="0" w:firstLineChars="0"/>
              <w:jc w:val="center"/>
              <w:rPr>
                <w:rFonts w:ascii="仿宋" w:hAnsi="仿宋" w:eastAsia="仿宋"/>
                <w:color w:val="auto"/>
                <w:szCs w:val="22"/>
              </w:rPr>
            </w:pPr>
          </w:p>
        </w:tc>
        <w:tc>
          <w:tcPr>
            <w:tcW w:w="1364" w:type="dxa"/>
            <w:vAlign w:val="center"/>
          </w:tcPr>
          <w:p>
            <w:pPr>
              <w:ind w:firstLine="0" w:firstLineChars="0"/>
              <w:jc w:val="center"/>
              <w:rPr>
                <w:rFonts w:ascii="仿宋" w:hAnsi="仿宋" w:eastAsia="仿宋"/>
                <w:color w:val="auto"/>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886" w:type="dxa"/>
            <w:vAlign w:val="center"/>
          </w:tcPr>
          <w:p>
            <w:pPr>
              <w:ind w:firstLine="0" w:firstLineChars="0"/>
              <w:jc w:val="center"/>
              <w:rPr>
                <w:rFonts w:ascii="仿宋" w:hAnsi="仿宋" w:eastAsia="仿宋"/>
                <w:color w:val="auto"/>
                <w:szCs w:val="22"/>
              </w:rPr>
            </w:pPr>
          </w:p>
        </w:tc>
        <w:tc>
          <w:tcPr>
            <w:tcW w:w="3339" w:type="dxa"/>
            <w:vAlign w:val="center"/>
          </w:tcPr>
          <w:p>
            <w:pPr>
              <w:ind w:firstLine="0" w:firstLineChars="0"/>
              <w:jc w:val="center"/>
              <w:rPr>
                <w:rFonts w:ascii="仿宋" w:hAnsi="仿宋" w:eastAsia="仿宋"/>
                <w:color w:val="auto"/>
                <w:szCs w:val="22"/>
              </w:rPr>
            </w:pPr>
          </w:p>
        </w:tc>
        <w:tc>
          <w:tcPr>
            <w:tcW w:w="3340" w:type="dxa"/>
            <w:vAlign w:val="center"/>
          </w:tcPr>
          <w:p>
            <w:pPr>
              <w:ind w:firstLine="0" w:firstLineChars="0"/>
              <w:jc w:val="center"/>
              <w:rPr>
                <w:rFonts w:ascii="仿宋" w:hAnsi="仿宋" w:eastAsia="仿宋"/>
                <w:color w:val="auto"/>
                <w:szCs w:val="22"/>
              </w:rPr>
            </w:pPr>
          </w:p>
        </w:tc>
        <w:tc>
          <w:tcPr>
            <w:tcW w:w="1364" w:type="dxa"/>
            <w:vAlign w:val="center"/>
          </w:tcPr>
          <w:p>
            <w:pPr>
              <w:ind w:firstLine="0" w:firstLineChars="0"/>
              <w:jc w:val="center"/>
              <w:rPr>
                <w:rFonts w:ascii="仿宋" w:hAnsi="仿宋" w:eastAsia="仿宋"/>
                <w:color w:val="auto"/>
                <w:szCs w:val="22"/>
              </w:rPr>
            </w:pPr>
          </w:p>
        </w:tc>
      </w:tr>
    </w:tbl>
    <w:p>
      <w:pPr>
        <w:ind w:firstLine="1095" w:firstLineChars="500"/>
        <w:rPr>
          <w:rFonts w:ascii="仿宋" w:hAnsi="仿宋" w:eastAsia="仿宋"/>
          <w:color w:val="auto"/>
        </w:rPr>
      </w:pPr>
      <w:r>
        <w:rPr>
          <w:rFonts w:hint="eastAsia" w:ascii="仿宋" w:hAnsi="仿宋" w:eastAsia="仿宋"/>
          <w:color w:val="auto"/>
        </w:rPr>
        <w:t>投标人：                      法定代表人（或法定代表人授权代表）或自然人：</w:t>
      </w:r>
    </w:p>
    <w:p>
      <w:pPr>
        <w:ind w:firstLine="876" w:firstLineChars="400"/>
        <w:rPr>
          <w:rFonts w:ascii="仿宋" w:hAnsi="仿宋" w:eastAsia="仿宋"/>
          <w:color w:val="auto"/>
        </w:rPr>
      </w:pPr>
      <w:r>
        <w:rPr>
          <w:rFonts w:hint="eastAsia" w:ascii="仿宋" w:hAnsi="仿宋" w:eastAsia="仿宋"/>
          <w:color w:val="auto"/>
        </w:rPr>
        <w:t>（投标人公章）</w:t>
      </w:r>
      <w:r>
        <w:rPr>
          <w:rFonts w:hint="eastAsia" w:ascii="仿宋" w:hAnsi="仿宋" w:eastAsia="仿宋"/>
          <w:color w:val="auto"/>
        </w:rPr>
        <w:tab/>
      </w:r>
      <w:r>
        <w:rPr>
          <w:rFonts w:hint="eastAsia" w:ascii="仿宋" w:hAnsi="仿宋" w:eastAsia="仿宋"/>
          <w:color w:val="auto"/>
        </w:rPr>
        <w:tab/>
      </w:r>
      <w:r>
        <w:rPr>
          <w:rFonts w:hint="eastAsia" w:ascii="仿宋" w:hAnsi="仿宋" w:eastAsia="仿宋"/>
          <w:color w:val="auto"/>
        </w:rPr>
        <w:tab/>
      </w:r>
      <w:r>
        <w:rPr>
          <w:rFonts w:hint="eastAsia" w:ascii="仿宋" w:hAnsi="仿宋" w:eastAsia="仿宋"/>
          <w:color w:val="auto"/>
        </w:rPr>
        <w:tab/>
      </w:r>
      <w:r>
        <w:rPr>
          <w:rFonts w:hint="eastAsia" w:ascii="仿宋" w:hAnsi="仿宋" w:eastAsia="仿宋"/>
          <w:color w:val="auto"/>
        </w:rPr>
        <w:tab/>
      </w:r>
      <w:r>
        <w:rPr>
          <w:rFonts w:hint="eastAsia" w:ascii="仿宋" w:hAnsi="仿宋" w:eastAsia="仿宋"/>
          <w:color w:val="auto"/>
        </w:rPr>
        <w:tab/>
      </w:r>
      <w:r>
        <w:rPr>
          <w:rFonts w:hint="eastAsia" w:ascii="仿宋" w:hAnsi="仿宋" w:eastAsia="仿宋"/>
          <w:color w:val="auto"/>
        </w:rPr>
        <w:tab/>
      </w:r>
      <w:r>
        <w:rPr>
          <w:rFonts w:hint="eastAsia" w:ascii="仿宋" w:hAnsi="仿宋" w:eastAsia="仿宋"/>
          <w:color w:val="auto"/>
        </w:rPr>
        <w:tab/>
      </w:r>
      <w:r>
        <w:rPr>
          <w:rFonts w:hint="eastAsia" w:ascii="仿宋" w:hAnsi="仿宋" w:eastAsia="仿宋"/>
          <w:color w:val="auto"/>
        </w:rPr>
        <w:tab/>
      </w:r>
      <w:r>
        <w:rPr>
          <w:rFonts w:hint="eastAsia" w:ascii="仿宋" w:hAnsi="仿宋" w:eastAsia="仿宋"/>
          <w:color w:val="auto"/>
        </w:rPr>
        <w:tab/>
      </w:r>
      <w:r>
        <w:rPr>
          <w:rFonts w:hint="eastAsia" w:ascii="仿宋" w:hAnsi="仿宋" w:eastAsia="仿宋"/>
          <w:color w:val="auto"/>
        </w:rPr>
        <w:t>（签署或盖章）</w:t>
      </w:r>
    </w:p>
    <w:p>
      <w:pPr>
        <w:wordWrap w:val="0"/>
        <w:ind w:firstLine="6132" w:firstLineChars="2800"/>
        <w:jc w:val="right"/>
        <w:rPr>
          <w:rFonts w:ascii="仿宋" w:hAnsi="仿宋" w:eastAsia="仿宋"/>
          <w:color w:val="auto"/>
        </w:rPr>
      </w:pPr>
      <w:r>
        <w:rPr>
          <w:rFonts w:hint="eastAsia" w:ascii="仿宋" w:hAnsi="仿宋" w:eastAsia="仿宋"/>
          <w:color w:val="auto"/>
        </w:rPr>
        <w:t xml:space="preserve">年   月   日               </w:t>
      </w:r>
    </w:p>
    <w:p>
      <w:pPr>
        <w:ind w:firstLine="438"/>
        <w:rPr>
          <w:rFonts w:ascii="仿宋" w:hAnsi="仿宋" w:eastAsia="仿宋"/>
          <w:color w:val="auto"/>
        </w:rPr>
      </w:pPr>
      <w:r>
        <w:rPr>
          <w:rFonts w:hint="eastAsia" w:ascii="仿宋" w:hAnsi="仿宋" w:eastAsia="仿宋"/>
          <w:color w:val="auto"/>
        </w:rPr>
        <w:t>注：</w:t>
      </w:r>
    </w:p>
    <w:p>
      <w:pPr>
        <w:ind w:firstLine="438"/>
        <w:rPr>
          <w:rFonts w:ascii="仿宋" w:hAnsi="仿宋" w:eastAsia="仿宋"/>
          <w:color w:val="auto"/>
        </w:rPr>
      </w:pPr>
      <w:r>
        <w:rPr>
          <w:rFonts w:hint="eastAsia" w:ascii="仿宋" w:hAnsi="仿宋" w:eastAsia="仿宋"/>
          <w:color w:val="auto"/>
        </w:rPr>
        <w:t>1.本表即为对本项目“第二篇  项目技术（质量）需求”中所列条款进行比较和响应，应逐条如实填写，“投标应答”中必须列出具体数值或内容。如投标人未应答或只注明“符合”、“满足”等类似无具体数值或内容的表述，视为不满足对应条款；</w:t>
      </w:r>
    </w:p>
    <w:p>
      <w:pPr>
        <w:ind w:firstLine="438"/>
        <w:rPr>
          <w:rFonts w:ascii="仿宋" w:hAnsi="仿宋" w:eastAsia="仿宋"/>
          <w:color w:val="auto"/>
        </w:rPr>
      </w:pPr>
      <w:r>
        <w:rPr>
          <w:rFonts w:hint="eastAsia" w:ascii="仿宋" w:hAnsi="仿宋" w:eastAsia="仿宋"/>
          <w:color w:val="auto"/>
        </w:rPr>
        <w:t>2.本表可扩展；</w:t>
      </w:r>
    </w:p>
    <w:p>
      <w:pPr>
        <w:ind w:firstLine="438"/>
        <w:rPr>
          <w:rFonts w:ascii="仿宋" w:hAnsi="仿宋" w:eastAsia="仿宋"/>
          <w:color w:val="auto"/>
        </w:rPr>
      </w:pPr>
      <w:r>
        <w:rPr>
          <w:rFonts w:hint="eastAsia" w:ascii="仿宋" w:hAnsi="仿宋" w:eastAsia="仿宋"/>
          <w:color w:val="auto"/>
        </w:rPr>
        <w:t>3.可附相关技术（质量）支撑材料。（格式自定）</w:t>
      </w:r>
    </w:p>
    <w:p>
      <w:pPr>
        <w:ind w:firstLine="438"/>
        <w:rPr>
          <w:rFonts w:ascii="仿宋" w:hAnsi="仿宋" w:eastAsia="仿宋"/>
          <w:color w:val="auto"/>
        </w:rPr>
      </w:pPr>
      <w:r>
        <w:rPr>
          <w:rFonts w:hint="eastAsia" w:ascii="仿宋" w:hAnsi="仿宋" w:eastAsia="仿宋"/>
          <w:color w:val="auto"/>
        </w:rPr>
        <w:t>4.该表必须按照招标文件要求逐条如实填写，根据投标情况在“差异说明”项填写正偏离或负偏离及原因，完全符合的填写“无差异”。</w:t>
      </w:r>
    </w:p>
    <w:p>
      <w:pPr>
        <w:ind w:firstLine="438"/>
        <w:rPr>
          <w:rFonts w:ascii="仿宋" w:hAnsi="仿宋" w:eastAsia="仿宋"/>
          <w:color w:val="auto"/>
          <w:szCs w:val="22"/>
        </w:rPr>
      </w:pPr>
      <w:r>
        <w:rPr>
          <w:rFonts w:hint="eastAsia" w:ascii="仿宋" w:hAnsi="仿宋" w:eastAsia="仿宋"/>
          <w:color w:val="auto"/>
          <w:szCs w:val="22"/>
        </w:rPr>
        <w:br w:type="page"/>
      </w:r>
    </w:p>
    <w:p>
      <w:pPr>
        <w:ind w:firstLine="438"/>
        <w:rPr>
          <w:rFonts w:ascii="仿宋" w:hAnsi="仿宋" w:eastAsia="仿宋"/>
          <w:color w:val="auto"/>
          <w:szCs w:val="22"/>
        </w:rPr>
      </w:pPr>
      <w:r>
        <w:rPr>
          <w:rFonts w:hint="eastAsia" w:ascii="仿宋" w:hAnsi="仿宋" w:eastAsia="仿宋"/>
          <w:color w:val="auto"/>
          <w:szCs w:val="22"/>
        </w:rPr>
        <w:t>（二）所投产品属于《财政部 生态环境部关于印发环境标志产品政府采购品目清单的通知》（财库〔2019〕18号）、《财政部 发展改革委关于印发节能产品政府采购品目清单的通知》（财库〔2019〕19号）范围内的节能产品或环境标志产品的证明文件（如果有）</w:t>
      </w:r>
    </w:p>
    <w:p>
      <w:pPr>
        <w:ind w:firstLine="438"/>
        <w:rPr>
          <w:rFonts w:ascii="仿宋" w:hAnsi="仿宋" w:eastAsia="仿宋"/>
          <w:color w:val="auto"/>
          <w:szCs w:val="22"/>
        </w:rPr>
      </w:pPr>
      <w:r>
        <w:rPr>
          <w:rFonts w:hint="eastAsia" w:ascii="仿宋" w:hAnsi="仿宋" w:eastAsia="仿宋"/>
          <w:color w:val="auto"/>
          <w:szCs w:val="22"/>
        </w:rPr>
        <w:t>说明：</w:t>
      </w:r>
    </w:p>
    <w:p>
      <w:pPr>
        <w:ind w:firstLine="438"/>
        <w:rPr>
          <w:rFonts w:ascii="仿宋" w:hAnsi="仿宋" w:eastAsia="仿宋"/>
          <w:color w:val="auto"/>
          <w:szCs w:val="22"/>
        </w:rPr>
      </w:pPr>
      <w:r>
        <w:rPr>
          <w:rFonts w:hint="eastAsia" w:ascii="仿宋" w:hAnsi="仿宋" w:eastAsia="仿宋"/>
          <w:color w:val="auto"/>
          <w:szCs w:val="22"/>
        </w:rPr>
        <w:t>1.提供所投产品列入《财政部 发展改革委关于印发节能产品政府采购品目清单的通知》（财库〔2019〕19号）中“节能产品政府采购品目清单”所在页面打印件，及国家确定的认证机构出具的、处于有效期之内的节能产品认证证书复印件。</w:t>
      </w:r>
    </w:p>
    <w:p>
      <w:pPr>
        <w:ind w:firstLine="438"/>
        <w:rPr>
          <w:rFonts w:ascii="仿宋" w:hAnsi="仿宋" w:eastAsia="仿宋"/>
          <w:color w:val="auto"/>
          <w:szCs w:val="22"/>
        </w:rPr>
      </w:pPr>
      <w:r>
        <w:rPr>
          <w:rFonts w:hint="eastAsia" w:ascii="仿宋" w:hAnsi="仿宋" w:eastAsia="仿宋"/>
          <w:color w:val="auto"/>
          <w:szCs w:val="22"/>
        </w:rPr>
        <w:t>2.提供所投产品列入《财政部 生态环境部关于印发环境标志产品政府采购品目清单的通知》（财库〔2019〕18号）中“环境标志产品政府采购品目清单”所在页面打印件，及国家确定的认证机构出具的、处于有效期之内的环境标志产品认证证书复印件。</w:t>
      </w:r>
    </w:p>
    <w:p>
      <w:pPr>
        <w:pStyle w:val="2"/>
        <w:ind w:firstLine="318"/>
        <w:rPr>
          <w:rFonts w:hint="eastAsia"/>
          <w:color w:val="auto"/>
        </w:rPr>
      </w:pPr>
    </w:p>
    <w:p>
      <w:pPr>
        <w:pStyle w:val="2"/>
        <w:spacing w:line="520" w:lineRule="exact"/>
        <w:ind w:firstLine="438"/>
        <w:rPr>
          <w:rFonts w:ascii="仿宋" w:hAnsi="仿宋" w:eastAsia="仿宋" w:cs="Cambria Math"/>
          <w:color w:val="auto"/>
          <w:sz w:val="24"/>
          <w:szCs w:val="22"/>
        </w:rPr>
      </w:pPr>
    </w:p>
    <w:p>
      <w:pPr>
        <w:pStyle w:val="2"/>
        <w:spacing w:line="520" w:lineRule="exact"/>
        <w:ind w:firstLine="438"/>
        <w:rPr>
          <w:rFonts w:ascii="仿宋" w:hAnsi="仿宋" w:eastAsia="仿宋" w:cs="Cambria Math"/>
          <w:color w:val="auto"/>
          <w:sz w:val="24"/>
          <w:szCs w:val="22"/>
        </w:rPr>
      </w:pPr>
      <w:r>
        <w:rPr>
          <w:rFonts w:hint="eastAsia" w:ascii="仿宋" w:hAnsi="仿宋" w:eastAsia="仿宋" w:cs="Cambria Math"/>
          <w:color w:val="auto"/>
          <w:sz w:val="24"/>
          <w:szCs w:val="22"/>
        </w:rPr>
        <w:t>（三）第二篇所需方案或证明材料（如果有）</w:t>
      </w:r>
    </w:p>
    <w:p>
      <w:pPr>
        <w:pStyle w:val="2"/>
        <w:spacing w:line="520" w:lineRule="exact"/>
        <w:ind w:firstLine="438"/>
        <w:rPr>
          <w:rFonts w:ascii="仿宋" w:hAnsi="仿宋" w:eastAsia="仿宋" w:cs="Cambria Math"/>
          <w:color w:val="auto"/>
          <w:sz w:val="24"/>
          <w:szCs w:val="22"/>
        </w:rPr>
      </w:pPr>
    </w:p>
    <w:p>
      <w:pPr>
        <w:pStyle w:val="2"/>
        <w:spacing w:line="520" w:lineRule="exact"/>
        <w:ind w:firstLine="438"/>
        <w:rPr>
          <w:rFonts w:ascii="仿宋" w:hAnsi="仿宋" w:eastAsia="仿宋" w:cs="Cambria Math"/>
          <w:color w:val="auto"/>
          <w:sz w:val="24"/>
          <w:szCs w:val="22"/>
        </w:rPr>
      </w:pPr>
      <w:r>
        <w:rPr>
          <w:rFonts w:hint="eastAsia" w:ascii="仿宋" w:hAnsi="仿宋" w:eastAsia="仿宋" w:cs="Cambria Math"/>
          <w:color w:val="auto"/>
          <w:sz w:val="24"/>
          <w:szCs w:val="22"/>
        </w:rPr>
        <w:t>（四）第四篇评审因素技术部分所需方案或证明材料</w:t>
      </w:r>
    </w:p>
    <w:p>
      <w:pPr>
        <w:pStyle w:val="2"/>
        <w:spacing w:line="520" w:lineRule="exact"/>
        <w:ind w:firstLine="438"/>
        <w:rPr>
          <w:rFonts w:ascii="仿宋" w:hAnsi="仿宋" w:eastAsia="仿宋" w:cs="Cambria Math"/>
          <w:color w:val="auto"/>
          <w:sz w:val="24"/>
          <w:szCs w:val="22"/>
        </w:rPr>
      </w:pPr>
    </w:p>
    <w:p>
      <w:pPr>
        <w:pStyle w:val="2"/>
        <w:spacing w:line="520" w:lineRule="exact"/>
        <w:ind w:firstLine="438"/>
        <w:rPr>
          <w:rFonts w:ascii="仿宋" w:hAnsi="仿宋" w:eastAsia="仿宋" w:cs="Cambria Math"/>
          <w:color w:val="auto"/>
          <w:sz w:val="24"/>
          <w:szCs w:val="22"/>
        </w:rPr>
      </w:pPr>
      <w:r>
        <w:rPr>
          <w:rFonts w:hint="eastAsia" w:ascii="仿宋" w:hAnsi="仿宋" w:eastAsia="仿宋" w:cs="Cambria Math"/>
          <w:color w:val="auto"/>
          <w:sz w:val="24"/>
          <w:szCs w:val="22"/>
        </w:rPr>
        <w:t>（五）其他技术（质量）资料</w:t>
      </w:r>
    </w:p>
    <w:p>
      <w:pPr>
        <w:pStyle w:val="2"/>
        <w:ind w:firstLine="438"/>
        <w:rPr>
          <w:rFonts w:ascii="仿宋" w:hAnsi="仿宋" w:eastAsia="仿宋" w:cs="Cambria Math"/>
          <w:color w:val="auto"/>
          <w:sz w:val="24"/>
          <w:szCs w:val="22"/>
        </w:rPr>
        <w:sectPr>
          <w:pgSz w:w="11907" w:h="16840"/>
          <w:pgMar w:top="1134" w:right="1191" w:bottom="1134" w:left="1304" w:header="794" w:footer="992" w:gutter="0"/>
          <w:cols w:space="720" w:num="1"/>
          <w:docGrid w:type="linesAndChars" w:linePitch="393" w:charSpace="-4325"/>
        </w:sectPr>
      </w:pPr>
    </w:p>
    <w:bookmarkEnd w:id="904"/>
    <w:p>
      <w:pPr>
        <w:pStyle w:val="4"/>
        <w:widowControl/>
        <w:spacing w:before="196" w:after="196"/>
        <w:ind w:firstLine="520"/>
        <w:rPr>
          <w:rStyle w:val="32"/>
          <w:rFonts w:hint="default" w:ascii="仿宋" w:hAnsi="仿宋" w:eastAsia="仿宋"/>
          <w:b w:val="0"/>
          <w:color w:val="auto"/>
        </w:rPr>
      </w:pPr>
      <w:bookmarkStart w:id="905" w:name="_Toc6765"/>
      <w:bookmarkStart w:id="906" w:name="_Toc7246"/>
      <w:bookmarkStart w:id="907" w:name="_Toc31082"/>
      <w:bookmarkStart w:id="908" w:name="_Toc63600446"/>
      <w:bookmarkStart w:id="909" w:name="_Toc581"/>
      <w:bookmarkStart w:id="910" w:name="_Toc17893"/>
      <w:bookmarkStart w:id="911" w:name="_Toc28244"/>
      <w:bookmarkStart w:id="912" w:name="_Toc7376"/>
      <w:bookmarkStart w:id="913" w:name="_Toc32190"/>
      <w:bookmarkStart w:id="914" w:name="_Toc30637"/>
      <w:bookmarkStart w:id="915" w:name="_Toc8237"/>
      <w:bookmarkStart w:id="916" w:name="_Toc21568"/>
      <w:bookmarkStart w:id="917" w:name="_Toc32360"/>
      <w:bookmarkStart w:id="918" w:name="_Toc26576"/>
      <w:r>
        <w:rPr>
          <w:rFonts w:hint="eastAsia" w:ascii="仿宋" w:hAnsi="仿宋" w:eastAsia="仿宋" w:cs="Arial"/>
          <w:color w:val="auto"/>
        </w:rPr>
        <w:t>三、商务文件</w:t>
      </w:r>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p>
    <w:p>
      <w:pPr>
        <w:spacing w:beforeLines="100" w:afterLines="100"/>
        <w:ind w:firstLine="0" w:firstLineChars="0"/>
        <w:jc w:val="center"/>
        <w:rPr>
          <w:rFonts w:ascii="仿宋" w:hAnsi="仿宋" w:eastAsia="仿宋"/>
          <w:color w:val="auto"/>
          <w:sz w:val="28"/>
          <w:szCs w:val="21"/>
        </w:rPr>
      </w:pPr>
      <w:r>
        <w:rPr>
          <w:rFonts w:hint="eastAsia" w:ascii="仿宋" w:hAnsi="仿宋" w:eastAsia="仿宋"/>
          <w:color w:val="auto"/>
          <w:sz w:val="28"/>
          <w:szCs w:val="21"/>
        </w:rPr>
        <w:t>（一）投标函（格式）</w:t>
      </w:r>
    </w:p>
    <w:p>
      <w:pPr>
        <w:ind w:firstLine="438"/>
        <w:rPr>
          <w:rFonts w:ascii="仿宋" w:hAnsi="仿宋" w:eastAsia="仿宋"/>
          <w:color w:val="auto"/>
          <w:highlight w:val="none"/>
          <w:u w:val="none"/>
        </w:rPr>
      </w:pPr>
      <w:r>
        <w:rPr>
          <w:rFonts w:hint="eastAsia" w:ascii="仿宋" w:hAnsi="仿宋" w:eastAsia="仿宋"/>
          <w:color w:val="auto"/>
        </w:rPr>
        <w:t>招标项目名称：</w:t>
      </w:r>
      <w:r>
        <w:rPr>
          <w:rFonts w:hint="eastAsia" w:ascii="仿宋" w:hAnsi="仿宋" w:eastAsia="仿宋"/>
          <w:color w:val="auto"/>
          <w:highlight w:val="none"/>
          <w:u w:val="single"/>
          <w:lang w:val="en-US" w:eastAsia="zh-CN"/>
        </w:rPr>
        <w:t xml:space="preserve">                          </w:t>
      </w:r>
    </w:p>
    <w:p>
      <w:pPr>
        <w:ind w:firstLine="438"/>
        <w:rPr>
          <w:rFonts w:ascii="仿宋" w:hAnsi="仿宋" w:eastAsia="仿宋"/>
          <w:color w:val="auto"/>
        </w:rPr>
      </w:pPr>
      <w:r>
        <w:rPr>
          <w:rFonts w:hint="eastAsia" w:ascii="仿宋" w:hAnsi="仿宋" w:eastAsia="仿宋"/>
          <w:color w:val="auto"/>
        </w:rPr>
        <w:t>致：</w:t>
      </w:r>
      <w:r>
        <w:rPr>
          <w:rFonts w:hint="eastAsia" w:ascii="仿宋" w:hAnsi="仿宋" w:eastAsia="仿宋"/>
          <w:color w:val="auto"/>
          <w:highlight w:val="none"/>
          <w:u w:val="single"/>
          <w:lang w:val="en-US" w:eastAsia="zh-CN"/>
        </w:rPr>
        <w:t xml:space="preserve">                          </w:t>
      </w:r>
      <w:r>
        <w:rPr>
          <w:rFonts w:hint="eastAsia" w:ascii="仿宋" w:hAnsi="仿宋" w:eastAsia="仿宋"/>
          <w:color w:val="auto"/>
        </w:rPr>
        <w:t>（采购代理机构名称）</w:t>
      </w:r>
    </w:p>
    <w:p>
      <w:pPr>
        <w:ind w:firstLine="438"/>
        <w:rPr>
          <w:rFonts w:ascii="仿宋" w:hAnsi="仿宋" w:eastAsia="仿宋"/>
          <w:color w:val="auto"/>
        </w:rPr>
      </w:pPr>
      <w:r>
        <w:rPr>
          <w:rFonts w:hint="eastAsia" w:ascii="仿宋" w:hAnsi="仿宋" w:eastAsia="仿宋"/>
          <w:color w:val="auto"/>
          <w:highlight w:val="none"/>
          <w:u w:val="single"/>
          <w:lang w:val="en-US" w:eastAsia="zh-CN"/>
        </w:rPr>
        <w:t xml:space="preserve">                          </w:t>
      </w:r>
      <w:r>
        <w:rPr>
          <w:rFonts w:hint="eastAsia" w:ascii="仿宋" w:hAnsi="仿宋" w:eastAsia="仿宋"/>
          <w:color w:val="auto"/>
        </w:rPr>
        <w:t>（投标人名称）系中华人民共和国合法企业，注册地址：。我方就参加本次投标有关事项郑重声明如下：</w:t>
      </w:r>
    </w:p>
    <w:p>
      <w:pPr>
        <w:ind w:firstLine="438"/>
        <w:rPr>
          <w:rFonts w:ascii="仿宋" w:hAnsi="仿宋" w:eastAsia="仿宋"/>
          <w:color w:val="auto"/>
        </w:rPr>
      </w:pPr>
      <w:r>
        <w:rPr>
          <w:rFonts w:hint="eastAsia" w:ascii="仿宋" w:hAnsi="仿宋" w:eastAsia="仿宋"/>
          <w:color w:val="auto"/>
        </w:rPr>
        <w:t>一、我方完全理解并接受该项目招标文件所有要求。</w:t>
      </w:r>
    </w:p>
    <w:p>
      <w:pPr>
        <w:ind w:firstLine="438"/>
        <w:rPr>
          <w:rFonts w:ascii="仿宋" w:hAnsi="仿宋" w:eastAsia="仿宋"/>
          <w:color w:val="auto"/>
        </w:rPr>
      </w:pPr>
      <w:r>
        <w:rPr>
          <w:rFonts w:hint="eastAsia" w:ascii="仿宋" w:hAnsi="仿宋" w:eastAsia="仿宋"/>
          <w:color w:val="auto"/>
        </w:rPr>
        <w:t>二、我方提交的所有投标文件、资料都是准确和真实的，如有虚假或隐瞒，我方愿意承担一切法律责任。</w:t>
      </w:r>
    </w:p>
    <w:p>
      <w:pPr>
        <w:ind w:firstLine="438"/>
        <w:rPr>
          <w:rFonts w:ascii="仿宋" w:hAnsi="仿宋" w:eastAsia="仿宋"/>
          <w:color w:val="auto"/>
        </w:rPr>
      </w:pPr>
      <w:r>
        <w:rPr>
          <w:rFonts w:hint="eastAsia" w:ascii="仿宋" w:hAnsi="仿宋" w:eastAsia="仿宋"/>
          <w:color w:val="auto"/>
        </w:rPr>
        <w:t>三、我方承诺按照招标文件要求，提供招标项目的技术（质量）服务。</w:t>
      </w:r>
    </w:p>
    <w:p>
      <w:pPr>
        <w:ind w:firstLine="438"/>
        <w:rPr>
          <w:rFonts w:ascii="仿宋" w:hAnsi="仿宋" w:eastAsia="仿宋"/>
          <w:color w:val="auto"/>
        </w:rPr>
      </w:pPr>
      <w:r>
        <w:rPr>
          <w:rFonts w:hint="eastAsia" w:ascii="仿宋" w:hAnsi="仿宋" w:eastAsia="仿宋"/>
          <w:color w:val="auto"/>
        </w:rPr>
        <w:t>四、我方按招标文件要求提交的投标文件为：投标文件电子投标文件</w:t>
      </w:r>
      <w:r>
        <w:rPr>
          <w:rFonts w:hint="eastAsia" w:ascii="仿宋" w:hAnsi="仿宋" w:eastAsia="仿宋"/>
          <w:color w:val="auto"/>
          <w:u w:val="single"/>
        </w:rPr>
        <w:t>1</w:t>
      </w:r>
      <w:r>
        <w:rPr>
          <w:rFonts w:hint="eastAsia" w:ascii="仿宋" w:hAnsi="仿宋" w:eastAsia="仿宋"/>
          <w:color w:val="auto"/>
        </w:rPr>
        <w:t>份，备份电子投标文件</w:t>
      </w:r>
      <w:r>
        <w:rPr>
          <w:rFonts w:hint="eastAsia" w:ascii="仿宋" w:hAnsi="仿宋" w:eastAsia="仿宋"/>
          <w:color w:val="auto"/>
          <w:u w:val="single"/>
        </w:rPr>
        <w:t>1</w:t>
      </w:r>
      <w:r>
        <w:rPr>
          <w:rFonts w:hint="eastAsia" w:ascii="仿宋" w:hAnsi="仿宋" w:eastAsia="仿宋"/>
          <w:color w:val="auto"/>
        </w:rPr>
        <w:t>份。</w:t>
      </w:r>
    </w:p>
    <w:p>
      <w:pPr>
        <w:ind w:firstLine="438"/>
        <w:rPr>
          <w:rFonts w:ascii="仿宋" w:hAnsi="仿宋" w:eastAsia="仿宋"/>
          <w:color w:val="auto"/>
        </w:rPr>
      </w:pPr>
      <w:r>
        <w:rPr>
          <w:rFonts w:hint="eastAsia" w:ascii="仿宋" w:hAnsi="仿宋" w:eastAsia="仿宋"/>
          <w:color w:val="auto"/>
        </w:rPr>
        <w:t>五、我方承诺：本次投标的投标有效期为</w:t>
      </w:r>
      <w:r>
        <w:rPr>
          <w:rFonts w:hint="eastAsia" w:ascii="仿宋" w:hAnsi="仿宋" w:eastAsia="仿宋"/>
          <w:color w:val="auto"/>
          <w:u w:val="single"/>
        </w:rPr>
        <w:t>90</w:t>
      </w:r>
      <w:r>
        <w:rPr>
          <w:rFonts w:hint="eastAsia" w:ascii="仿宋" w:hAnsi="仿宋" w:eastAsia="仿宋"/>
          <w:color w:val="auto"/>
        </w:rPr>
        <w:t>天。</w:t>
      </w:r>
    </w:p>
    <w:p>
      <w:pPr>
        <w:ind w:firstLine="438"/>
        <w:rPr>
          <w:rFonts w:ascii="仿宋" w:hAnsi="仿宋" w:eastAsia="仿宋"/>
          <w:color w:val="auto"/>
        </w:rPr>
      </w:pPr>
      <w:r>
        <w:rPr>
          <w:rFonts w:hint="eastAsia" w:ascii="仿宋" w:hAnsi="仿宋" w:eastAsia="仿宋"/>
          <w:color w:val="auto"/>
        </w:rPr>
        <w:t>六、我方投标报价为闭口价。即在投标有效期和合同有效期内，该报价固定不变。</w:t>
      </w:r>
    </w:p>
    <w:p>
      <w:pPr>
        <w:ind w:firstLine="438"/>
        <w:rPr>
          <w:rFonts w:ascii="仿宋" w:hAnsi="仿宋" w:eastAsia="仿宋"/>
          <w:color w:val="auto"/>
        </w:rPr>
      </w:pPr>
      <w:r>
        <w:rPr>
          <w:rFonts w:hint="eastAsia" w:ascii="仿宋" w:hAnsi="仿宋" w:eastAsia="仿宋"/>
          <w:color w:val="auto"/>
        </w:rPr>
        <w:t>七、如果我方中标，我方将履行招标文件中规定的各项要求以及我方投标文件的各项承诺，按《中华人民共和国政府采购法》、《中华人民共和国民法典》及合同约定条款承担我方责任。</w:t>
      </w:r>
    </w:p>
    <w:p>
      <w:pPr>
        <w:ind w:firstLine="438"/>
        <w:rPr>
          <w:rFonts w:ascii="仿宋" w:hAnsi="仿宋" w:eastAsia="仿宋"/>
          <w:color w:val="auto"/>
        </w:rPr>
      </w:pPr>
      <w:r>
        <w:rPr>
          <w:rFonts w:hint="eastAsia" w:ascii="仿宋" w:hAnsi="仿宋" w:eastAsia="仿宋"/>
          <w:color w:val="auto"/>
        </w:rPr>
        <w:t>八、我方未为采购项目提供整体设计、规范编制或者项目管理、监理、检测等服务。</w:t>
      </w:r>
    </w:p>
    <w:p>
      <w:pPr>
        <w:ind w:firstLine="438"/>
        <w:rPr>
          <w:rFonts w:ascii="仿宋" w:hAnsi="仿宋" w:eastAsia="仿宋"/>
          <w:color w:val="auto"/>
        </w:rPr>
      </w:pPr>
      <w:r>
        <w:rPr>
          <w:rFonts w:hint="eastAsia" w:ascii="仿宋" w:hAnsi="仿宋" w:eastAsia="仿宋"/>
          <w:color w:val="auto"/>
        </w:rPr>
        <w:t>九、我方理解，最低报价不是中标的唯一条件。</w:t>
      </w:r>
    </w:p>
    <w:p>
      <w:pPr>
        <w:ind w:firstLine="438"/>
        <w:rPr>
          <w:rFonts w:ascii="仿宋" w:hAnsi="仿宋" w:eastAsia="仿宋"/>
          <w:color w:val="auto"/>
        </w:rPr>
      </w:pPr>
    </w:p>
    <w:p>
      <w:pPr>
        <w:pStyle w:val="2"/>
        <w:ind w:firstLine="318"/>
        <w:rPr>
          <w:rFonts w:ascii="仿宋" w:hAnsi="仿宋" w:eastAsia="仿宋"/>
          <w:color w:val="auto"/>
        </w:rPr>
      </w:pPr>
    </w:p>
    <w:p>
      <w:pPr>
        <w:pStyle w:val="2"/>
        <w:ind w:firstLine="318"/>
        <w:rPr>
          <w:rFonts w:ascii="仿宋" w:hAnsi="仿宋" w:eastAsia="仿宋"/>
          <w:color w:val="auto"/>
        </w:rPr>
      </w:pPr>
    </w:p>
    <w:p>
      <w:pPr>
        <w:ind w:firstLine="438"/>
        <w:rPr>
          <w:rFonts w:ascii="仿宋" w:hAnsi="仿宋" w:eastAsia="仿宋"/>
          <w:color w:val="auto"/>
        </w:rPr>
      </w:pPr>
    </w:p>
    <w:p>
      <w:pPr>
        <w:ind w:firstLine="0" w:firstLineChars="0"/>
        <w:jc w:val="right"/>
        <w:rPr>
          <w:rFonts w:ascii="仿宋" w:hAnsi="仿宋" w:eastAsia="仿宋"/>
          <w:color w:val="auto"/>
        </w:rPr>
      </w:pPr>
      <w:r>
        <w:rPr>
          <w:rFonts w:hint="eastAsia" w:ascii="仿宋" w:hAnsi="仿宋" w:eastAsia="仿宋"/>
          <w:color w:val="auto"/>
        </w:rPr>
        <w:t>（投标人公章或自然人签署）</w:t>
      </w:r>
    </w:p>
    <w:p>
      <w:pPr>
        <w:ind w:firstLine="438"/>
        <w:rPr>
          <w:rFonts w:ascii="仿宋" w:hAnsi="仿宋" w:eastAsia="仿宋"/>
          <w:color w:val="auto"/>
          <w:szCs w:val="22"/>
          <w:lang w:val="zh-CN"/>
        </w:rPr>
      </w:pPr>
    </w:p>
    <w:p>
      <w:pPr>
        <w:wordWrap w:val="0"/>
        <w:ind w:firstLine="438"/>
        <w:jc w:val="right"/>
        <w:rPr>
          <w:rFonts w:ascii="仿宋" w:hAnsi="仿宋" w:eastAsia="仿宋"/>
          <w:color w:val="auto"/>
        </w:rPr>
      </w:pPr>
      <w:r>
        <w:rPr>
          <w:rFonts w:hint="eastAsia" w:ascii="仿宋" w:hAnsi="仿宋" w:eastAsia="仿宋"/>
          <w:color w:val="auto"/>
        </w:rPr>
        <w:t xml:space="preserve">年   月   日       </w:t>
      </w:r>
    </w:p>
    <w:p>
      <w:pPr>
        <w:ind w:firstLine="438"/>
        <w:rPr>
          <w:rFonts w:ascii="仿宋" w:hAnsi="仿宋" w:eastAsia="仿宋"/>
          <w:color w:val="auto"/>
        </w:rPr>
      </w:pPr>
      <w:r>
        <w:rPr>
          <w:rFonts w:hint="eastAsia" w:ascii="仿宋" w:hAnsi="仿宋" w:eastAsia="仿宋"/>
          <w:color w:val="auto"/>
        </w:rPr>
        <w:br w:type="page"/>
      </w:r>
      <w:r>
        <w:rPr>
          <w:rFonts w:hint="eastAsia" w:ascii="仿宋" w:hAnsi="仿宋" w:eastAsia="仿宋"/>
          <w:color w:val="auto"/>
        </w:rPr>
        <w:t>（二）商务条款差异表</w:t>
      </w:r>
    </w:p>
    <w:p>
      <w:pPr>
        <w:spacing w:line="360" w:lineRule="auto"/>
        <w:ind w:firstLine="438"/>
        <w:rPr>
          <w:rFonts w:ascii="仿宋" w:hAnsi="仿宋" w:eastAsia="仿宋"/>
          <w:color w:val="auto"/>
        </w:rPr>
      </w:pPr>
      <w:r>
        <w:rPr>
          <w:rFonts w:hint="eastAsia" w:ascii="仿宋" w:hAnsi="仿宋" w:eastAsia="仿宋"/>
          <w:color w:val="auto"/>
        </w:rPr>
        <w:t>项目号：</w:t>
      </w:r>
    </w:p>
    <w:p>
      <w:pPr>
        <w:spacing w:line="360" w:lineRule="auto"/>
        <w:ind w:firstLine="438"/>
        <w:rPr>
          <w:rFonts w:ascii="仿宋" w:hAnsi="仿宋" w:eastAsia="仿宋"/>
          <w:color w:val="auto"/>
        </w:rPr>
      </w:pPr>
      <w:r>
        <w:rPr>
          <w:rFonts w:hint="eastAsia" w:ascii="仿宋" w:hAnsi="仿宋" w:eastAsia="仿宋"/>
          <w:color w:val="auto"/>
        </w:rPr>
        <w:t>招标项目名称：</w:t>
      </w:r>
    </w:p>
    <w:tbl>
      <w:tblPr>
        <w:tblStyle w:val="23"/>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
        <w:gridCol w:w="3473"/>
        <w:gridCol w:w="3474"/>
        <w:gridCol w:w="1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922" w:type="dxa"/>
            <w:vAlign w:val="center"/>
          </w:tcPr>
          <w:p>
            <w:pPr>
              <w:ind w:firstLine="0" w:firstLineChars="0"/>
              <w:jc w:val="center"/>
              <w:rPr>
                <w:rFonts w:ascii="仿宋" w:hAnsi="仿宋" w:eastAsia="仿宋"/>
                <w:color w:val="auto"/>
                <w:szCs w:val="22"/>
              </w:rPr>
            </w:pPr>
            <w:r>
              <w:rPr>
                <w:rFonts w:hint="eastAsia" w:ascii="仿宋" w:hAnsi="仿宋" w:eastAsia="仿宋"/>
                <w:color w:val="auto"/>
                <w:szCs w:val="22"/>
              </w:rPr>
              <w:t>序号</w:t>
            </w:r>
          </w:p>
        </w:tc>
        <w:tc>
          <w:tcPr>
            <w:tcW w:w="3473" w:type="dxa"/>
            <w:vAlign w:val="center"/>
          </w:tcPr>
          <w:p>
            <w:pPr>
              <w:ind w:firstLine="0" w:firstLineChars="0"/>
              <w:jc w:val="center"/>
              <w:rPr>
                <w:rFonts w:ascii="仿宋" w:hAnsi="仿宋" w:eastAsia="仿宋"/>
                <w:color w:val="auto"/>
                <w:szCs w:val="22"/>
              </w:rPr>
            </w:pPr>
            <w:r>
              <w:rPr>
                <w:rFonts w:hint="eastAsia" w:ascii="仿宋" w:hAnsi="仿宋" w:eastAsia="仿宋"/>
                <w:color w:val="auto"/>
                <w:szCs w:val="22"/>
              </w:rPr>
              <w:t>招标商务要求</w:t>
            </w:r>
          </w:p>
        </w:tc>
        <w:tc>
          <w:tcPr>
            <w:tcW w:w="3474" w:type="dxa"/>
            <w:vAlign w:val="center"/>
          </w:tcPr>
          <w:p>
            <w:pPr>
              <w:ind w:firstLine="0" w:firstLineChars="0"/>
              <w:jc w:val="center"/>
              <w:rPr>
                <w:rFonts w:ascii="仿宋" w:hAnsi="仿宋" w:eastAsia="仿宋"/>
                <w:color w:val="auto"/>
                <w:szCs w:val="22"/>
              </w:rPr>
            </w:pPr>
            <w:r>
              <w:rPr>
                <w:rFonts w:hint="eastAsia" w:ascii="仿宋" w:hAnsi="仿宋" w:eastAsia="仿宋"/>
                <w:color w:val="auto"/>
                <w:szCs w:val="22"/>
              </w:rPr>
              <w:t>投标商务应答</w:t>
            </w:r>
          </w:p>
        </w:tc>
        <w:tc>
          <w:tcPr>
            <w:tcW w:w="1419" w:type="dxa"/>
            <w:vAlign w:val="center"/>
          </w:tcPr>
          <w:p>
            <w:pPr>
              <w:ind w:firstLine="0" w:firstLineChars="0"/>
              <w:jc w:val="center"/>
              <w:rPr>
                <w:rFonts w:ascii="仿宋" w:hAnsi="仿宋" w:eastAsia="仿宋"/>
                <w:color w:val="auto"/>
                <w:szCs w:val="22"/>
              </w:rPr>
            </w:pPr>
            <w:r>
              <w:rPr>
                <w:rFonts w:hint="eastAsia" w:ascii="仿宋" w:hAnsi="仿宋" w:eastAsia="仿宋"/>
                <w:color w:val="auto"/>
                <w:szCs w:val="22"/>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922" w:type="dxa"/>
            <w:vAlign w:val="center"/>
          </w:tcPr>
          <w:p>
            <w:pPr>
              <w:ind w:firstLine="0" w:firstLineChars="0"/>
              <w:jc w:val="center"/>
              <w:rPr>
                <w:rFonts w:ascii="仿宋" w:hAnsi="仿宋" w:eastAsia="仿宋"/>
                <w:color w:val="auto"/>
                <w:szCs w:val="22"/>
              </w:rPr>
            </w:pPr>
          </w:p>
        </w:tc>
        <w:tc>
          <w:tcPr>
            <w:tcW w:w="3473" w:type="dxa"/>
            <w:vAlign w:val="center"/>
          </w:tcPr>
          <w:p>
            <w:pPr>
              <w:ind w:firstLine="0" w:firstLineChars="0"/>
              <w:jc w:val="center"/>
              <w:rPr>
                <w:rFonts w:ascii="仿宋" w:hAnsi="仿宋" w:eastAsia="仿宋"/>
                <w:color w:val="auto"/>
                <w:szCs w:val="22"/>
              </w:rPr>
            </w:pPr>
          </w:p>
        </w:tc>
        <w:tc>
          <w:tcPr>
            <w:tcW w:w="3474" w:type="dxa"/>
            <w:vAlign w:val="center"/>
          </w:tcPr>
          <w:p>
            <w:pPr>
              <w:ind w:firstLine="0" w:firstLineChars="0"/>
              <w:jc w:val="center"/>
              <w:rPr>
                <w:rFonts w:ascii="仿宋" w:hAnsi="仿宋" w:eastAsia="方正仿宋_GBK"/>
                <w:color w:val="auto"/>
                <w:szCs w:val="22"/>
              </w:rPr>
            </w:pPr>
            <w:r>
              <w:rPr>
                <w:rFonts w:ascii="方正仿宋_GBK" w:hAnsi="仿宋" w:eastAsia="方正仿宋_GBK"/>
                <w:color w:val="auto"/>
                <w:sz w:val="21"/>
                <w:szCs w:val="21"/>
              </w:rPr>
              <w:t>提醒</w:t>
            </w:r>
            <w:r>
              <w:rPr>
                <w:rFonts w:hint="eastAsia" w:ascii="方正仿宋_GBK" w:hAnsi="仿宋" w:eastAsia="方正仿宋_GBK"/>
                <w:color w:val="auto"/>
                <w:sz w:val="21"/>
                <w:szCs w:val="21"/>
              </w:rPr>
              <w:t>：</w:t>
            </w:r>
            <w:r>
              <w:rPr>
                <w:rFonts w:ascii="方正仿宋_GBK" w:hAnsi="仿宋" w:eastAsia="方正仿宋_GBK"/>
                <w:color w:val="auto"/>
                <w:sz w:val="21"/>
                <w:szCs w:val="21"/>
              </w:rPr>
              <w:t>请注明具体内容以及</w:t>
            </w:r>
            <w:r>
              <w:rPr>
                <w:rFonts w:hint="eastAsia" w:ascii="方正仿宋_GBK" w:hAnsi="仿宋" w:eastAsia="方正仿宋_GBK"/>
                <w:color w:val="auto"/>
                <w:sz w:val="21"/>
                <w:szCs w:val="21"/>
              </w:rPr>
              <w:t>投标文件</w:t>
            </w:r>
            <w:r>
              <w:rPr>
                <w:rFonts w:ascii="方正仿宋_GBK" w:hAnsi="仿宋" w:eastAsia="方正仿宋_GBK"/>
                <w:color w:val="auto"/>
                <w:sz w:val="21"/>
                <w:szCs w:val="21"/>
              </w:rPr>
              <w:t>中</w:t>
            </w:r>
            <w:r>
              <w:rPr>
                <w:rFonts w:hint="eastAsia" w:ascii="方正仿宋_GBK" w:hAnsi="仿宋" w:eastAsia="方正仿宋_GBK"/>
                <w:color w:val="auto"/>
                <w:sz w:val="21"/>
                <w:szCs w:val="21"/>
              </w:rPr>
              <w:t>具体</w:t>
            </w:r>
            <w:r>
              <w:rPr>
                <w:rFonts w:ascii="方正仿宋_GBK" w:hAnsi="仿宋" w:eastAsia="方正仿宋_GBK"/>
                <w:color w:val="auto"/>
                <w:sz w:val="21"/>
                <w:szCs w:val="21"/>
              </w:rPr>
              <w:t>内容</w:t>
            </w:r>
            <w:r>
              <w:rPr>
                <w:rFonts w:hint="eastAsia" w:ascii="方正仿宋_GBK" w:hAnsi="仿宋" w:eastAsia="方正仿宋_GBK"/>
                <w:color w:val="auto"/>
                <w:sz w:val="21"/>
                <w:szCs w:val="21"/>
              </w:rPr>
              <w:t>的</w:t>
            </w:r>
            <w:r>
              <w:rPr>
                <w:rFonts w:ascii="方正仿宋_GBK" w:hAnsi="仿宋" w:eastAsia="方正仿宋_GBK"/>
                <w:color w:val="auto"/>
                <w:sz w:val="21"/>
                <w:szCs w:val="21"/>
              </w:rPr>
              <w:t>位置（</w:t>
            </w:r>
            <w:r>
              <w:rPr>
                <w:rFonts w:hint="eastAsia" w:ascii="方正仿宋_GBK" w:hAnsi="仿宋" w:eastAsia="方正仿宋_GBK"/>
                <w:color w:val="auto"/>
                <w:sz w:val="21"/>
                <w:szCs w:val="21"/>
              </w:rPr>
              <w:t>页码</w:t>
            </w:r>
            <w:r>
              <w:rPr>
                <w:rFonts w:ascii="方正仿宋_GBK" w:hAnsi="仿宋" w:eastAsia="方正仿宋_GBK"/>
                <w:color w:val="auto"/>
                <w:sz w:val="21"/>
                <w:szCs w:val="21"/>
              </w:rPr>
              <w:t>）</w:t>
            </w:r>
          </w:p>
        </w:tc>
        <w:tc>
          <w:tcPr>
            <w:tcW w:w="1419" w:type="dxa"/>
            <w:vAlign w:val="center"/>
          </w:tcPr>
          <w:p>
            <w:pPr>
              <w:ind w:firstLine="0" w:firstLineChars="0"/>
              <w:jc w:val="center"/>
              <w:rPr>
                <w:rFonts w:ascii="仿宋" w:hAnsi="仿宋" w:eastAsia="仿宋"/>
                <w:color w:val="auto"/>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922" w:type="dxa"/>
            <w:vAlign w:val="center"/>
          </w:tcPr>
          <w:p>
            <w:pPr>
              <w:ind w:firstLine="0" w:firstLineChars="0"/>
              <w:jc w:val="center"/>
              <w:rPr>
                <w:rFonts w:ascii="仿宋" w:hAnsi="仿宋" w:eastAsia="仿宋"/>
                <w:color w:val="auto"/>
                <w:szCs w:val="22"/>
              </w:rPr>
            </w:pPr>
          </w:p>
        </w:tc>
        <w:tc>
          <w:tcPr>
            <w:tcW w:w="3473" w:type="dxa"/>
            <w:vAlign w:val="center"/>
          </w:tcPr>
          <w:p>
            <w:pPr>
              <w:ind w:firstLine="0" w:firstLineChars="0"/>
              <w:jc w:val="center"/>
              <w:rPr>
                <w:rFonts w:ascii="仿宋" w:hAnsi="仿宋" w:eastAsia="仿宋"/>
                <w:color w:val="auto"/>
                <w:szCs w:val="22"/>
              </w:rPr>
            </w:pPr>
          </w:p>
        </w:tc>
        <w:tc>
          <w:tcPr>
            <w:tcW w:w="3474" w:type="dxa"/>
            <w:vAlign w:val="center"/>
          </w:tcPr>
          <w:p>
            <w:pPr>
              <w:ind w:firstLine="0" w:firstLineChars="0"/>
              <w:jc w:val="center"/>
              <w:rPr>
                <w:rFonts w:ascii="仿宋" w:hAnsi="仿宋" w:eastAsia="仿宋"/>
                <w:color w:val="auto"/>
                <w:szCs w:val="22"/>
              </w:rPr>
            </w:pPr>
          </w:p>
        </w:tc>
        <w:tc>
          <w:tcPr>
            <w:tcW w:w="1419" w:type="dxa"/>
            <w:vAlign w:val="center"/>
          </w:tcPr>
          <w:p>
            <w:pPr>
              <w:ind w:firstLine="0" w:firstLineChars="0"/>
              <w:jc w:val="center"/>
              <w:rPr>
                <w:rFonts w:ascii="仿宋" w:hAnsi="仿宋" w:eastAsia="仿宋"/>
                <w:color w:val="auto"/>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922" w:type="dxa"/>
            <w:vAlign w:val="center"/>
          </w:tcPr>
          <w:p>
            <w:pPr>
              <w:ind w:firstLine="0" w:firstLineChars="0"/>
              <w:jc w:val="center"/>
              <w:rPr>
                <w:rFonts w:ascii="仿宋" w:hAnsi="仿宋" w:eastAsia="仿宋"/>
                <w:color w:val="auto"/>
                <w:szCs w:val="22"/>
              </w:rPr>
            </w:pPr>
          </w:p>
        </w:tc>
        <w:tc>
          <w:tcPr>
            <w:tcW w:w="3473" w:type="dxa"/>
            <w:vAlign w:val="center"/>
          </w:tcPr>
          <w:p>
            <w:pPr>
              <w:ind w:firstLine="0" w:firstLineChars="0"/>
              <w:jc w:val="center"/>
              <w:rPr>
                <w:rFonts w:ascii="仿宋" w:hAnsi="仿宋" w:eastAsia="仿宋"/>
                <w:color w:val="auto"/>
                <w:szCs w:val="22"/>
              </w:rPr>
            </w:pPr>
          </w:p>
        </w:tc>
        <w:tc>
          <w:tcPr>
            <w:tcW w:w="3474" w:type="dxa"/>
            <w:vAlign w:val="center"/>
          </w:tcPr>
          <w:p>
            <w:pPr>
              <w:ind w:firstLine="0" w:firstLineChars="0"/>
              <w:jc w:val="center"/>
              <w:rPr>
                <w:rFonts w:ascii="仿宋" w:hAnsi="仿宋" w:eastAsia="仿宋"/>
                <w:color w:val="auto"/>
                <w:szCs w:val="22"/>
              </w:rPr>
            </w:pPr>
          </w:p>
        </w:tc>
        <w:tc>
          <w:tcPr>
            <w:tcW w:w="1419" w:type="dxa"/>
            <w:vAlign w:val="center"/>
          </w:tcPr>
          <w:p>
            <w:pPr>
              <w:ind w:firstLine="0" w:firstLineChars="0"/>
              <w:jc w:val="center"/>
              <w:rPr>
                <w:rFonts w:ascii="仿宋" w:hAnsi="仿宋" w:eastAsia="仿宋"/>
                <w:color w:val="auto"/>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922" w:type="dxa"/>
            <w:vAlign w:val="center"/>
          </w:tcPr>
          <w:p>
            <w:pPr>
              <w:ind w:firstLine="0" w:firstLineChars="0"/>
              <w:jc w:val="center"/>
              <w:rPr>
                <w:rFonts w:ascii="仿宋" w:hAnsi="仿宋" w:eastAsia="仿宋"/>
                <w:color w:val="auto"/>
                <w:szCs w:val="22"/>
              </w:rPr>
            </w:pPr>
          </w:p>
        </w:tc>
        <w:tc>
          <w:tcPr>
            <w:tcW w:w="3473" w:type="dxa"/>
            <w:vAlign w:val="center"/>
          </w:tcPr>
          <w:p>
            <w:pPr>
              <w:ind w:firstLine="0" w:firstLineChars="0"/>
              <w:jc w:val="center"/>
              <w:rPr>
                <w:rFonts w:ascii="仿宋" w:hAnsi="仿宋" w:eastAsia="仿宋"/>
                <w:color w:val="auto"/>
                <w:szCs w:val="22"/>
              </w:rPr>
            </w:pPr>
          </w:p>
        </w:tc>
        <w:tc>
          <w:tcPr>
            <w:tcW w:w="3474" w:type="dxa"/>
            <w:vAlign w:val="center"/>
          </w:tcPr>
          <w:p>
            <w:pPr>
              <w:ind w:firstLine="0" w:firstLineChars="0"/>
              <w:jc w:val="center"/>
              <w:rPr>
                <w:rFonts w:ascii="仿宋" w:hAnsi="仿宋" w:eastAsia="仿宋"/>
                <w:color w:val="auto"/>
                <w:szCs w:val="22"/>
              </w:rPr>
            </w:pPr>
          </w:p>
        </w:tc>
        <w:tc>
          <w:tcPr>
            <w:tcW w:w="1419" w:type="dxa"/>
            <w:vAlign w:val="center"/>
          </w:tcPr>
          <w:p>
            <w:pPr>
              <w:ind w:firstLine="0" w:firstLineChars="0"/>
              <w:jc w:val="center"/>
              <w:rPr>
                <w:rFonts w:ascii="仿宋" w:hAnsi="仿宋" w:eastAsia="仿宋"/>
                <w:color w:val="auto"/>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922" w:type="dxa"/>
            <w:vAlign w:val="center"/>
          </w:tcPr>
          <w:p>
            <w:pPr>
              <w:ind w:firstLine="0" w:firstLineChars="0"/>
              <w:jc w:val="center"/>
              <w:rPr>
                <w:rFonts w:ascii="仿宋" w:hAnsi="仿宋" w:eastAsia="仿宋"/>
                <w:color w:val="auto"/>
                <w:szCs w:val="22"/>
              </w:rPr>
            </w:pPr>
          </w:p>
        </w:tc>
        <w:tc>
          <w:tcPr>
            <w:tcW w:w="3473" w:type="dxa"/>
            <w:vAlign w:val="center"/>
          </w:tcPr>
          <w:p>
            <w:pPr>
              <w:ind w:firstLine="0" w:firstLineChars="0"/>
              <w:jc w:val="center"/>
              <w:rPr>
                <w:rFonts w:ascii="仿宋" w:hAnsi="仿宋" w:eastAsia="仿宋"/>
                <w:color w:val="auto"/>
                <w:szCs w:val="22"/>
              </w:rPr>
            </w:pPr>
          </w:p>
        </w:tc>
        <w:tc>
          <w:tcPr>
            <w:tcW w:w="3474" w:type="dxa"/>
            <w:vAlign w:val="center"/>
          </w:tcPr>
          <w:p>
            <w:pPr>
              <w:ind w:firstLine="0" w:firstLineChars="0"/>
              <w:jc w:val="center"/>
              <w:rPr>
                <w:rFonts w:ascii="仿宋" w:hAnsi="仿宋" w:eastAsia="仿宋"/>
                <w:color w:val="auto"/>
                <w:szCs w:val="22"/>
              </w:rPr>
            </w:pPr>
          </w:p>
        </w:tc>
        <w:tc>
          <w:tcPr>
            <w:tcW w:w="1419" w:type="dxa"/>
            <w:vAlign w:val="center"/>
          </w:tcPr>
          <w:p>
            <w:pPr>
              <w:ind w:firstLine="0" w:firstLineChars="0"/>
              <w:jc w:val="center"/>
              <w:rPr>
                <w:rFonts w:ascii="仿宋" w:hAnsi="仿宋" w:eastAsia="仿宋"/>
                <w:color w:val="auto"/>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922" w:type="dxa"/>
            <w:vAlign w:val="center"/>
          </w:tcPr>
          <w:p>
            <w:pPr>
              <w:ind w:firstLine="0" w:firstLineChars="0"/>
              <w:jc w:val="center"/>
              <w:rPr>
                <w:rFonts w:ascii="仿宋" w:hAnsi="仿宋" w:eastAsia="仿宋"/>
                <w:color w:val="auto"/>
                <w:szCs w:val="22"/>
              </w:rPr>
            </w:pPr>
          </w:p>
        </w:tc>
        <w:tc>
          <w:tcPr>
            <w:tcW w:w="3473" w:type="dxa"/>
            <w:vAlign w:val="center"/>
          </w:tcPr>
          <w:p>
            <w:pPr>
              <w:ind w:firstLine="0" w:firstLineChars="0"/>
              <w:jc w:val="center"/>
              <w:rPr>
                <w:rFonts w:ascii="仿宋" w:hAnsi="仿宋" w:eastAsia="仿宋"/>
                <w:color w:val="auto"/>
                <w:szCs w:val="22"/>
              </w:rPr>
            </w:pPr>
          </w:p>
        </w:tc>
        <w:tc>
          <w:tcPr>
            <w:tcW w:w="3474" w:type="dxa"/>
            <w:vAlign w:val="center"/>
          </w:tcPr>
          <w:p>
            <w:pPr>
              <w:ind w:firstLine="0" w:firstLineChars="0"/>
              <w:jc w:val="center"/>
              <w:rPr>
                <w:rFonts w:ascii="仿宋" w:hAnsi="仿宋" w:eastAsia="仿宋"/>
                <w:color w:val="auto"/>
                <w:szCs w:val="22"/>
              </w:rPr>
            </w:pPr>
          </w:p>
        </w:tc>
        <w:tc>
          <w:tcPr>
            <w:tcW w:w="1419" w:type="dxa"/>
            <w:vAlign w:val="center"/>
          </w:tcPr>
          <w:p>
            <w:pPr>
              <w:ind w:firstLine="0" w:firstLineChars="0"/>
              <w:jc w:val="center"/>
              <w:rPr>
                <w:rFonts w:ascii="仿宋" w:hAnsi="仿宋" w:eastAsia="仿宋"/>
                <w:color w:val="auto"/>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922" w:type="dxa"/>
            <w:vAlign w:val="center"/>
          </w:tcPr>
          <w:p>
            <w:pPr>
              <w:ind w:firstLine="0" w:firstLineChars="0"/>
              <w:jc w:val="center"/>
              <w:rPr>
                <w:rFonts w:ascii="仿宋" w:hAnsi="仿宋" w:eastAsia="仿宋"/>
                <w:color w:val="auto"/>
                <w:szCs w:val="22"/>
              </w:rPr>
            </w:pPr>
          </w:p>
        </w:tc>
        <w:tc>
          <w:tcPr>
            <w:tcW w:w="3473" w:type="dxa"/>
            <w:vAlign w:val="center"/>
          </w:tcPr>
          <w:p>
            <w:pPr>
              <w:ind w:firstLine="0" w:firstLineChars="0"/>
              <w:jc w:val="center"/>
              <w:rPr>
                <w:rFonts w:ascii="仿宋" w:hAnsi="仿宋" w:eastAsia="仿宋"/>
                <w:color w:val="auto"/>
                <w:szCs w:val="22"/>
              </w:rPr>
            </w:pPr>
          </w:p>
        </w:tc>
        <w:tc>
          <w:tcPr>
            <w:tcW w:w="3474" w:type="dxa"/>
            <w:vAlign w:val="center"/>
          </w:tcPr>
          <w:p>
            <w:pPr>
              <w:ind w:firstLine="0" w:firstLineChars="0"/>
              <w:jc w:val="center"/>
              <w:rPr>
                <w:rFonts w:ascii="仿宋" w:hAnsi="仿宋" w:eastAsia="仿宋"/>
                <w:color w:val="auto"/>
                <w:szCs w:val="22"/>
              </w:rPr>
            </w:pPr>
          </w:p>
        </w:tc>
        <w:tc>
          <w:tcPr>
            <w:tcW w:w="1419" w:type="dxa"/>
            <w:vAlign w:val="center"/>
          </w:tcPr>
          <w:p>
            <w:pPr>
              <w:ind w:firstLine="0" w:firstLineChars="0"/>
              <w:jc w:val="center"/>
              <w:rPr>
                <w:rFonts w:ascii="仿宋" w:hAnsi="仿宋" w:eastAsia="仿宋"/>
                <w:color w:val="auto"/>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922" w:type="dxa"/>
            <w:vAlign w:val="center"/>
          </w:tcPr>
          <w:p>
            <w:pPr>
              <w:ind w:firstLine="0" w:firstLineChars="0"/>
              <w:jc w:val="center"/>
              <w:rPr>
                <w:rFonts w:ascii="仿宋" w:hAnsi="仿宋" w:eastAsia="仿宋"/>
                <w:color w:val="auto"/>
                <w:szCs w:val="22"/>
              </w:rPr>
            </w:pPr>
          </w:p>
        </w:tc>
        <w:tc>
          <w:tcPr>
            <w:tcW w:w="3473" w:type="dxa"/>
            <w:vAlign w:val="center"/>
          </w:tcPr>
          <w:p>
            <w:pPr>
              <w:ind w:firstLine="0" w:firstLineChars="0"/>
              <w:jc w:val="center"/>
              <w:rPr>
                <w:rFonts w:ascii="仿宋" w:hAnsi="仿宋" w:eastAsia="仿宋"/>
                <w:color w:val="auto"/>
                <w:szCs w:val="22"/>
              </w:rPr>
            </w:pPr>
          </w:p>
        </w:tc>
        <w:tc>
          <w:tcPr>
            <w:tcW w:w="3474" w:type="dxa"/>
            <w:vAlign w:val="center"/>
          </w:tcPr>
          <w:p>
            <w:pPr>
              <w:ind w:firstLine="0" w:firstLineChars="0"/>
              <w:jc w:val="center"/>
              <w:rPr>
                <w:rFonts w:ascii="仿宋" w:hAnsi="仿宋" w:eastAsia="仿宋"/>
                <w:color w:val="auto"/>
                <w:szCs w:val="22"/>
              </w:rPr>
            </w:pPr>
          </w:p>
        </w:tc>
        <w:tc>
          <w:tcPr>
            <w:tcW w:w="1419" w:type="dxa"/>
            <w:vAlign w:val="center"/>
          </w:tcPr>
          <w:p>
            <w:pPr>
              <w:ind w:firstLine="0" w:firstLineChars="0"/>
              <w:jc w:val="center"/>
              <w:rPr>
                <w:rFonts w:ascii="仿宋" w:hAnsi="仿宋" w:eastAsia="仿宋"/>
                <w:color w:val="auto"/>
                <w:szCs w:val="22"/>
              </w:rPr>
            </w:pPr>
          </w:p>
        </w:tc>
      </w:tr>
    </w:tbl>
    <w:p>
      <w:pPr>
        <w:ind w:firstLine="1095" w:firstLineChars="500"/>
        <w:rPr>
          <w:rFonts w:ascii="仿宋" w:hAnsi="仿宋" w:eastAsia="仿宋"/>
          <w:color w:val="auto"/>
        </w:rPr>
      </w:pPr>
      <w:r>
        <w:rPr>
          <w:rFonts w:hint="eastAsia" w:ascii="仿宋" w:hAnsi="仿宋" w:eastAsia="仿宋"/>
          <w:color w:val="auto"/>
        </w:rPr>
        <w:t>投标人：                      法定代表人（或法定代表人授权代表）或自然人：</w:t>
      </w:r>
    </w:p>
    <w:p>
      <w:pPr>
        <w:ind w:firstLine="876" w:firstLineChars="400"/>
        <w:rPr>
          <w:rFonts w:ascii="仿宋" w:hAnsi="仿宋" w:eastAsia="仿宋"/>
          <w:color w:val="auto"/>
        </w:rPr>
      </w:pPr>
      <w:r>
        <w:rPr>
          <w:rFonts w:hint="eastAsia" w:ascii="仿宋" w:hAnsi="仿宋" w:eastAsia="仿宋"/>
          <w:color w:val="auto"/>
        </w:rPr>
        <w:t>（投标人公章）</w:t>
      </w:r>
      <w:r>
        <w:rPr>
          <w:rFonts w:hint="eastAsia" w:ascii="仿宋" w:hAnsi="仿宋" w:eastAsia="仿宋"/>
          <w:color w:val="auto"/>
        </w:rPr>
        <w:tab/>
      </w:r>
      <w:r>
        <w:rPr>
          <w:rFonts w:hint="eastAsia" w:ascii="仿宋" w:hAnsi="仿宋" w:eastAsia="仿宋"/>
          <w:color w:val="auto"/>
        </w:rPr>
        <w:tab/>
      </w:r>
      <w:r>
        <w:rPr>
          <w:rFonts w:hint="eastAsia" w:ascii="仿宋" w:hAnsi="仿宋" w:eastAsia="仿宋"/>
          <w:color w:val="auto"/>
        </w:rPr>
        <w:tab/>
      </w:r>
      <w:r>
        <w:rPr>
          <w:rFonts w:hint="eastAsia" w:ascii="仿宋" w:hAnsi="仿宋" w:eastAsia="仿宋"/>
          <w:color w:val="auto"/>
        </w:rPr>
        <w:tab/>
      </w:r>
      <w:r>
        <w:rPr>
          <w:rFonts w:hint="eastAsia" w:ascii="仿宋" w:hAnsi="仿宋" w:eastAsia="仿宋"/>
          <w:color w:val="auto"/>
        </w:rPr>
        <w:tab/>
      </w:r>
      <w:r>
        <w:rPr>
          <w:rFonts w:hint="eastAsia" w:ascii="仿宋" w:hAnsi="仿宋" w:eastAsia="仿宋"/>
          <w:color w:val="auto"/>
        </w:rPr>
        <w:tab/>
      </w:r>
      <w:r>
        <w:rPr>
          <w:rFonts w:hint="eastAsia" w:ascii="仿宋" w:hAnsi="仿宋" w:eastAsia="仿宋"/>
          <w:color w:val="auto"/>
        </w:rPr>
        <w:tab/>
      </w:r>
      <w:r>
        <w:rPr>
          <w:rFonts w:hint="eastAsia" w:ascii="仿宋" w:hAnsi="仿宋" w:eastAsia="仿宋"/>
          <w:color w:val="auto"/>
        </w:rPr>
        <w:tab/>
      </w:r>
      <w:r>
        <w:rPr>
          <w:rFonts w:hint="eastAsia" w:ascii="仿宋" w:hAnsi="仿宋" w:eastAsia="仿宋"/>
          <w:color w:val="auto"/>
        </w:rPr>
        <w:tab/>
      </w:r>
      <w:r>
        <w:rPr>
          <w:rFonts w:hint="eastAsia" w:ascii="仿宋" w:hAnsi="仿宋" w:eastAsia="仿宋"/>
          <w:color w:val="auto"/>
        </w:rPr>
        <w:tab/>
      </w:r>
      <w:r>
        <w:rPr>
          <w:rFonts w:hint="eastAsia" w:ascii="仿宋" w:hAnsi="仿宋" w:eastAsia="仿宋"/>
          <w:color w:val="auto"/>
        </w:rPr>
        <w:t>（签署或盖章）</w:t>
      </w:r>
    </w:p>
    <w:p>
      <w:pPr>
        <w:ind w:firstLine="438"/>
        <w:rPr>
          <w:rFonts w:ascii="仿宋" w:hAnsi="仿宋" w:eastAsia="仿宋"/>
          <w:color w:val="auto"/>
        </w:rPr>
      </w:pPr>
    </w:p>
    <w:p>
      <w:pPr>
        <w:wordWrap w:val="0"/>
        <w:ind w:right="764" w:rightChars="349" w:firstLine="6132" w:firstLineChars="2800"/>
        <w:jc w:val="right"/>
        <w:rPr>
          <w:rFonts w:ascii="仿宋" w:hAnsi="仿宋" w:eastAsia="仿宋"/>
          <w:color w:val="auto"/>
        </w:rPr>
      </w:pPr>
      <w:r>
        <w:rPr>
          <w:rFonts w:hint="eastAsia" w:ascii="仿宋" w:hAnsi="仿宋" w:eastAsia="仿宋"/>
          <w:color w:val="auto"/>
        </w:rPr>
        <w:t>年   月   日</w:t>
      </w:r>
    </w:p>
    <w:p>
      <w:pPr>
        <w:ind w:firstLine="0" w:firstLineChars="0"/>
        <w:rPr>
          <w:rFonts w:ascii="仿宋" w:hAnsi="仿宋" w:eastAsia="仿宋"/>
          <w:color w:val="auto"/>
        </w:rPr>
      </w:pPr>
    </w:p>
    <w:p>
      <w:pPr>
        <w:ind w:firstLine="438"/>
        <w:rPr>
          <w:rFonts w:ascii="仿宋" w:hAnsi="仿宋" w:eastAsia="仿宋"/>
          <w:color w:val="auto"/>
        </w:rPr>
      </w:pPr>
      <w:r>
        <w:rPr>
          <w:rFonts w:hint="eastAsia" w:ascii="仿宋" w:hAnsi="仿宋" w:eastAsia="仿宋"/>
          <w:color w:val="auto"/>
        </w:rPr>
        <w:t>注：</w:t>
      </w:r>
    </w:p>
    <w:p>
      <w:pPr>
        <w:numPr>
          <w:ilvl w:val="0"/>
          <w:numId w:val="4"/>
        </w:numPr>
        <w:ind w:firstLine="438"/>
        <w:rPr>
          <w:rFonts w:ascii="仿宋" w:hAnsi="仿宋" w:eastAsia="仿宋"/>
          <w:color w:val="auto"/>
        </w:rPr>
      </w:pPr>
      <w:r>
        <w:rPr>
          <w:rFonts w:hint="eastAsia" w:ascii="仿宋" w:hAnsi="仿宋" w:eastAsia="仿宋"/>
          <w:color w:val="auto"/>
        </w:rPr>
        <w:t>本表即为对本项目“第三篇 项目商务需求”中所列条款进行比较和响应；应逐条如实填写，“投标商务应答”中必须列出具体数值或内容。如投标人未应答或只注明“符合”、“满足”等类似无具体数值或内容的表述，视为不满足相应条款；</w:t>
      </w:r>
    </w:p>
    <w:p>
      <w:pPr>
        <w:numPr>
          <w:ilvl w:val="0"/>
          <w:numId w:val="4"/>
        </w:numPr>
        <w:ind w:firstLine="438"/>
        <w:rPr>
          <w:rFonts w:ascii="仿宋" w:hAnsi="仿宋" w:eastAsia="仿宋"/>
          <w:color w:val="auto"/>
          <w:szCs w:val="22"/>
        </w:rPr>
      </w:pPr>
      <w:r>
        <w:rPr>
          <w:rFonts w:hint="eastAsia" w:ascii="仿宋" w:hAnsi="仿宋" w:eastAsia="仿宋"/>
          <w:color w:val="auto"/>
          <w:szCs w:val="22"/>
        </w:rPr>
        <w:t>本表可扩展。</w:t>
      </w:r>
    </w:p>
    <w:p>
      <w:pPr>
        <w:ind w:firstLine="438"/>
        <w:rPr>
          <w:rFonts w:ascii="仿宋" w:hAnsi="仿宋" w:eastAsia="仿宋"/>
          <w:color w:val="auto"/>
        </w:rPr>
      </w:pPr>
      <w:r>
        <w:rPr>
          <w:rFonts w:hint="eastAsia" w:ascii="仿宋" w:hAnsi="仿宋" w:eastAsia="仿宋"/>
          <w:color w:val="auto"/>
        </w:rPr>
        <w:t>3.该表必须按照招标文件要求逐条如实填写，根据投标情况在“差异说明”项填写正偏离或负偏离及原因，完全符合的填写“无差异”。</w:t>
      </w:r>
    </w:p>
    <w:p>
      <w:pPr>
        <w:ind w:firstLine="438"/>
        <w:rPr>
          <w:rFonts w:ascii="仿宋" w:hAnsi="仿宋" w:eastAsia="仿宋"/>
          <w:color w:val="auto"/>
        </w:rPr>
      </w:pPr>
      <w:r>
        <w:rPr>
          <w:rFonts w:hint="eastAsia" w:ascii="仿宋" w:hAnsi="仿宋" w:eastAsia="仿宋"/>
          <w:color w:val="auto"/>
        </w:rPr>
        <w:br w:type="page"/>
      </w:r>
    </w:p>
    <w:p>
      <w:pPr>
        <w:ind w:firstLine="438"/>
        <w:rPr>
          <w:rFonts w:ascii="仿宋" w:hAnsi="仿宋" w:eastAsia="仿宋"/>
          <w:color w:val="auto"/>
          <w:szCs w:val="22"/>
        </w:rPr>
      </w:pPr>
      <w:r>
        <w:rPr>
          <w:rFonts w:hint="eastAsia" w:ascii="仿宋" w:hAnsi="仿宋" w:eastAsia="仿宋"/>
          <w:color w:val="auto"/>
          <w:szCs w:val="22"/>
        </w:rPr>
        <w:t>（三）第三篇所需证明材料（如果有）</w:t>
      </w:r>
    </w:p>
    <w:p>
      <w:pPr>
        <w:ind w:firstLine="438"/>
        <w:rPr>
          <w:rFonts w:ascii="仿宋" w:hAnsi="仿宋" w:eastAsia="仿宋"/>
          <w:color w:val="auto"/>
          <w:szCs w:val="22"/>
        </w:rPr>
      </w:pPr>
    </w:p>
    <w:p>
      <w:pPr>
        <w:ind w:firstLine="438"/>
        <w:rPr>
          <w:rFonts w:ascii="仿宋" w:hAnsi="仿宋" w:eastAsia="仿宋"/>
          <w:color w:val="auto"/>
          <w:szCs w:val="22"/>
        </w:rPr>
      </w:pPr>
      <w:r>
        <w:rPr>
          <w:rFonts w:hint="eastAsia" w:ascii="仿宋" w:hAnsi="仿宋" w:eastAsia="仿宋"/>
          <w:color w:val="auto"/>
          <w:szCs w:val="22"/>
        </w:rPr>
        <w:t>（四）第四篇评审因素商务部分所需证明材料</w:t>
      </w:r>
    </w:p>
    <w:p>
      <w:pPr>
        <w:ind w:firstLine="438"/>
        <w:rPr>
          <w:rFonts w:ascii="仿宋" w:hAnsi="仿宋" w:eastAsia="仿宋"/>
          <w:color w:val="auto"/>
          <w:szCs w:val="22"/>
        </w:rPr>
      </w:pPr>
    </w:p>
    <w:p>
      <w:pPr>
        <w:ind w:firstLine="438"/>
        <w:rPr>
          <w:rFonts w:ascii="仿宋" w:hAnsi="仿宋" w:eastAsia="仿宋"/>
          <w:color w:val="auto"/>
          <w:szCs w:val="22"/>
        </w:rPr>
      </w:pPr>
      <w:r>
        <w:rPr>
          <w:rFonts w:hint="eastAsia" w:ascii="仿宋" w:hAnsi="仿宋" w:eastAsia="仿宋"/>
          <w:color w:val="auto"/>
          <w:szCs w:val="22"/>
        </w:rPr>
        <w:t>（五）其他商务资料</w:t>
      </w:r>
    </w:p>
    <w:p>
      <w:pPr>
        <w:ind w:firstLine="438"/>
        <w:rPr>
          <w:rFonts w:ascii="仿宋" w:hAnsi="仿宋" w:eastAsia="仿宋"/>
          <w:color w:val="auto"/>
          <w:szCs w:val="22"/>
        </w:rPr>
        <w:sectPr>
          <w:pgSz w:w="11907" w:h="16840"/>
          <w:pgMar w:top="1134" w:right="1191" w:bottom="1134" w:left="1304" w:header="794" w:footer="992" w:gutter="0"/>
          <w:cols w:space="720" w:num="1"/>
          <w:docGrid w:type="linesAndChars" w:linePitch="393" w:charSpace="-4325"/>
        </w:sectPr>
      </w:pPr>
    </w:p>
    <w:p>
      <w:pPr>
        <w:pStyle w:val="4"/>
        <w:spacing w:before="120" w:after="120"/>
        <w:ind w:firstLine="562"/>
        <w:rPr>
          <w:rFonts w:ascii="仿宋" w:hAnsi="仿宋" w:eastAsia="仿宋"/>
          <w:color w:val="auto"/>
        </w:rPr>
      </w:pPr>
      <w:bookmarkStart w:id="919" w:name="_Toc1486"/>
      <w:bookmarkStart w:id="920" w:name="_Toc11448"/>
      <w:bookmarkStart w:id="921" w:name="_Toc27066"/>
      <w:bookmarkStart w:id="922" w:name="_Toc12485"/>
      <w:bookmarkStart w:id="923" w:name="_Toc20046"/>
      <w:bookmarkStart w:id="924" w:name="_Toc27624"/>
      <w:bookmarkStart w:id="925" w:name="_Toc22487"/>
      <w:bookmarkStart w:id="926" w:name="_Toc18468"/>
      <w:bookmarkStart w:id="927" w:name="_Toc63600447"/>
      <w:bookmarkStart w:id="928" w:name="_Toc31399"/>
      <w:bookmarkStart w:id="929" w:name="_Toc30170"/>
      <w:bookmarkStart w:id="930" w:name="_Toc24445"/>
      <w:bookmarkStart w:id="931" w:name="_Toc6824"/>
      <w:bookmarkStart w:id="932" w:name="_Toc452628354"/>
      <w:bookmarkStart w:id="933" w:name="_Toc1630"/>
      <w:bookmarkStart w:id="934" w:name="_Toc2818"/>
      <w:r>
        <w:rPr>
          <w:rFonts w:hint="eastAsia" w:ascii="仿宋" w:hAnsi="仿宋" w:eastAsia="仿宋"/>
          <w:color w:val="auto"/>
        </w:rPr>
        <w:t>四、其他</w:t>
      </w:r>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Start w:id="935" w:name="_Toc3706"/>
    </w:p>
    <w:p>
      <w:pPr>
        <w:adjustRightInd w:val="0"/>
        <w:snapToGrid w:val="0"/>
        <w:spacing w:beforeLines="100" w:line="360" w:lineRule="auto"/>
        <w:ind w:firstLine="480"/>
        <w:jc w:val="left"/>
        <w:rPr>
          <w:rFonts w:ascii="仿宋" w:hAnsi="仿宋" w:eastAsia="仿宋"/>
          <w:color w:val="auto"/>
        </w:rPr>
      </w:pPr>
      <w:bookmarkStart w:id="936" w:name="_Hlk70157365"/>
      <w:bookmarkStart w:id="937" w:name="_Hlk63595935"/>
      <w:r>
        <w:rPr>
          <w:rFonts w:hint="eastAsia" w:ascii="仿宋" w:hAnsi="仿宋" w:eastAsia="仿宋"/>
          <w:color w:val="auto"/>
        </w:rPr>
        <w:t>（一）中小企业声明函、监狱企业证明文件、残疾人福利性单位声明函</w:t>
      </w:r>
    </w:p>
    <w:bookmarkEnd w:id="936"/>
    <w:bookmarkEnd w:id="937"/>
    <w:p>
      <w:pPr>
        <w:tabs>
          <w:tab w:val="left" w:pos="6300"/>
        </w:tabs>
        <w:snapToGrid w:val="0"/>
        <w:spacing w:line="500" w:lineRule="exact"/>
        <w:ind w:firstLine="0" w:firstLineChars="0"/>
        <w:jc w:val="center"/>
        <w:rPr>
          <w:rFonts w:ascii="仿宋" w:hAnsi="仿宋" w:eastAsia="仿宋"/>
          <w:color w:val="auto"/>
          <w:sz w:val="28"/>
        </w:rPr>
      </w:pPr>
      <w:r>
        <w:rPr>
          <w:rFonts w:hint="eastAsia" w:ascii="仿宋" w:hAnsi="仿宋" w:eastAsia="仿宋"/>
          <w:color w:val="auto"/>
          <w:sz w:val="28"/>
        </w:rPr>
        <w:t>中小企业声明函（货物类）</w:t>
      </w:r>
    </w:p>
    <w:p>
      <w:pPr>
        <w:tabs>
          <w:tab w:val="left" w:pos="6300"/>
        </w:tabs>
        <w:snapToGrid w:val="0"/>
        <w:spacing w:line="500" w:lineRule="exact"/>
        <w:ind w:firstLine="480"/>
        <w:rPr>
          <w:rFonts w:ascii="仿宋" w:hAnsi="仿宋" w:eastAsia="仿宋"/>
          <w:color w:val="auto"/>
          <w:szCs w:val="28"/>
        </w:rPr>
      </w:pPr>
      <w:r>
        <w:rPr>
          <w:rFonts w:hint="eastAsia" w:ascii="仿宋" w:hAnsi="仿宋" w:eastAsia="仿宋"/>
          <w:color w:val="auto"/>
          <w:szCs w:val="28"/>
        </w:rPr>
        <w:t>本公司（联合体）郑重声明，根据《政府采购促进中小企业发展管理办法》（</w:t>
      </w:r>
      <w:r>
        <w:rPr>
          <w:rFonts w:hint="eastAsia" w:ascii="仿宋" w:hAnsi="仿宋" w:eastAsia="仿宋"/>
          <w:color w:val="auto"/>
          <w:szCs w:val="24"/>
        </w:rPr>
        <w:t>财库〔2020〕46号</w:t>
      </w:r>
      <w:r>
        <w:rPr>
          <w:rFonts w:hint="eastAsia" w:ascii="仿宋" w:hAnsi="仿宋" w:eastAsia="仿宋"/>
          <w:color w:val="auto"/>
          <w:szCs w:val="28"/>
        </w:rPr>
        <w:t>）的规定，本公司（联合体）参加</w:t>
      </w:r>
      <w:r>
        <w:rPr>
          <w:rFonts w:hint="eastAsia" w:ascii="仿宋" w:hAnsi="仿宋" w:eastAsia="仿宋"/>
          <w:i/>
          <w:color w:val="auto"/>
          <w:szCs w:val="28"/>
          <w:u w:val="single"/>
        </w:rPr>
        <w:t>（单位名称）</w:t>
      </w:r>
      <w:r>
        <w:rPr>
          <w:rFonts w:hint="eastAsia" w:ascii="仿宋" w:hAnsi="仿宋" w:eastAsia="仿宋"/>
          <w:color w:val="auto"/>
          <w:szCs w:val="28"/>
        </w:rPr>
        <w:t>的</w:t>
      </w:r>
      <w:r>
        <w:rPr>
          <w:rFonts w:hint="eastAsia" w:ascii="仿宋" w:hAnsi="仿宋" w:eastAsia="仿宋"/>
          <w:i/>
          <w:color w:val="auto"/>
          <w:szCs w:val="28"/>
          <w:u w:val="single"/>
        </w:rPr>
        <w:t>（项目名称）</w:t>
      </w:r>
      <w:r>
        <w:rPr>
          <w:rFonts w:hint="eastAsia" w:ascii="仿宋" w:hAnsi="仿宋" w:eastAsia="仿宋"/>
          <w:color w:val="auto"/>
          <w:szCs w:val="28"/>
        </w:rPr>
        <w:t>采购活动，提供的货物全部由符合政策要求的中小企业制造。相关企业（含联合体中的中小企业、签订分包意向协议的中小企业）的具体情况如下：</w:t>
      </w:r>
    </w:p>
    <w:p>
      <w:pPr>
        <w:tabs>
          <w:tab w:val="left" w:pos="6300"/>
        </w:tabs>
        <w:snapToGrid w:val="0"/>
        <w:spacing w:line="500" w:lineRule="exact"/>
        <w:ind w:firstLine="480"/>
        <w:rPr>
          <w:rFonts w:ascii="仿宋" w:hAnsi="仿宋" w:eastAsia="仿宋"/>
          <w:color w:val="auto"/>
          <w:szCs w:val="28"/>
        </w:rPr>
      </w:pPr>
      <w:r>
        <w:rPr>
          <w:rFonts w:hint="eastAsia" w:ascii="仿宋" w:hAnsi="仿宋" w:eastAsia="仿宋"/>
          <w:color w:val="auto"/>
          <w:szCs w:val="28"/>
        </w:rPr>
        <w:t>1.</w:t>
      </w:r>
      <w:r>
        <w:rPr>
          <w:rFonts w:hint="eastAsia" w:ascii="仿宋" w:hAnsi="仿宋" w:eastAsia="仿宋"/>
          <w:i/>
          <w:color w:val="auto"/>
          <w:szCs w:val="28"/>
          <w:u w:val="single"/>
        </w:rPr>
        <w:t>（标的名称）</w:t>
      </w:r>
      <w:r>
        <w:rPr>
          <w:rFonts w:hint="eastAsia" w:ascii="仿宋" w:hAnsi="仿宋" w:eastAsia="仿宋"/>
          <w:color w:val="auto"/>
          <w:szCs w:val="28"/>
        </w:rPr>
        <w:t>，属于</w:t>
      </w:r>
      <w:r>
        <w:rPr>
          <w:rFonts w:hint="eastAsia" w:ascii="仿宋" w:hAnsi="仿宋" w:eastAsia="仿宋"/>
          <w:i/>
          <w:color w:val="auto"/>
          <w:szCs w:val="28"/>
          <w:u w:val="single"/>
        </w:rPr>
        <w:t>（采购文件中明确的所属行业）行业</w:t>
      </w:r>
      <w:r>
        <w:rPr>
          <w:rFonts w:hint="eastAsia" w:ascii="仿宋" w:hAnsi="仿宋" w:eastAsia="仿宋"/>
          <w:color w:val="auto"/>
          <w:szCs w:val="28"/>
        </w:rPr>
        <w:t>；制造商为</w:t>
      </w:r>
      <w:r>
        <w:rPr>
          <w:rFonts w:hint="eastAsia" w:ascii="仿宋" w:hAnsi="仿宋" w:eastAsia="仿宋"/>
          <w:i/>
          <w:color w:val="auto"/>
          <w:szCs w:val="28"/>
          <w:u w:val="single"/>
        </w:rPr>
        <w:t>（企业名称）</w:t>
      </w:r>
      <w:r>
        <w:rPr>
          <w:rFonts w:hint="eastAsia" w:ascii="仿宋" w:hAnsi="仿宋" w:eastAsia="仿宋"/>
          <w:color w:val="auto"/>
          <w:szCs w:val="28"/>
        </w:rPr>
        <w:t>，从业人员人，营业收入为万元，资产总额为万元，属于</w:t>
      </w:r>
      <w:r>
        <w:rPr>
          <w:rFonts w:hint="eastAsia" w:ascii="仿宋" w:hAnsi="仿宋" w:eastAsia="仿宋"/>
          <w:i/>
          <w:color w:val="auto"/>
          <w:szCs w:val="28"/>
          <w:u w:val="single"/>
        </w:rPr>
        <w:t>（中型企业、小型企业、微型企业）</w:t>
      </w:r>
      <w:r>
        <w:rPr>
          <w:rFonts w:hint="eastAsia" w:ascii="仿宋" w:hAnsi="仿宋" w:eastAsia="仿宋"/>
          <w:color w:val="auto"/>
          <w:szCs w:val="28"/>
        </w:rPr>
        <w:t>；</w:t>
      </w:r>
    </w:p>
    <w:p>
      <w:pPr>
        <w:tabs>
          <w:tab w:val="left" w:pos="6300"/>
        </w:tabs>
        <w:snapToGrid w:val="0"/>
        <w:spacing w:line="500" w:lineRule="exact"/>
        <w:ind w:firstLine="480"/>
        <w:rPr>
          <w:rFonts w:ascii="仿宋" w:hAnsi="仿宋" w:eastAsia="仿宋"/>
          <w:color w:val="auto"/>
          <w:szCs w:val="28"/>
        </w:rPr>
      </w:pPr>
      <w:r>
        <w:rPr>
          <w:rFonts w:hint="eastAsia" w:ascii="仿宋" w:hAnsi="仿宋" w:eastAsia="仿宋"/>
          <w:color w:val="auto"/>
          <w:szCs w:val="28"/>
        </w:rPr>
        <w:t>2.</w:t>
      </w:r>
      <w:r>
        <w:rPr>
          <w:rFonts w:hint="eastAsia" w:ascii="仿宋" w:hAnsi="仿宋" w:eastAsia="仿宋"/>
          <w:i/>
          <w:color w:val="auto"/>
          <w:szCs w:val="28"/>
          <w:u w:val="single"/>
        </w:rPr>
        <w:t>（标的名称）</w:t>
      </w:r>
      <w:r>
        <w:rPr>
          <w:rFonts w:hint="eastAsia" w:ascii="仿宋" w:hAnsi="仿宋" w:eastAsia="仿宋"/>
          <w:color w:val="auto"/>
          <w:szCs w:val="28"/>
        </w:rPr>
        <w:t>，属于</w:t>
      </w:r>
      <w:r>
        <w:rPr>
          <w:rFonts w:hint="eastAsia" w:ascii="仿宋" w:hAnsi="仿宋" w:eastAsia="仿宋"/>
          <w:i/>
          <w:color w:val="auto"/>
          <w:szCs w:val="28"/>
          <w:u w:val="single"/>
        </w:rPr>
        <w:t>（采购文件中明确的所属行业）行业</w:t>
      </w:r>
      <w:r>
        <w:rPr>
          <w:rFonts w:hint="eastAsia" w:ascii="仿宋" w:hAnsi="仿宋" w:eastAsia="仿宋"/>
          <w:color w:val="auto"/>
          <w:szCs w:val="28"/>
        </w:rPr>
        <w:t>；制造商为</w:t>
      </w:r>
      <w:r>
        <w:rPr>
          <w:rFonts w:hint="eastAsia" w:ascii="仿宋" w:hAnsi="仿宋" w:eastAsia="仿宋"/>
          <w:i/>
          <w:color w:val="auto"/>
          <w:szCs w:val="28"/>
          <w:u w:val="single"/>
        </w:rPr>
        <w:t>（企业名称）</w:t>
      </w:r>
      <w:r>
        <w:rPr>
          <w:rFonts w:hint="eastAsia" w:ascii="仿宋" w:hAnsi="仿宋" w:eastAsia="仿宋"/>
          <w:color w:val="auto"/>
          <w:szCs w:val="28"/>
        </w:rPr>
        <w:t>，从业人员人，营业收入为万元，资产总额为万元，属于</w:t>
      </w:r>
      <w:r>
        <w:rPr>
          <w:rFonts w:hint="eastAsia" w:ascii="仿宋" w:hAnsi="仿宋" w:eastAsia="仿宋"/>
          <w:i/>
          <w:color w:val="auto"/>
          <w:szCs w:val="28"/>
          <w:u w:val="single"/>
        </w:rPr>
        <w:t>（中型企业、小型企业、微型企业）</w:t>
      </w:r>
      <w:r>
        <w:rPr>
          <w:rFonts w:hint="eastAsia" w:ascii="仿宋" w:hAnsi="仿宋" w:eastAsia="仿宋"/>
          <w:color w:val="auto"/>
          <w:szCs w:val="28"/>
        </w:rPr>
        <w:t>；</w:t>
      </w:r>
    </w:p>
    <w:p>
      <w:pPr>
        <w:tabs>
          <w:tab w:val="left" w:pos="6300"/>
        </w:tabs>
        <w:snapToGrid w:val="0"/>
        <w:spacing w:line="500" w:lineRule="exact"/>
        <w:ind w:right="782" w:firstLine="480"/>
        <w:rPr>
          <w:rFonts w:ascii="仿宋" w:hAnsi="仿宋" w:eastAsia="仿宋"/>
          <w:color w:val="auto"/>
        </w:rPr>
      </w:pPr>
      <w:r>
        <w:rPr>
          <w:rFonts w:ascii="仿宋" w:hAnsi="仿宋" w:eastAsia="仿宋"/>
          <w:color w:val="auto"/>
        </w:rPr>
        <w:t>……</w:t>
      </w:r>
    </w:p>
    <w:p>
      <w:pPr>
        <w:tabs>
          <w:tab w:val="left" w:pos="6300"/>
        </w:tabs>
        <w:snapToGrid w:val="0"/>
        <w:spacing w:line="500" w:lineRule="exact"/>
        <w:ind w:firstLine="480"/>
        <w:rPr>
          <w:rFonts w:ascii="仿宋" w:hAnsi="仿宋" w:eastAsia="仿宋"/>
          <w:color w:val="auto"/>
          <w:szCs w:val="28"/>
        </w:rPr>
      </w:pPr>
      <w:r>
        <w:rPr>
          <w:rFonts w:hint="eastAsia" w:ascii="仿宋" w:hAnsi="仿宋" w:eastAsia="仿宋"/>
          <w:color w:val="auto"/>
          <w:szCs w:val="28"/>
        </w:rPr>
        <w:t>以上企业，不属于大企业的分支机构，不存在控股股东为大企业的情形，也不存在与大企业的负责人为同一人的情形。</w:t>
      </w:r>
    </w:p>
    <w:p>
      <w:pPr>
        <w:tabs>
          <w:tab w:val="left" w:pos="6300"/>
        </w:tabs>
        <w:snapToGrid w:val="0"/>
        <w:spacing w:line="500" w:lineRule="exact"/>
        <w:ind w:firstLine="480"/>
        <w:rPr>
          <w:rFonts w:ascii="仿宋" w:hAnsi="仿宋" w:eastAsia="仿宋"/>
          <w:color w:val="auto"/>
          <w:szCs w:val="28"/>
        </w:rPr>
      </w:pPr>
      <w:r>
        <w:rPr>
          <w:rFonts w:hint="eastAsia" w:ascii="仿宋" w:hAnsi="仿宋" w:eastAsia="仿宋"/>
          <w:color w:val="auto"/>
          <w:szCs w:val="28"/>
        </w:rPr>
        <w:t>本企业对上述声明内容的真实性负责。如有虚假，将依法承担相应责任。</w:t>
      </w:r>
    </w:p>
    <w:p>
      <w:pPr>
        <w:tabs>
          <w:tab w:val="left" w:pos="6300"/>
        </w:tabs>
        <w:snapToGrid w:val="0"/>
        <w:spacing w:line="500" w:lineRule="exact"/>
        <w:ind w:firstLine="480"/>
        <w:rPr>
          <w:rFonts w:ascii="仿宋" w:hAnsi="仿宋" w:eastAsia="仿宋"/>
          <w:color w:val="auto"/>
          <w:szCs w:val="28"/>
        </w:rPr>
      </w:pPr>
    </w:p>
    <w:p>
      <w:pPr>
        <w:tabs>
          <w:tab w:val="left" w:pos="6300"/>
        </w:tabs>
        <w:snapToGrid w:val="0"/>
        <w:spacing w:line="500" w:lineRule="exact"/>
        <w:ind w:firstLine="6120" w:firstLineChars="2550"/>
        <w:rPr>
          <w:rFonts w:ascii="仿宋" w:hAnsi="仿宋" w:eastAsia="仿宋"/>
          <w:color w:val="auto"/>
          <w:szCs w:val="28"/>
        </w:rPr>
      </w:pPr>
      <w:r>
        <w:rPr>
          <w:rFonts w:hint="eastAsia" w:ascii="仿宋" w:hAnsi="仿宋" w:eastAsia="仿宋"/>
          <w:color w:val="auto"/>
          <w:szCs w:val="28"/>
        </w:rPr>
        <w:t xml:space="preserve">企业名称（盖章）： </w:t>
      </w:r>
    </w:p>
    <w:p>
      <w:pPr>
        <w:tabs>
          <w:tab w:val="left" w:pos="6300"/>
        </w:tabs>
        <w:snapToGrid w:val="0"/>
        <w:spacing w:line="500" w:lineRule="exact"/>
        <w:ind w:firstLine="6120" w:firstLineChars="2550"/>
        <w:rPr>
          <w:rFonts w:ascii="仿宋" w:hAnsi="仿宋" w:eastAsia="仿宋"/>
          <w:color w:val="auto"/>
          <w:szCs w:val="28"/>
        </w:rPr>
      </w:pPr>
      <w:r>
        <w:rPr>
          <w:rFonts w:hint="eastAsia" w:ascii="仿宋" w:hAnsi="仿宋" w:eastAsia="仿宋"/>
          <w:color w:val="auto"/>
          <w:szCs w:val="28"/>
        </w:rPr>
        <w:t>日期：</w:t>
      </w:r>
    </w:p>
    <w:p>
      <w:pPr>
        <w:tabs>
          <w:tab w:val="left" w:pos="6300"/>
        </w:tabs>
        <w:snapToGrid w:val="0"/>
        <w:spacing w:line="420" w:lineRule="exact"/>
        <w:ind w:firstLine="0" w:firstLineChars="0"/>
        <w:jc w:val="left"/>
        <w:rPr>
          <w:rFonts w:ascii="仿宋" w:hAnsi="仿宋" w:eastAsia="仿宋" w:cs="黑体"/>
          <w:color w:val="auto"/>
          <w:kern w:val="0"/>
          <w:sz w:val="21"/>
          <w:szCs w:val="21"/>
        </w:rPr>
      </w:pPr>
    </w:p>
    <w:p>
      <w:pPr>
        <w:tabs>
          <w:tab w:val="left" w:pos="6300"/>
        </w:tabs>
        <w:snapToGrid w:val="0"/>
        <w:spacing w:line="420" w:lineRule="exact"/>
        <w:ind w:firstLine="0" w:firstLineChars="0"/>
        <w:jc w:val="left"/>
        <w:rPr>
          <w:rFonts w:ascii="仿宋" w:hAnsi="仿宋" w:eastAsia="仿宋" w:cs="黑体"/>
          <w:color w:val="auto"/>
          <w:kern w:val="0"/>
          <w:sz w:val="21"/>
          <w:szCs w:val="21"/>
        </w:rPr>
      </w:pPr>
    </w:p>
    <w:p>
      <w:pPr>
        <w:tabs>
          <w:tab w:val="left" w:pos="6300"/>
        </w:tabs>
        <w:snapToGrid w:val="0"/>
        <w:spacing w:line="420" w:lineRule="exact"/>
        <w:ind w:firstLine="0" w:firstLineChars="0"/>
        <w:jc w:val="left"/>
        <w:rPr>
          <w:rFonts w:ascii="仿宋" w:hAnsi="仿宋" w:eastAsia="仿宋" w:cs="黑体"/>
          <w:color w:val="auto"/>
          <w:kern w:val="0"/>
          <w:sz w:val="21"/>
          <w:szCs w:val="21"/>
        </w:rPr>
      </w:pPr>
      <w:r>
        <w:rPr>
          <w:rFonts w:hint="eastAsia" w:ascii="仿宋" w:hAnsi="仿宋" w:eastAsia="仿宋" w:cs="黑体"/>
          <w:color w:val="auto"/>
          <w:kern w:val="0"/>
          <w:sz w:val="21"/>
          <w:szCs w:val="21"/>
        </w:rPr>
        <w:t>填写时应注意以下事项：</w:t>
      </w:r>
    </w:p>
    <w:p>
      <w:pPr>
        <w:tabs>
          <w:tab w:val="left" w:pos="6300"/>
        </w:tabs>
        <w:snapToGrid w:val="0"/>
        <w:spacing w:line="420" w:lineRule="exact"/>
        <w:ind w:firstLine="420"/>
        <w:jc w:val="left"/>
        <w:rPr>
          <w:rFonts w:ascii="仿宋" w:hAnsi="仿宋" w:eastAsia="仿宋" w:cs="黑体"/>
          <w:color w:val="auto"/>
          <w:kern w:val="0"/>
          <w:sz w:val="21"/>
          <w:szCs w:val="21"/>
        </w:rPr>
      </w:pPr>
      <w:r>
        <w:rPr>
          <w:rFonts w:hint="eastAsia" w:ascii="仿宋" w:hAnsi="仿宋" w:eastAsia="仿宋" w:cs="黑体"/>
          <w:color w:val="auto"/>
          <w:kern w:val="0"/>
          <w:sz w:val="21"/>
          <w:szCs w:val="21"/>
        </w:rPr>
        <w:t>1.从业人员、营业收入、资产总额填报</w:t>
      </w:r>
      <w:r>
        <w:rPr>
          <w:rFonts w:hint="eastAsia" w:ascii="仿宋" w:hAnsi="仿宋" w:eastAsia="仿宋" w:cs="黑体"/>
          <w:color w:val="auto"/>
          <w:kern w:val="0"/>
          <w:sz w:val="21"/>
          <w:szCs w:val="21"/>
          <w:lang w:val="en-US" w:eastAsia="zh-CN"/>
        </w:rPr>
        <w:t>上一</w:t>
      </w:r>
      <w:r>
        <w:rPr>
          <w:rFonts w:hint="eastAsia" w:ascii="仿宋" w:hAnsi="仿宋" w:eastAsia="仿宋" w:cs="黑体"/>
          <w:color w:val="auto"/>
          <w:kern w:val="0"/>
          <w:sz w:val="21"/>
          <w:szCs w:val="21"/>
        </w:rPr>
        <w:t>年度数据，无</w:t>
      </w:r>
      <w:r>
        <w:rPr>
          <w:rFonts w:hint="eastAsia" w:ascii="仿宋" w:hAnsi="仿宋" w:eastAsia="仿宋" w:cs="黑体"/>
          <w:color w:val="auto"/>
          <w:kern w:val="0"/>
          <w:sz w:val="21"/>
          <w:szCs w:val="21"/>
          <w:lang w:val="en-US" w:eastAsia="zh-CN"/>
        </w:rPr>
        <w:t>上一</w:t>
      </w:r>
      <w:r>
        <w:rPr>
          <w:rFonts w:hint="eastAsia" w:ascii="仿宋" w:hAnsi="仿宋" w:eastAsia="仿宋" w:cs="黑体"/>
          <w:color w:val="auto"/>
          <w:kern w:val="0"/>
          <w:sz w:val="21"/>
          <w:szCs w:val="21"/>
        </w:rPr>
        <w:t>年度数据的新成立企业可不填报。</w:t>
      </w:r>
    </w:p>
    <w:p>
      <w:pPr>
        <w:tabs>
          <w:tab w:val="left" w:pos="6300"/>
        </w:tabs>
        <w:snapToGrid w:val="0"/>
        <w:spacing w:line="420" w:lineRule="exact"/>
        <w:ind w:firstLine="420"/>
        <w:jc w:val="left"/>
        <w:rPr>
          <w:rFonts w:ascii="仿宋" w:hAnsi="仿宋" w:eastAsia="仿宋" w:cs="黑体"/>
          <w:color w:val="auto"/>
          <w:kern w:val="0"/>
          <w:sz w:val="21"/>
          <w:szCs w:val="21"/>
        </w:rPr>
      </w:pPr>
      <w:r>
        <w:rPr>
          <w:rFonts w:hint="eastAsia" w:ascii="仿宋" w:hAnsi="仿宋" w:eastAsia="仿宋" w:cs="黑体"/>
          <w:color w:val="auto"/>
          <w:kern w:val="0"/>
          <w:sz w:val="21"/>
          <w:szCs w:val="21"/>
        </w:rPr>
        <w:t>2.中小企业应当按照《中小企业划型标准规定》（工信部联企业〔2011〕300号），如实填写并提交《中小企业声明函》。</w:t>
      </w:r>
    </w:p>
    <w:p>
      <w:pPr>
        <w:tabs>
          <w:tab w:val="left" w:pos="6300"/>
        </w:tabs>
        <w:snapToGrid w:val="0"/>
        <w:spacing w:line="420" w:lineRule="exact"/>
        <w:ind w:firstLine="420"/>
        <w:jc w:val="left"/>
        <w:rPr>
          <w:rFonts w:ascii="仿宋" w:hAnsi="仿宋" w:eastAsia="仿宋" w:cs="黑体"/>
          <w:color w:val="auto"/>
          <w:kern w:val="0"/>
          <w:sz w:val="21"/>
          <w:szCs w:val="21"/>
        </w:rPr>
      </w:pPr>
      <w:r>
        <w:rPr>
          <w:rFonts w:hint="eastAsia" w:ascii="仿宋" w:hAnsi="仿宋" w:eastAsia="仿宋" w:cs="黑体"/>
          <w:color w:val="auto"/>
          <w:kern w:val="0"/>
          <w:sz w:val="21"/>
          <w:szCs w:val="21"/>
        </w:rPr>
        <w:t>3.投标人填写《中小企业声明函》中所属行业时，应与采购文件第一篇“采购标的对应的中小企业划分标准所属行业”中填写的所属行业一致。</w:t>
      </w:r>
    </w:p>
    <w:p>
      <w:pPr>
        <w:pStyle w:val="2"/>
        <w:spacing w:line="420" w:lineRule="exact"/>
        <w:ind w:firstLine="422"/>
        <w:rPr>
          <w:rFonts w:ascii="仿宋" w:hAnsi="仿宋" w:eastAsia="仿宋" w:cs="黑体"/>
          <w:b/>
          <w:bCs/>
          <w:color w:val="auto"/>
          <w:kern w:val="0"/>
          <w:sz w:val="21"/>
          <w:szCs w:val="21"/>
        </w:rPr>
      </w:pPr>
      <w:r>
        <w:rPr>
          <w:rFonts w:hint="eastAsia" w:ascii="仿宋" w:hAnsi="仿宋" w:eastAsia="仿宋" w:cs="黑体"/>
          <w:b/>
          <w:bCs/>
          <w:color w:val="auto"/>
          <w:kern w:val="0"/>
          <w:sz w:val="21"/>
          <w:szCs w:val="21"/>
        </w:rPr>
        <w:t>4.本声明函“企业名称（盖章）”处为投标人盖章。</w:t>
      </w:r>
    </w:p>
    <w:p>
      <w:pPr>
        <w:tabs>
          <w:tab w:val="left" w:pos="6300"/>
        </w:tabs>
        <w:snapToGrid w:val="0"/>
        <w:spacing w:line="500" w:lineRule="exact"/>
        <w:ind w:firstLine="6120" w:firstLineChars="2550"/>
        <w:rPr>
          <w:rFonts w:ascii="仿宋" w:hAnsi="仿宋" w:eastAsia="仿宋"/>
          <w:color w:val="auto"/>
          <w:szCs w:val="28"/>
        </w:rPr>
      </w:pPr>
      <w:r>
        <w:rPr>
          <w:rFonts w:ascii="仿宋" w:hAnsi="仿宋" w:eastAsia="仿宋"/>
          <w:color w:val="auto"/>
        </w:rPr>
        <w:br w:type="page"/>
      </w:r>
    </w:p>
    <w:p>
      <w:pPr>
        <w:tabs>
          <w:tab w:val="left" w:pos="6300"/>
        </w:tabs>
        <w:snapToGrid w:val="0"/>
        <w:spacing w:line="500" w:lineRule="exact"/>
        <w:ind w:firstLine="0" w:firstLineChars="0"/>
        <w:rPr>
          <w:rFonts w:ascii="仿宋" w:hAnsi="仿宋" w:eastAsia="仿宋"/>
          <w:color w:val="auto"/>
          <w:sz w:val="21"/>
          <w:szCs w:val="21"/>
        </w:rPr>
      </w:pPr>
      <w:r>
        <w:rPr>
          <w:rFonts w:hint="eastAsia" w:ascii="仿宋" w:hAnsi="仿宋" w:eastAsia="仿宋"/>
          <w:color w:val="auto"/>
          <w:sz w:val="21"/>
          <w:szCs w:val="21"/>
        </w:rPr>
        <w:t>注：各行业划型标准：</w:t>
      </w:r>
    </w:p>
    <w:p>
      <w:pPr>
        <w:tabs>
          <w:tab w:val="left" w:pos="6300"/>
        </w:tabs>
        <w:snapToGrid w:val="0"/>
        <w:spacing w:line="400" w:lineRule="exact"/>
        <w:ind w:firstLine="420"/>
        <w:jc w:val="left"/>
        <w:rPr>
          <w:rFonts w:ascii="仿宋" w:hAnsi="仿宋" w:eastAsia="仿宋"/>
          <w:color w:val="auto"/>
          <w:sz w:val="21"/>
          <w:szCs w:val="21"/>
        </w:rPr>
      </w:pPr>
      <w:r>
        <w:rPr>
          <w:rFonts w:hint="eastAsia" w:ascii="仿宋" w:hAnsi="仿宋" w:eastAsia="仿宋"/>
          <w:color w:val="auto"/>
          <w:sz w:val="21"/>
          <w:szCs w:val="21"/>
        </w:rPr>
        <w:t>（一）农、林、牧、渔业。营业收入20000万元以下的为中小微型企业。其中，营业收入500万元及以上的为中型企业，营业收入50万元及以上的为小型企业，营业收入50万元以下的为微型企业。</w:t>
      </w:r>
    </w:p>
    <w:p>
      <w:pPr>
        <w:tabs>
          <w:tab w:val="left" w:pos="6300"/>
        </w:tabs>
        <w:snapToGrid w:val="0"/>
        <w:spacing w:line="400" w:lineRule="exact"/>
        <w:ind w:firstLine="420"/>
        <w:jc w:val="left"/>
        <w:rPr>
          <w:rFonts w:ascii="仿宋" w:hAnsi="仿宋" w:eastAsia="仿宋"/>
          <w:color w:val="auto"/>
          <w:sz w:val="21"/>
          <w:szCs w:val="21"/>
        </w:rPr>
      </w:pPr>
      <w:r>
        <w:rPr>
          <w:rFonts w:hint="eastAsia" w:ascii="仿宋" w:hAnsi="仿宋" w:eastAsia="仿宋"/>
          <w:color w:val="auto"/>
          <w:sz w:val="21"/>
          <w:szCs w:val="21"/>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tabs>
          <w:tab w:val="left" w:pos="6300"/>
        </w:tabs>
        <w:snapToGrid w:val="0"/>
        <w:spacing w:line="400" w:lineRule="exact"/>
        <w:ind w:firstLine="420"/>
        <w:jc w:val="left"/>
        <w:rPr>
          <w:rFonts w:ascii="仿宋" w:hAnsi="仿宋" w:eastAsia="仿宋"/>
          <w:color w:val="auto"/>
          <w:sz w:val="21"/>
          <w:szCs w:val="21"/>
        </w:rPr>
      </w:pPr>
      <w:r>
        <w:rPr>
          <w:rFonts w:hint="eastAsia" w:ascii="仿宋" w:hAnsi="仿宋" w:eastAsia="仿宋"/>
          <w:color w:val="auto"/>
          <w:sz w:val="21"/>
          <w:szCs w:val="2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tabs>
          <w:tab w:val="left" w:pos="6300"/>
        </w:tabs>
        <w:snapToGrid w:val="0"/>
        <w:spacing w:line="400" w:lineRule="exact"/>
        <w:ind w:firstLine="420"/>
        <w:jc w:val="left"/>
        <w:rPr>
          <w:rFonts w:ascii="仿宋" w:hAnsi="仿宋" w:eastAsia="仿宋"/>
          <w:color w:val="auto"/>
          <w:sz w:val="21"/>
          <w:szCs w:val="21"/>
        </w:rPr>
      </w:pPr>
      <w:r>
        <w:rPr>
          <w:rFonts w:hint="eastAsia" w:ascii="仿宋" w:hAnsi="仿宋" w:eastAsia="仿宋"/>
          <w:color w:val="auto"/>
          <w:sz w:val="21"/>
          <w:szCs w:val="2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tabs>
          <w:tab w:val="left" w:pos="6300"/>
        </w:tabs>
        <w:snapToGrid w:val="0"/>
        <w:spacing w:line="400" w:lineRule="exact"/>
        <w:ind w:firstLine="420"/>
        <w:jc w:val="left"/>
        <w:rPr>
          <w:rFonts w:ascii="仿宋" w:hAnsi="仿宋" w:eastAsia="仿宋"/>
          <w:color w:val="auto"/>
          <w:sz w:val="21"/>
          <w:szCs w:val="21"/>
        </w:rPr>
      </w:pPr>
      <w:r>
        <w:rPr>
          <w:rFonts w:hint="eastAsia" w:ascii="仿宋" w:hAnsi="仿宋" w:eastAsia="仿宋"/>
          <w:color w:val="auto"/>
          <w:sz w:val="21"/>
          <w:szCs w:val="21"/>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tabs>
          <w:tab w:val="left" w:pos="6300"/>
        </w:tabs>
        <w:snapToGrid w:val="0"/>
        <w:spacing w:line="400" w:lineRule="exact"/>
        <w:ind w:firstLine="420"/>
        <w:jc w:val="left"/>
        <w:rPr>
          <w:rFonts w:ascii="仿宋" w:hAnsi="仿宋" w:eastAsia="仿宋"/>
          <w:color w:val="auto"/>
          <w:sz w:val="21"/>
          <w:szCs w:val="21"/>
        </w:rPr>
      </w:pPr>
      <w:r>
        <w:rPr>
          <w:rFonts w:hint="eastAsia" w:ascii="仿宋" w:hAnsi="仿宋" w:eastAsia="仿宋"/>
          <w:color w:val="auto"/>
          <w:sz w:val="21"/>
          <w:szCs w:val="21"/>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tabs>
          <w:tab w:val="left" w:pos="6300"/>
        </w:tabs>
        <w:snapToGrid w:val="0"/>
        <w:spacing w:line="400" w:lineRule="exact"/>
        <w:ind w:firstLine="420"/>
        <w:jc w:val="left"/>
        <w:rPr>
          <w:rFonts w:ascii="仿宋" w:hAnsi="仿宋" w:eastAsia="仿宋"/>
          <w:color w:val="auto"/>
          <w:sz w:val="21"/>
          <w:szCs w:val="21"/>
        </w:rPr>
      </w:pPr>
      <w:r>
        <w:rPr>
          <w:rFonts w:hint="eastAsia" w:ascii="仿宋" w:hAnsi="仿宋" w:eastAsia="仿宋"/>
          <w:color w:val="auto"/>
          <w:sz w:val="21"/>
          <w:szCs w:val="21"/>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tabs>
          <w:tab w:val="left" w:pos="6300"/>
        </w:tabs>
        <w:snapToGrid w:val="0"/>
        <w:spacing w:line="400" w:lineRule="exact"/>
        <w:ind w:firstLine="420"/>
        <w:jc w:val="left"/>
        <w:rPr>
          <w:rFonts w:ascii="仿宋" w:hAnsi="仿宋" w:eastAsia="仿宋"/>
          <w:color w:val="auto"/>
          <w:sz w:val="21"/>
          <w:szCs w:val="21"/>
        </w:rPr>
      </w:pPr>
      <w:r>
        <w:rPr>
          <w:rFonts w:hint="eastAsia" w:ascii="仿宋" w:hAnsi="仿宋" w:eastAsia="仿宋"/>
          <w:color w:val="auto"/>
          <w:sz w:val="21"/>
          <w:szCs w:val="21"/>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tabs>
          <w:tab w:val="left" w:pos="6300"/>
        </w:tabs>
        <w:snapToGrid w:val="0"/>
        <w:spacing w:line="400" w:lineRule="exact"/>
        <w:ind w:firstLine="420"/>
        <w:jc w:val="left"/>
        <w:rPr>
          <w:rFonts w:ascii="仿宋" w:hAnsi="仿宋" w:eastAsia="仿宋"/>
          <w:color w:val="auto"/>
          <w:sz w:val="21"/>
          <w:szCs w:val="21"/>
        </w:rPr>
      </w:pPr>
      <w:r>
        <w:rPr>
          <w:rFonts w:hint="eastAsia" w:ascii="仿宋" w:hAnsi="仿宋" w:eastAsia="仿宋"/>
          <w:color w:val="auto"/>
          <w:sz w:val="21"/>
          <w:szCs w:val="2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tabs>
          <w:tab w:val="left" w:pos="6300"/>
        </w:tabs>
        <w:snapToGrid w:val="0"/>
        <w:spacing w:line="400" w:lineRule="exact"/>
        <w:ind w:firstLine="420"/>
        <w:jc w:val="left"/>
        <w:rPr>
          <w:rFonts w:ascii="仿宋" w:hAnsi="仿宋" w:eastAsia="仿宋"/>
          <w:color w:val="auto"/>
          <w:sz w:val="21"/>
          <w:szCs w:val="21"/>
        </w:rPr>
      </w:pPr>
      <w:r>
        <w:rPr>
          <w:rFonts w:hint="eastAsia" w:ascii="仿宋" w:hAnsi="仿宋" w:eastAsia="仿宋"/>
          <w:color w:val="auto"/>
          <w:sz w:val="21"/>
          <w:szCs w:val="21"/>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tabs>
          <w:tab w:val="left" w:pos="6300"/>
        </w:tabs>
        <w:snapToGrid w:val="0"/>
        <w:spacing w:line="400" w:lineRule="exact"/>
        <w:ind w:firstLine="420"/>
        <w:jc w:val="left"/>
        <w:rPr>
          <w:rFonts w:ascii="仿宋" w:hAnsi="仿宋" w:eastAsia="仿宋"/>
          <w:color w:val="auto"/>
          <w:sz w:val="21"/>
          <w:szCs w:val="21"/>
        </w:rPr>
      </w:pPr>
      <w:r>
        <w:rPr>
          <w:rFonts w:hint="eastAsia" w:ascii="仿宋" w:hAnsi="仿宋" w:eastAsia="仿宋"/>
          <w:color w:val="auto"/>
          <w:sz w:val="21"/>
          <w:szCs w:val="21"/>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tabs>
          <w:tab w:val="left" w:pos="6300"/>
        </w:tabs>
        <w:snapToGrid w:val="0"/>
        <w:spacing w:line="400" w:lineRule="exact"/>
        <w:ind w:firstLine="420"/>
        <w:jc w:val="left"/>
        <w:rPr>
          <w:rFonts w:ascii="仿宋" w:hAnsi="仿宋" w:eastAsia="仿宋"/>
          <w:color w:val="auto"/>
          <w:sz w:val="21"/>
          <w:szCs w:val="21"/>
        </w:rPr>
      </w:pPr>
      <w:r>
        <w:rPr>
          <w:rFonts w:hint="eastAsia" w:ascii="仿宋" w:hAnsi="仿宋" w:eastAsia="仿宋"/>
          <w:color w:val="auto"/>
          <w:sz w:val="21"/>
          <w:szCs w:val="21"/>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tabs>
          <w:tab w:val="left" w:pos="6300"/>
        </w:tabs>
        <w:snapToGrid w:val="0"/>
        <w:spacing w:line="400" w:lineRule="exact"/>
        <w:ind w:firstLine="420"/>
        <w:jc w:val="left"/>
        <w:rPr>
          <w:rFonts w:ascii="仿宋" w:hAnsi="仿宋" w:eastAsia="仿宋"/>
          <w:color w:val="auto"/>
          <w:sz w:val="21"/>
          <w:szCs w:val="21"/>
        </w:rPr>
      </w:pPr>
      <w:r>
        <w:rPr>
          <w:rFonts w:hint="eastAsia" w:ascii="仿宋" w:hAnsi="仿宋" w:eastAsia="仿宋"/>
          <w:color w:val="auto"/>
          <w:sz w:val="21"/>
          <w:szCs w:val="21"/>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tabs>
          <w:tab w:val="left" w:pos="6300"/>
        </w:tabs>
        <w:snapToGrid w:val="0"/>
        <w:spacing w:line="400" w:lineRule="exact"/>
        <w:ind w:firstLine="420"/>
        <w:jc w:val="left"/>
        <w:rPr>
          <w:rFonts w:ascii="仿宋" w:hAnsi="仿宋" w:eastAsia="仿宋"/>
          <w:color w:val="auto"/>
          <w:sz w:val="21"/>
          <w:szCs w:val="21"/>
        </w:rPr>
      </w:pPr>
      <w:r>
        <w:rPr>
          <w:rFonts w:hint="eastAsia" w:ascii="仿宋" w:hAnsi="仿宋" w:eastAsia="仿宋"/>
          <w:color w:val="auto"/>
          <w:sz w:val="21"/>
          <w:szCs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tabs>
          <w:tab w:val="left" w:pos="6300"/>
        </w:tabs>
        <w:snapToGrid w:val="0"/>
        <w:spacing w:line="400" w:lineRule="exact"/>
        <w:ind w:firstLine="420"/>
        <w:jc w:val="left"/>
        <w:rPr>
          <w:rFonts w:ascii="仿宋" w:hAnsi="仿宋" w:eastAsia="仿宋"/>
          <w:color w:val="auto"/>
          <w:sz w:val="21"/>
          <w:szCs w:val="21"/>
        </w:rPr>
      </w:pPr>
      <w:r>
        <w:rPr>
          <w:rFonts w:hint="eastAsia" w:ascii="仿宋" w:hAnsi="仿宋" w:eastAsia="仿宋"/>
          <w:color w:val="auto"/>
          <w:sz w:val="21"/>
          <w:szCs w:val="21"/>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tabs>
          <w:tab w:val="left" w:pos="6300"/>
        </w:tabs>
        <w:snapToGrid w:val="0"/>
        <w:spacing w:line="400" w:lineRule="exact"/>
        <w:ind w:firstLine="420"/>
        <w:jc w:val="left"/>
        <w:rPr>
          <w:rFonts w:ascii="仿宋" w:hAnsi="仿宋" w:eastAsia="仿宋"/>
          <w:color w:val="auto"/>
          <w:sz w:val="21"/>
          <w:szCs w:val="21"/>
        </w:rPr>
      </w:pPr>
      <w:r>
        <w:rPr>
          <w:rFonts w:hint="eastAsia" w:ascii="仿宋" w:hAnsi="仿宋" w:eastAsia="仿宋"/>
          <w:color w:val="auto"/>
          <w:sz w:val="21"/>
          <w:szCs w:val="21"/>
        </w:rPr>
        <w:t>（十六）其他未列明行业。从业人员300人以下的为中小微型企业。其中，从业人员100人及以上的为中型企业；从业人员10人及以上的为小型企业；从业人员10人以下的为微型企业。</w:t>
      </w:r>
    </w:p>
    <w:p>
      <w:pPr>
        <w:tabs>
          <w:tab w:val="left" w:pos="6300"/>
        </w:tabs>
        <w:snapToGrid w:val="0"/>
        <w:spacing w:line="500" w:lineRule="exact"/>
        <w:ind w:firstLine="0" w:firstLineChars="0"/>
        <w:rPr>
          <w:rFonts w:ascii="仿宋" w:hAnsi="仿宋" w:eastAsia="仿宋"/>
          <w:color w:val="auto"/>
        </w:rPr>
        <w:sectPr>
          <w:pgSz w:w="11907" w:h="16840"/>
          <w:pgMar w:top="1134" w:right="1191" w:bottom="1134" w:left="1304" w:header="794" w:footer="992" w:gutter="0"/>
          <w:cols w:space="720" w:num="1"/>
          <w:docGrid w:linePitch="380" w:charSpace="-5735"/>
        </w:sectPr>
      </w:pPr>
    </w:p>
    <w:p>
      <w:pPr>
        <w:ind w:firstLine="0" w:firstLineChars="0"/>
        <w:jc w:val="center"/>
        <w:rPr>
          <w:rFonts w:ascii="仿宋" w:hAnsi="仿宋" w:eastAsia="仿宋"/>
          <w:color w:val="auto"/>
          <w:sz w:val="28"/>
          <w:szCs w:val="21"/>
        </w:rPr>
      </w:pPr>
      <w:r>
        <w:rPr>
          <w:rFonts w:hint="eastAsia" w:ascii="仿宋" w:hAnsi="仿宋" w:eastAsia="仿宋"/>
          <w:color w:val="auto"/>
          <w:sz w:val="28"/>
          <w:szCs w:val="21"/>
        </w:rPr>
        <w:t>监狱企业证明文件</w:t>
      </w:r>
    </w:p>
    <w:p>
      <w:pPr>
        <w:ind w:firstLine="480"/>
        <w:rPr>
          <w:rFonts w:ascii="仿宋" w:hAnsi="仿宋" w:eastAsia="仿宋"/>
          <w:color w:val="auto"/>
        </w:rPr>
      </w:pPr>
      <w:r>
        <w:rPr>
          <w:rFonts w:hint="eastAsia" w:ascii="仿宋" w:hAnsi="仿宋" w:eastAsia="仿宋"/>
          <w:color w:val="auto"/>
          <w:szCs w:val="22"/>
        </w:rPr>
        <w:t>【以省级以上监狱管理局、戒毒管理局（含新疆生产建设兵团）出具的属于监狱企业的证明文件为准】</w:t>
      </w:r>
      <w:r>
        <w:rPr>
          <w:rFonts w:hint="eastAsia" w:ascii="仿宋" w:hAnsi="仿宋" w:eastAsia="仿宋"/>
          <w:color w:val="auto"/>
          <w:szCs w:val="22"/>
        </w:rPr>
        <w:br w:type="page"/>
      </w:r>
    </w:p>
    <w:p>
      <w:pPr>
        <w:ind w:firstLine="0" w:firstLineChars="0"/>
        <w:jc w:val="center"/>
        <w:rPr>
          <w:rFonts w:ascii="仿宋" w:hAnsi="仿宋" w:eastAsia="仿宋"/>
          <w:color w:val="auto"/>
          <w:sz w:val="28"/>
          <w:szCs w:val="21"/>
        </w:rPr>
      </w:pPr>
      <w:r>
        <w:rPr>
          <w:rFonts w:hint="eastAsia" w:ascii="仿宋" w:hAnsi="仿宋" w:eastAsia="仿宋"/>
          <w:color w:val="auto"/>
          <w:sz w:val="28"/>
          <w:szCs w:val="21"/>
        </w:rPr>
        <w:t>残疾人福利性单位声明函</w:t>
      </w:r>
    </w:p>
    <w:p>
      <w:pPr>
        <w:ind w:firstLine="480"/>
        <w:rPr>
          <w:rFonts w:ascii="仿宋" w:hAnsi="仿宋" w:eastAsia="仿宋"/>
          <w:color w:val="auto"/>
        </w:rPr>
      </w:pPr>
      <w:r>
        <w:rPr>
          <w:rFonts w:hint="eastAsia" w:ascii="仿宋" w:hAnsi="仿宋" w:eastAsia="仿宋"/>
          <w:color w:val="auto"/>
        </w:rPr>
        <w:t>本单位郑重声明，根据《财政部 民政部 中国残疾人联合会关于促进残疾人就业政府采购政策的通知》（财库〔2017〕141号）的规定，本单位为符合条件的残疾人福利性单位，且本单位参加</w:t>
      </w:r>
      <w:r>
        <w:rPr>
          <w:rFonts w:hint="eastAsia" w:ascii="仿宋" w:hAnsi="仿宋" w:eastAsia="仿宋"/>
          <w:color w:val="auto"/>
          <w:u w:val="single"/>
        </w:rPr>
        <w:t>______</w:t>
      </w:r>
      <w:r>
        <w:rPr>
          <w:rFonts w:hint="eastAsia" w:ascii="仿宋" w:hAnsi="仿宋" w:eastAsia="仿宋"/>
          <w:color w:val="auto"/>
        </w:rPr>
        <w:t>单位的</w:t>
      </w:r>
      <w:r>
        <w:rPr>
          <w:rFonts w:hint="eastAsia" w:ascii="仿宋" w:hAnsi="仿宋" w:eastAsia="仿宋"/>
          <w:color w:val="auto"/>
          <w:u w:val="single"/>
        </w:rPr>
        <w:t>______</w:t>
      </w:r>
      <w:r>
        <w:rPr>
          <w:rFonts w:hint="eastAsia" w:ascii="仿宋" w:hAnsi="仿宋" w:eastAsia="仿宋"/>
          <w:color w:val="auto"/>
        </w:rPr>
        <w:t>项目采购活动提供本单位制造的货物（由本单位承担工程/提供服务），或者提供其他残疾人福利性单位制造的货物（不包括使用非残疾人福利性单位注册商标的货物）。</w:t>
      </w:r>
    </w:p>
    <w:p>
      <w:pPr>
        <w:ind w:firstLine="480"/>
        <w:rPr>
          <w:rFonts w:ascii="仿宋" w:hAnsi="仿宋" w:eastAsia="仿宋"/>
          <w:color w:val="auto"/>
        </w:rPr>
      </w:pPr>
      <w:r>
        <w:rPr>
          <w:rFonts w:hint="eastAsia" w:ascii="仿宋" w:hAnsi="仿宋" w:eastAsia="仿宋"/>
          <w:color w:val="auto"/>
        </w:rPr>
        <w:t>本单位对上述声明的真实性负责。如有虚假，将依法承担相应责任。</w:t>
      </w:r>
    </w:p>
    <w:p>
      <w:pPr>
        <w:ind w:firstLine="480"/>
        <w:rPr>
          <w:rFonts w:ascii="仿宋" w:hAnsi="仿宋" w:eastAsia="仿宋"/>
          <w:color w:val="auto"/>
        </w:rPr>
      </w:pPr>
    </w:p>
    <w:p>
      <w:pPr>
        <w:ind w:firstLine="480"/>
        <w:rPr>
          <w:rFonts w:ascii="仿宋" w:hAnsi="仿宋" w:eastAsia="仿宋"/>
          <w:color w:val="auto"/>
        </w:rPr>
      </w:pPr>
    </w:p>
    <w:p>
      <w:pPr>
        <w:wordWrap w:val="0"/>
        <w:ind w:firstLine="480"/>
        <w:jc w:val="right"/>
        <w:rPr>
          <w:rFonts w:ascii="仿宋" w:hAnsi="仿宋" w:eastAsia="仿宋"/>
          <w:color w:val="auto"/>
        </w:rPr>
      </w:pPr>
      <w:r>
        <w:rPr>
          <w:rFonts w:hint="eastAsia" w:ascii="仿宋" w:hAnsi="仿宋" w:eastAsia="仿宋"/>
          <w:color w:val="auto"/>
        </w:rPr>
        <w:t xml:space="preserve">投标人名称（盖章）：             </w:t>
      </w:r>
    </w:p>
    <w:p>
      <w:pPr>
        <w:wordWrap w:val="0"/>
        <w:ind w:firstLine="480"/>
        <w:jc w:val="right"/>
        <w:rPr>
          <w:rFonts w:ascii="仿宋" w:hAnsi="仿宋" w:eastAsia="仿宋"/>
          <w:color w:val="auto"/>
        </w:rPr>
      </w:pPr>
      <w:r>
        <w:rPr>
          <w:rFonts w:hint="eastAsia" w:ascii="仿宋" w:hAnsi="仿宋" w:eastAsia="仿宋"/>
          <w:color w:val="auto"/>
        </w:rPr>
        <w:t xml:space="preserve">日期：                          </w:t>
      </w:r>
    </w:p>
    <w:p>
      <w:pPr>
        <w:ind w:firstLine="480"/>
        <w:rPr>
          <w:rFonts w:ascii="仿宋" w:hAnsi="仿宋" w:eastAsia="仿宋"/>
          <w:color w:val="auto"/>
        </w:rPr>
      </w:pPr>
    </w:p>
    <w:p>
      <w:pPr>
        <w:ind w:firstLine="480"/>
        <w:rPr>
          <w:rFonts w:ascii="仿宋" w:hAnsi="仿宋" w:eastAsia="仿宋"/>
          <w:color w:val="auto"/>
        </w:rPr>
      </w:pPr>
    </w:p>
    <w:p>
      <w:pPr>
        <w:ind w:firstLine="480"/>
        <w:rPr>
          <w:rFonts w:ascii="仿宋" w:hAnsi="仿宋" w:eastAsia="仿宋"/>
          <w:color w:val="auto"/>
        </w:rPr>
      </w:pPr>
    </w:p>
    <w:p>
      <w:pPr>
        <w:ind w:firstLine="480"/>
        <w:rPr>
          <w:rFonts w:ascii="仿宋" w:hAnsi="仿宋" w:eastAsia="仿宋"/>
          <w:color w:val="auto"/>
        </w:rPr>
      </w:pPr>
    </w:p>
    <w:p>
      <w:pPr>
        <w:ind w:firstLine="480"/>
        <w:rPr>
          <w:rFonts w:ascii="仿宋" w:hAnsi="仿宋" w:eastAsia="仿宋"/>
          <w:color w:val="auto"/>
        </w:rPr>
      </w:pPr>
    </w:p>
    <w:p>
      <w:pPr>
        <w:ind w:firstLine="480"/>
        <w:rPr>
          <w:rFonts w:ascii="仿宋" w:hAnsi="仿宋" w:eastAsia="仿宋"/>
          <w:color w:val="auto"/>
        </w:rPr>
      </w:pPr>
    </w:p>
    <w:p>
      <w:pPr>
        <w:ind w:firstLine="480"/>
        <w:rPr>
          <w:rFonts w:ascii="仿宋" w:hAnsi="仿宋" w:eastAsia="仿宋"/>
          <w:color w:val="auto"/>
        </w:rPr>
      </w:pPr>
    </w:p>
    <w:p>
      <w:pPr>
        <w:ind w:firstLine="480"/>
        <w:rPr>
          <w:rFonts w:ascii="仿宋" w:hAnsi="仿宋" w:eastAsia="仿宋"/>
          <w:color w:val="auto"/>
        </w:rPr>
      </w:pPr>
    </w:p>
    <w:p>
      <w:pPr>
        <w:ind w:firstLine="480"/>
        <w:rPr>
          <w:rFonts w:ascii="仿宋" w:hAnsi="仿宋" w:eastAsia="仿宋"/>
          <w:color w:val="auto"/>
        </w:rPr>
      </w:pPr>
    </w:p>
    <w:p>
      <w:pPr>
        <w:ind w:firstLine="480"/>
        <w:rPr>
          <w:rFonts w:ascii="仿宋" w:hAnsi="仿宋" w:eastAsia="仿宋"/>
          <w:color w:val="auto"/>
        </w:rPr>
      </w:pPr>
    </w:p>
    <w:p>
      <w:pPr>
        <w:ind w:firstLine="480"/>
        <w:rPr>
          <w:rFonts w:ascii="仿宋" w:hAnsi="仿宋" w:eastAsia="仿宋"/>
          <w:color w:val="auto"/>
        </w:rPr>
      </w:pPr>
    </w:p>
    <w:p>
      <w:pPr>
        <w:ind w:firstLine="480"/>
        <w:rPr>
          <w:rFonts w:ascii="仿宋" w:hAnsi="仿宋" w:eastAsia="仿宋"/>
          <w:color w:val="auto"/>
        </w:rPr>
      </w:pPr>
    </w:p>
    <w:p>
      <w:pPr>
        <w:ind w:firstLine="480"/>
        <w:rPr>
          <w:rFonts w:ascii="仿宋" w:hAnsi="仿宋" w:eastAsia="仿宋"/>
          <w:color w:val="auto"/>
        </w:rPr>
      </w:pPr>
      <w:r>
        <w:rPr>
          <w:rFonts w:hint="eastAsia" w:ascii="仿宋" w:hAnsi="仿宋" w:eastAsia="仿宋"/>
          <w:color w:val="auto"/>
        </w:rPr>
        <w:t>若中标人为残疾人福利性单位的，将在结果公告时公告其《残疾人福利性单位声明函》。</w:t>
      </w:r>
    </w:p>
    <w:p>
      <w:pPr>
        <w:ind w:firstLine="480"/>
        <w:rPr>
          <w:rFonts w:ascii="仿宋" w:hAnsi="仿宋" w:eastAsia="仿宋"/>
          <w:color w:val="auto"/>
        </w:rPr>
      </w:pPr>
      <w:r>
        <w:rPr>
          <w:rFonts w:hint="eastAsia" w:ascii="仿宋" w:hAnsi="仿宋" w:eastAsia="仿宋"/>
          <w:color w:val="auto"/>
        </w:rPr>
        <w:br w:type="page"/>
      </w:r>
      <w:r>
        <w:rPr>
          <w:rFonts w:hint="eastAsia" w:ascii="仿宋" w:hAnsi="仿宋" w:eastAsia="仿宋"/>
          <w:color w:val="auto"/>
        </w:rPr>
        <w:t>（二）其他与项目有关的资料（自附）</w:t>
      </w:r>
    </w:p>
    <w:p>
      <w:pPr>
        <w:pStyle w:val="2"/>
        <w:ind w:firstLine="480"/>
        <w:rPr>
          <w:rFonts w:ascii="仿宋" w:hAnsi="仿宋" w:eastAsia="仿宋"/>
          <w:color w:val="auto"/>
          <w:sz w:val="24"/>
          <w:szCs w:val="20"/>
        </w:rPr>
      </w:pPr>
    </w:p>
    <w:p>
      <w:pPr>
        <w:pStyle w:val="2"/>
        <w:ind w:firstLine="480"/>
        <w:rPr>
          <w:rFonts w:ascii="仿宋" w:hAnsi="仿宋" w:eastAsia="仿宋"/>
          <w:color w:val="auto"/>
          <w:sz w:val="24"/>
          <w:szCs w:val="20"/>
        </w:rPr>
      </w:pPr>
      <w:r>
        <w:rPr>
          <w:rFonts w:hint="eastAsia" w:ascii="仿宋" w:hAnsi="仿宋" w:eastAsia="仿宋"/>
          <w:color w:val="auto"/>
          <w:sz w:val="24"/>
          <w:szCs w:val="20"/>
        </w:rPr>
        <w:t>（三）联合体协议或分包意向协议（格式自定）</w:t>
      </w:r>
    </w:p>
    <w:p>
      <w:pPr>
        <w:ind w:firstLine="480"/>
        <w:rPr>
          <w:rFonts w:ascii="仿宋" w:hAnsi="仿宋" w:eastAsia="仿宋"/>
          <w:color w:val="auto"/>
        </w:rPr>
        <w:sectPr>
          <w:pgSz w:w="11907" w:h="16840"/>
          <w:pgMar w:top="1134" w:right="1191" w:bottom="1134" w:left="1304" w:header="794" w:footer="992" w:gutter="0"/>
          <w:cols w:space="720" w:num="1"/>
          <w:docGrid w:linePitch="380" w:charSpace="-5735"/>
        </w:sectPr>
      </w:pPr>
    </w:p>
    <w:bookmarkEnd w:id="935"/>
    <w:p>
      <w:pPr>
        <w:pStyle w:val="4"/>
        <w:spacing w:beforeLines="0" w:afterLines="0" w:line="520" w:lineRule="exact"/>
        <w:ind w:firstLine="506"/>
        <w:rPr>
          <w:rFonts w:ascii="仿宋" w:hAnsi="仿宋" w:eastAsia="仿宋"/>
          <w:color w:val="auto"/>
        </w:rPr>
      </w:pPr>
      <w:bookmarkStart w:id="938" w:name="_Toc9110"/>
      <w:bookmarkStart w:id="939" w:name="_Toc19566"/>
      <w:bookmarkStart w:id="940" w:name="_Toc16629"/>
      <w:bookmarkStart w:id="941" w:name="_Toc7243"/>
      <w:bookmarkStart w:id="942" w:name="_Toc18599"/>
      <w:bookmarkStart w:id="943" w:name="_Toc24525"/>
      <w:bookmarkStart w:id="944" w:name="_Toc63600448"/>
      <w:bookmarkStart w:id="945" w:name="_Toc21990"/>
      <w:bookmarkStart w:id="946" w:name="_Toc17512"/>
      <w:bookmarkStart w:id="947" w:name="_Toc10864"/>
      <w:bookmarkStart w:id="948" w:name="_Toc7332"/>
      <w:bookmarkStart w:id="949" w:name="_Toc13194"/>
      <w:bookmarkStart w:id="950" w:name="_Toc12558"/>
      <w:bookmarkStart w:id="951" w:name="_Toc6335"/>
      <w:r>
        <w:rPr>
          <w:rFonts w:hint="eastAsia" w:ascii="仿宋" w:hAnsi="仿宋" w:eastAsia="仿宋"/>
          <w:color w:val="auto"/>
        </w:rPr>
        <w:t>五、资格文件</w:t>
      </w:r>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p>
    <w:p>
      <w:pPr>
        <w:ind w:firstLine="424"/>
        <w:rPr>
          <w:rFonts w:ascii="仿宋" w:hAnsi="仿宋" w:eastAsia="仿宋"/>
          <w:color w:val="auto"/>
        </w:rPr>
      </w:pPr>
      <w:r>
        <w:rPr>
          <w:rFonts w:hint="eastAsia" w:ascii="仿宋" w:hAnsi="仿宋" w:eastAsia="仿宋"/>
          <w:color w:val="auto"/>
        </w:rPr>
        <w:t>（一）投标人法人营业执照（副本）或事业单位法人证书（副本）或个体工商户营业执照或有效的自然人身份证明或社会团体法人登记证书（提供复印件）</w:t>
      </w:r>
    </w:p>
    <w:p>
      <w:pPr>
        <w:pStyle w:val="2"/>
        <w:ind w:firstLine="304"/>
        <w:rPr>
          <w:rFonts w:ascii="仿宋" w:hAnsi="仿宋" w:eastAsia="仿宋"/>
          <w:color w:val="auto"/>
        </w:rPr>
      </w:pPr>
      <w:r>
        <w:rPr>
          <w:rFonts w:ascii="仿宋" w:hAnsi="仿宋" w:eastAsia="仿宋"/>
          <w:color w:val="auto"/>
        </w:rPr>
        <w:br w:type="page"/>
      </w:r>
      <w:r>
        <w:rPr>
          <w:rFonts w:hint="eastAsia" w:ascii="仿宋" w:hAnsi="仿宋" w:eastAsia="仿宋"/>
          <w:color w:val="auto"/>
          <w:sz w:val="24"/>
          <w:szCs w:val="20"/>
        </w:rPr>
        <w:t>（二）法定代表人身份证明书（格式）</w:t>
      </w:r>
    </w:p>
    <w:p>
      <w:pPr>
        <w:ind w:firstLine="424"/>
        <w:rPr>
          <w:rFonts w:ascii="仿宋" w:hAnsi="仿宋" w:eastAsia="仿宋"/>
          <w:color w:val="auto"/>
        </w:rPr>
      </w:pPr>
    </w:p>
    <w:p>
      <w:pPr>
        <w:tabs>
          <w:tab w:val="left" w:pos="6300"/>
        </w:tabs>
        <w:snapToGrid w:val="0"/>
        <w:spacing w:line="500" w:lineRule="exact"/>
        <w:ind w:firstLine="424"/>
        <w:rPr>
          <w:rFonts w:ascii="方正仿宋_GBK" w:hAnsi="仿宋" w:eastAsia="方正仿宋_GBK"/>
          <w:color w:val="auto"/>
          <w:highlight w:val="none"/>
        </w:rPr>
      </w:pPr>
      <w:r>
        <w:rPr>
          <w:rFonts w:hint="eastAsia" w:ascii="仿宋" w:hAnsi="仿宋" w:eastAsia="仿宋"/>
          <w:color w:val="auto"/>
        </w:rPr>
        <w:t>招标项目名称：</w:t>
      </w:r>
      <w:r>
        <w:rPr>
          <w:rFonts w:hint="eastAsia" w:ascii="仿宋" w:hAnsi="仿宋" w:eastAsia="仿宋"/>
          <w:color w:val="auto"/>
          <w:highlight w:val="none"/>
          <w:u w:val="single"/>
          <w:lang w:val="en-US" w:eastAsia="zh-CN"/>
        </w:rPr>
        <w:t xml:space="preserve">                          </w:t>
      </w:r>
    </w:p>
    <w:p>
      <w:pPr>
        <w:ind w:firstLine="424"/>
        <w:rPr>
          <w:rFonts w:ascii="仿宋" w:hAnsi="仿宋" w:eastAsia="仿宋"/>
          <w:color w:val="auto"/>
        </w:rPr>
      </w:pPr>
    </w:p>
    <w:p>
      <w:pPr>
        <w:ind w:firstLine="424"/>
        <w:rPr>
          <w:rFonts w:ascii="仿宋" w:hAnsi="仿宋" w:eastAsia="仿宋"/>
          <w:color w:val="auto"/>
        </w:rPr>
      </w:pPr>
    </w:p>
    <w:p>
      <w:pPr>
        <w:tabs>
          <w:tab w:val="left" w:pos="6300"/>
        </w:tabs>
        <w:snapToGrid w:val="0"/>
        <w:spacing w:line="500" w:lineRule="exact"/>
        <w:ind w:firstLine="424"/>
        <w:rPr>
          <w:rFonts w:ascii="仿宋" w:hAnsi="仿宋" w:eastAsia="仿宋"/>
          <w:color w:val="auto"/>
        </w:rPr>
      </w:pPr>
      <w:r>
        <w:rPr>
          <w:rFonts w:hint="eastAsia" w:ascii="仿宋" w:hAnsi="仿宋" w:eastAsia="仿宋"/>
          <w:color w:val="auto"/>
        </w:rPr>
        <w:t>致：</w:t>
      </w:r>
      <w:r>
        <w:rPr>
          <w:rFonts w:hint="eastAsia" w:ascii="仿宋" w:hAnsi="仿宋" w:eastAsia="仿宋"/>
          <w:color w:val="auto"/>
          <w:highlight w:val="none"/>
          <w:u w:val="single"/>
          <w:lang w:val="en-US" w:eastAsia="zh-CN"/>
        </w:rPr>
        <w:t xml:space="preserve">                          </w:t>
      </w:r>
      <w:r>
        <w:rPr>
          <w:rFonts w:hint="eastAsia" w:ascii="仿宋" w:hAnsi="仿宋" w:eastAsia="仿宋"/>
          <w:color w:val="auto"/>
        </w:rPr>
        <w:t>（采购代理机构名称）</w:t>
      </w:r>
    </w:p>
    <w:p>
      <w:pPr>
        <w:tabs>
          <w:tab w:val="left" w:pos="6300"/>
        </w:tabs>
        <w:snapToGrid w:val="0"/>
        <w:spacing w:line="500" w:lineRule="exact"/>
        <w:ind w:firstLine="424"/>
        <w:rPr>
          <w:rFonts w:ascii="仿宋" w:hAnsi="仿宋" w:eastAsia="仿宋"/>
          <w:color w:val="auto"/>
        </w:rPr>
      </w:pPr>
      <w:r>
        <w:rPr>
          <w:rFonts w:hint="eastAsia" w:ascii="仿宋" w:hAnsi="仿宋" w:eastAsia="仿宋"/>
          <w:color w:val="auto"/>
          <w:highlight w:val="none"/>
          <w:u w:val="single"/>
          <w:lang w:val="en-US" w:eastAsia="zh-CN"/>
        </w:rPr>
        <w:t xml:space="preserve">                    </w:t>
      </w:r>
      <w:r>
        <w:rPr>
          <w:rFonts w:hint="eastAsia" w:ascii="仿宋" w:hAnsi="仿宋" w:eastAsia="仿宋"/>
          <w:color w:val="auto"/>
        </w:rPr>
        <w:t>（法定代表人姓名）在</w:t>
      </w:r>
      <w:r>
        <w:rPr>
          <w:rFonts w:hint="eastAsia" w:ascii="仿宋" w:hAnsi="仿宋" w:eastAsia="仿宋"/>
          <w:color w:val="auto"/>
          <w:highlight w:val="none"/>
          <w:u w:val="single"/>
          <w:lang w:val="en-US" w:eastAsia="zh-CN"/>
        </w:rPr>
        <w:t xml:space="preserve">                    </w:t>
      </w:r>
      <w:r>
        <w:rPr>
          <w:rFonts w:hint="eastAsia" w:ascii="仿宋" w:hAnsi="仿宋" w:eastAsia="仿宋"/>
          <w:color w:val="auto"/>
        </w:rPr>
        <w:t>（投标人名称）任</w:t>
      </w:r>
      <w:r>
        <w:rPr>
          <w:rFonts w:hint="eastAsia" w:ascii="仿宋" w:hAnsi="仿宋" w:eastAsia="仿宋"/>
          <w:color w:val="auto"/>
          <w:highlight w:val="none"/>
          <w:u w:val="single"/>
          <w:lang w:val="en-US" w:eastAsia="zh-CN"/>
        </w:rPr>
        <w:t xml:space="preserve">                    </w:t>
      </w:r>
      <w:r>
        <w:rPr>
          <w:rFonts w:hint="eastAsia" w:ascii="仿宋" w:hAnsi="仿宋" w:eastAsia="仿宋"/>
          <w:color w:val="auto"/>
        </w:rPr>
        <w:t>（职务名称）职务，是</w:t>
      </w:r>
      <w:r>
        <w:rPr>
          <w:rFonts w:hint="eastAsia" w:ascii="仿宋" w:hAnsi="仿宋" w:eastAsia="仿宋"/>
          <w:color w:val="auto"/>
          <w:highlight w:val="none"/>
          <w:u w:val="single"/>
          <w:lang w:val="en-US" w:eastAsia="zh-CN"/>
        </w:rPr>
        <w:t xml:space="preserve">                    </w:t>
      </w:r>
      <w:r>
        <w:rPr>
          <w:rFonts w:hint="eastAsia" w:ascii="仿宋" w:hAnsi="仿宋" w:eastAsia="仿宋"/>
          <w:color w:val="auto"/>
        </w:rPr>
        <w:t>（投标人名称）的法定代表人。</w:t>
      </w:r>
    </w:p>
    <w:p>
      <w:pPr>
        <w:ind w:firstLine="424"/>
        <w:rPr>
          <w:rFonts w:ascii="仿宋" w:hAnsi="仿宋" w:eastAsia="仿宋"/>
          <w:color w:val="auto"/>
        </w:rPr>
      </w:pPr>
    </w:p>
    <w:p>
      <w:pPr>
        <w:ind w:firstLine="424"/>
        <w:rPr>
          <w:rFonts w:ascii="仿宋" w:hAnsi="仿宋" w:eastAsia="仿宋"/>
          <w:color w:val="auto"/>
        </w:rPr>
      </w:pPr>
      <w:r>
        <w:rPr>
          <w:rFonts w:hint="eastAsia" w:ascii="仿宋" w:hAnsi="仿宋" w:eastAsia="仿宋"/>
          <w:color w:val="auto"/>
        </w:rPr>
        <w:t>特此证明。</w:t>
      </w:r>
    </w:p>
    <w:p>
      <w:pPr>
        <w:ind w:firstLine="0" w:firstLineChars="0"/>
        <w:rPr>
          <w:rFonts w:ascii="仿宋" w:hAnsi="仿宋" w:eastAsia="仿宋"/>
          <w:color w:val="auto"/>
          <w:szCs w:val="22"/>
        </w:rPr>
      </w:pPr>
    </w:p>
    <w:p>
      <w:pPr>
        <w:ind w:firstLine="424"/>
        <w:rPr>
          <w:rFonts w:ascii="仿宋" w:hAnsi="仿宋" w:eastAsia="仿宋"/>
          <w:color w:val="auto"/>
          <w:szCs w:val="22"/>
        </w:rPr>
      </w:pPr>
    </w:p>
    <w:p>
      <w:pPr>
        <w:ind w:firstLine="6996" w:firstLineChars="3300"/>
        <w:rPr>
          <w:rFonts w:ascii="仿宋" w:hAnsi="仿宋" w:eastAsia="仿宋"/>
          <w:color w:val="auto"/>
        </w:rPr>
      </w:pPr>
      <w:r>
        <w:rPr>
          <w:rFonts w:hint="eastAsia" w:ascii="仿宋" w:hAnsi="仿宋" w:eastAsia="仿宋"/>
          <w:color w:val="auto"/>
        </w:rPr>
        <w:t>（投标人公章）</w:t>
      </w:r>
    </w:p>
    <w:p>
      <w:pPr>
        <w:ind w:firstLine="424"/>
        <w:rPr>
          <w:rFonts w:ascii="仿宋" w:hAnsi="仿宋" w:eastAsia="仿宋"/>
          <w:color w:val="auto"/>
          <w:szCs w:val="22"/>
          <w:lang w:val="zh-CN"/>
        </w:rPr>
      </w:pPr>
    </w:p>
    <w:p>
      <w:pPr>
        <w:wordWrap w:val="0"/>
        <w:ind w:firstLine="424"/>
        <w:jc w:val="right"/>
        <w:rPr>
          <w:rFonts w:ascii="仿宋" w:hAnsi="仿宋" w:eastAsia="仿宋"/>
          <w:color w:val="auto"/>
        </w:rPr>
      </w:pPr>
      <w:r>
        <w:rPr>
          <w:rFonts w:hint="eastAsia" w:ascii="仿宋" w:hAnsi="仿宋" w:eastAsia="仿宋"/>
          <w:color w:val="auto"/>
        </w:rPr>
        <w:t xml:space="preserve">年   月   日       </w:t>
      </w:r>
    </w:p>
    <w:p>
      <w:pPr>
        <w:ind w:firstLine="424"/>
        <w:rPr>
          <w:rFonts w:ascii="仿宋" w:hAnsi="仿宋" w:eastAsia="仿宋"/>
          <w:color w:val="auto"/>
          <w:szCs w:val="22"/>
        </w:rPr>
      </w:pPr>
    </w:p>
    <w:p>
      <w:pPr>
        <w:pStyle w:val="2"/>
        <w:ind w:firstLine="424"/>
        <w:rPr>
          <w:rFonts w:ascii="仿宋" w:hAnsi="仿宋" w:eastAsia="仿宋"/>
          <w:color w:val="auto"/>
        </w:rPr>
      </w:pPr>
      <w:r>
        <w:rPr>
          <w:rFonts w:hint="eastAsia" w:ascii="仿宋" w:hAnsi="仿宋" w:eastAsia="仿宋"/>
          <w:color w:val="auto"/>
          <w:sz w:val="24"/>
        </w:rPr>
        <w:t>法定代表人电话：XXXXXXX      电子邮箱：XXXXXX@XXXXX（若授权他人办理并签署投标文件的可不填写）</w:t>
      </w:r>
    </w:p>
    <w:p>
      <w:pPr>
        <w:ind w:firstLine="424"/>
        <w:rPr>
          <w:rFonts w:ascii="仿宋" w:hAnsi="仿宋" w:eastAsia="仿宋" w:cs="等线 Light"/>
          <w:color w:val="auto"/>
          <w:szCs w:val="28"/>
        </w:rPr>
      </w:pPr>
      <w:r>
        <w:rPr>
          <w:rFonts w:hint="eastAsia" w:ascii="仿宋" w:hAnsi="仿宋" w:eastAsia="仿宋"/>
          <w:color w:val="auto"/>
        </w:rPr>
        <w:t>（附：法定代表人身份证</w:t>
      </w:r>
      <w:r>
        <w:rPr>
          <w:rFonts w:hint="eastAsia" w:ascii="仿宋" w:hAnsi="仿宋" w:eastAsia="仿宋"/>
          <w:color w:val="auto"/>
          <w:szCs w:val="22"/>
        </w:rPr>
        <w:t>正反面</w:t>
      </w:r>
      <w:r>
        <w:rPr>
          <w:rFonts w:hint="eastAsia" w:ascii="仿宋" w:hAnsi="仿宋" w:eastAsia="仿宋"/>
          <w:color w:val="auto"/>
        </w:rPr>
        <w:t>复印件）</w:t>
      </w:r>
    </w:p>
    <w:p>
      <w:pPr>
        <w:tabs>
          <w:tab w:val="left" w:pos="6300"/>
        </w:tabs>
        <w:snapToGrid w:val="0"/>
        <w:spacing w:line="500" w:lineRule="exact"/>
        <w:ind w:firstLine="424"/>
        <w:rPr>
          <w:rFonts w:ascii="仿宋" w:hAnsi="仿宋" w:eastAsia="仿宋" w:cs="等线 Light"/>
          <w:color w:val="auto"/>
          <w:szCs w:val="28"/>
        </w:rPr>
      </w:pPr>
    </w:p>
    <w:p>
      <w:pPr>
        <w:tabs>
          <w:tab w:val="left" w:pos="6300"/>
        </w:tabs>
        <w:snapToGrid w:val="0"/>
        <w:spacing w:line="500" w:lineRule="exact"/>
        <w:ind w:firstLine="424"/>
        <w:rPr>
          <w:rFonts w:ascii="仿宋" w:hAnsi="仿宋" w:eastAsia="仿宋" w:cs="等线 Light"/>
          <w:color w:val="auto"/>
          <w:szCs w:val="28"/>
        </w:rPr>
      </w:pPr>
    </w:p>
    <w:p>
      <w:pPr>
        <w:tabs>
          <w:tab w:val="left" w:pos="6300"/>
        </w:tabs>
        <w:snapToGrid w:val="0"/>
        <w:spacing w:line="500" w:lineRule="exact"/>
        <w:ind w:firstLine="424"/>
        <w:rPr>
          <w:rFonts w:ascii="仿宋" w:hAnsi="仿宋" w:eastAsia="仿宋" w:cs="等线 Light"/>
          <w:color w:val="auto"/>
          <w:szCs w:val="28"/>
        </w:rPr>
      </w:pPr>
    </w:p>
    <w:p>
      <w:pPr>
        <w:tabs>
          <w:tab w:val="left" w:pos="6300"/>
        </w:tabs>
        <w:snapToGrid w:val="0"/>
        <w:spacing w:line="500" w:lineRule="exact"/>
        <w:ind w:firstLine="424"/>
        <w:rPr>
          <w:rFonts w:ascii="仿宋" w:hAnsi="仿宋" w:eastAsia="仿宋" w:cs="等线 Light"/>
          <w:color w:val="auto"/>
          <w:szCs w:val="28"/>
        </w:rPr>
      </w:pPr>
    </w:p>
    <w:p>
      <w:pPr>
        <w:tabs>
          <w:tab w:val="left" w:pos="6300"/>
        </w:tabs>
        <w:snapToGrid w:val="0"/>
        <w:spacing w:line="500" w:lineRule="exact"/>
        <w:ind w:firstLine="424"/>
        <w:rPr>
          <w:rFonts w:ascii="仿宋" w:hAnsi="仿宋" w:eastAsia="仿宋" w:cs="等线 Light"/>
          <w:color w:val="auto"/>
          <w:szCs w:val="28"/>
        </w:rPr>
      </w:pPr>
    </w:p>
    <w:p>
      <w:pPr>
        <w:ind w:firstLine="0" w:firstLineChars="0"/>
        <w:rPr>
          <w:rFonts w:ascii="仿宋" w:hAnsi="仿宋" w:eastAsia="仿宋" w:cs="等线 Light"/>
          <w:color w:val="auto"/>
          <w:szCs w:val="28"/>
        </w:rPr>
      </w:pPr>
    </w:p>
    <w:p>
      <w:pPr>
        <w:ind w:firstLine="424"/>
        <w:rPr>
          <w:rFonts w:ascii="仿宋" w:hAnsi="仿宋" w:eastAsia="仿宋"/>
          <w:color w:val="auto"/>
        </w:rPr>
      </w:pPr>
      <w:r>
        <w:rPr>
          <w:rFonts w:hint="eastAsia" w:ascii="仿宋" w:hAnsi="仿宋" w:eastAsia="仿宋"/>
          <w:color w:val="auto"/>
        </w:rPr>
        <w:br w:type="page"/>
      </w:r>
      <w:r>
        <w:rPr>
          <w:rFonts w:hint="eastAsia" w:ascii="仿宋" w:hAnsi="仿宋" w:eastAsia="仿宋"/>
          <w:color w:val="auto"/>
        </w:rPr>
        <w:t>（三）法定代表人授权委托书（格式）</w:t>
      </w:r>
    </w:p>
    <w:p>
      <w:pPr>
        <w:ind w:firstLine="424"/>
        <w:rPr>
          <w:rFonts w:ascii="仿宋" w:hAnsi="仿宋" w:eastAsia="仿宋"/>
          <w:color w:val="auto"/>
        </w:rPr>
      </w:pPr>
    </w:p>
    <w:p>
      <w:pPr>
        <w:tabs>
          <w:tab w:val="left" w:pos="6300"/>
        </w:tabs>
        <w:snapToGrid w:val="0"/>
        <w:spacing w:line="500" w:lineRule="exact"/>
        <w:ind w:firstLine="424"/>
        <w:rPr>
          <w:rFonts w:ascii="方正仿宋_GBK" w:hAnsi="仿宋" w:eastAsia="方正仿宋_GBK"/>
          <w:color w:val="auto"/>
          <w:highlight w:val="none"/>
        </w:rPr>
      </w:pPr>
      <w:r>
        <w:rPr>
          <w:rFonts w:hint="eastAsia" w:ascii="仿宋" w:hAnsi="仿宋" w:eastAsia="仿宋"/>
          <w:color w:val="auto"/>
        </w:rPr>
        <w:t>招标项目名称：</w:t>
      </w:r>
      <w:r>
        <w:rPr>
          <w:rFonts w:hint="eastAsia" w:ascii="仿宋" w:hAnsi="仿宋" w:eastAsia="仿宋"/>
          <w:color w:val="auto"/>
          <w:highlight w:val="none"/>
          <w:u w:val="single"/>
          <w:lang w:val="en-US" w:eastAsia="zh-CN"/>
        </w:rPr>
        <w:t xml:space="preserve">                  </w:t>
      </w:r>
    </w:p>
    <w:p>
      <w:pPr>
        <w:tabs>
          <w:tab w:val="left" w:pos="6300"/>
        </w:tabs>
        <w:snapToGrid w:val="0"/>
        <w:spacing w:line="500" w:lineRule="exact"/>
        <w:ind w:firstLine="424"/>
        <w:rPr>
          <w:rFonts w:hint="eastAsia" w:ascii="仿宋" w:hAnsi="仿宋" w:eastAsia="仿宋"/>
          <w:color w:val="auto"/>
        </w:rPr>
      </w:pPr>
    </w:p>
    <w:p>
      <w:pPr>
        <w:tabs>
          <w:tab w:val="left" w:pos="6300"/>
        </w:tabs>
        <w:snapToGrid w:val="0"/>
        <w:spacing w:line="500" w:lineRule="exact"/>
        <w:ind w:firstLine="424"/>
        <w:rPr>
          <w:rFonts w:ascii="仿宋" w:hAnsi="仿宋" w:eastAsia="仿宋"/>
          <w:color w:val="auto"/>
        </w:rPr>
      </w:pPr>
      <w:r>
        <w:rPr>
          <w:rFonts w:hint="eastAsia" w:ascii="仿宋" w:hAnsi="仿宋" w:eastAsia="仿宋"/>
          <w:color w:val="auto"/>
        </w:rPr>
        <w:t>致：</w:t>
      </w:r>
      <w:r>
        <w:rPr>
          <w:rFonts w:hint="eastAsia" w:ascii="仿宋" w:hAnsi="仿宋" w:eastAsia="仿宋"/>
          <w:color w:val="auto"/>
          <w:highlight w:val="none"/>
          <w:u w:val="single"/>
          <w:lang w:val="en-US" w:eastAsia="zh-CN"/>
        </w:rPr>
        <w:t xml:space="preserve">                  </w:t>
      </w:r>
      <w:r>
        <w:rPr>
          <w:rFonts w:hint="eastAsia" w:ascii="仿宋" w:hAnsi="仿宋" w:eastAsia="仿宋"/>
          <w:color w:val="auto"/>
        </w:rPr>
        <w:t>（采购代理机构名称）</w:t>
      </w:r>
    </w:p>
    <w:p>
      <w:pPr>
        <w:ind w:firstLine="424"/>
        <w:rPr>
          <w:rFonts w:ascii="仿宋" w:hAnsi="仿宋" w:eastAsia="仿宋"/>
          <w:color w:val="auto"/>
        </w:rPr>
      </w:pPr>
      <w:r>
        <w:rPr>
          <w:rFonts w:hint="eastAsia" w:ascii="仿宋" w:hAnsi="仿宋" w:eastAsia="仿宋"/>
          <w:color w:val="auto"/>
          <w:highlight w:val="none"/>
          <w:u w:val="single"/>
          <w:lang w:val="en-US" w:eastAsia="zh-CN"/>
        </w:rPr>
        <w:t xml:space="preserve">                  </w:t>
      </w:r>
      <w:r>
        <w:rPr>
          <w:rFonts w:hint="eastAsia" w:ascii="仿宋" w:hAnsi="仿宋" w:eastAsia="仿宋"/>
          <w:color w:val="auto"/>
        </w:rPr>
        <w:t>（投标人法定代表人名称）是</w:t>
      </w:r>
      <w:r>
        <w:rPr>
          <w:rFonts w:hint="eastAsia" w:ascii="仿宋" w:hAnsi="仿宋" w:eastAsia="仿宋"/>
          <w:color w:val="auto"/>
          <w:highlight w:val="none"/>
          <w:u w:val="single"/>
          <w:lang w:val="en-US" w:eastAsia="zh-CN"/>
        </w:rPr>
        <w:t xml:space="preserve">                  </w:t>
      </w:r>
      <w:r>
        <w:rPr>
          <w:rFonts w:hint="eastAsia" w:ascii="仿宋" w:hAnsi="仿宋" w:eastAsia="仿宋"/>
          <w:color w:val="auto"/>
        </w:rPr>
        <w:t>（投标人名称）的法定代表人，特授权</w:t>
      </w:r>
      <w:r>
        <w:rPr>
          <w:rFonts w:hint="eastAsia" w:ascii="仿宋" w:hAnsi="仿宋" w:eastAsia="仿宋"/>
          <w:color w:val="auto"/>
          <w:highlight w:val="none"/>
          <w:u w:val="single"/>
          <w:lang w:val="en-US" w:eastAsia="zh-CN"/>
        </w:rPr>
        <w:t xml:space="preserve">                  </w:t>
      </w:r>
      <w:r>
        <w:rPr>
          <w:rFonts w:hint="eastAsia" w:ascii="仿宋" w:hAnsi="仿宋" w:eastAsia="仿宋"/>
          <w:color w:val="auto"/>
        </w:rPr>
        <w:t>（被授权人姓名及身份证代码）代表我单位全权办理上述项目的投标、谈判、签约等具体工作，并签署全部有关文件、协议及合同。</w:t>
      </w:r>
    </w:p>
    <w:p>
      <w:pPr>
        <w:ind w:firstLine="424"/>
        <w:rPr>
          <w:rFonts w:ascii="仿宋" w:hAnsi="仿宋" w:eastAsia="仿宋"/>
          <w:color w:val="auto"/>
        </w:rPr>
      </w:pPr>
      <w:r>
        <w:rPr>
          <w:rFonts w:hint="eastAsia" w:ascii="仿宋" w:hAnsi="仿宋" w:eastAsia="仿宋"/>
          <w:color w:val="auto"/>
        </w:rPr>
        <w:t>我单位对被授权人的签署负全部责任。</w:t>
      </w:r>
    </w:p>
    <w:p>
      <w:pPr>
        <w:ind w:firstLine="424"/>
        <w:rPr>
          <w:rFonts w:ascii="仿宋" w:hAnsi="仿宋" w:eastAsia="仿宋"/>
          <w:color w:val="auto"/>
        </w:rPr>
      </w:pPr>
      <w:r>
        <w:rPr>
          <w:rFonts w:hint="eastAsia" w:ascii="仿宋" w:hAnsi="仿宋" w:eastAsia="仿宋"/>
          <w:color w:val="auto"/>
        </w:rPr>
        <w:t>在撤消授权的书面通知以前，本授权书一直有效。被授权人在授权书有效期内签署的所有文件不因授权的撤消而失效。</w:t>
      </w:r>
    </w:p>
    <w:p>
      <w:pPr>
        <w:ind w:firstLine="424"/>
        <w:rPr>
          <w:rFonts w:ascii="仿宋" w:hAnsi="仿宋" w:eastAsia="仿宋"/>
          <w:color w:val="auto"/>
          <w:szCs w:val="22"/>
          <w:lang w:val="zh-CN"/>
        </w:rPr>
      </w:pPr>
    </w:p>
    <w:p>
      <w:pPr>
        <w:pStyle w:val="2"/>
        <w:ind w:firstLine="304"/>
        <w:rPr>
          <w:rFonts w:hint="eastAsia"/>
          <w:color w:val="auto"/>
          <w:lang w:val="zh-CN"/>
        </w:rPr>
      </w:pPr>
    </w:p>
    <w:p>
      <w:pPr>
        <w:ind w:firstLine="424"/>
        <w:rPr>
          <w:rFonts w:ascii="仿宋" w:hAnsi="仿宋" w:eastAsia="仿宋"/>
          <w:color w:val="auto"/>
        </w:rPr>
      </w:pPr>
      <w:r>
        <w:rPr>
          <w:rFonts w:hint="eastAsia" w:ascii="仿宋" w:hAnsi="仿宋" w:eastAsia="仿宋"/>
          <w:color w:val="auto"/>
        </w:rPr>
        <w:t>被授权人：                                投标人法定代表人：</w:t>
      </w:r>
    </w:p>
    <w:p>
      <w:pPr>
        <w:ind w:firstLine="424"/>
        <w:rPr>
          <w:rFonts w:ascii="仿宋" w:hAnsi="仿宋" w:eastAsia="仿宋"/>
          <w:color w:val="auto"/>
          <w:szCs w:val="22"/>
          <w:lang w:val="zh-CN"/>
        </w:rPr>
      </w:pPr>
      <w:r>
        <w:rPr>
          <w:rFonts w:hint="eastAsia" w:ascii="仿宋" w:hAnsi="仿宋" w:eastAsia="仿宋"/>
          <w:color w:val="auto"/>
          <w:szCs w:val="22"/>
          <w:lang w:val="zh-CN"/>
        </w:rPr>
        <w:t>（签署或盖章）                                （签署或盖章）</w:t>
      </w:r>
    </w:p>
    <w:p>
      <w:pPr>
        <w:pStyle w:val="2"/>
        <w:ind w:firstLine="304"/>
        <w:rPr>
          <w:rFonts w:ascii="仿宋" w:hAnsi="仿宋" w:eastAsia="仿宋"/>
          <w:color w:val="auto"/>
          <w:lang w:val="zh-CN"/>
        </w:rPr>
      </w:pPr>
    </w:p>
    <w:p>
      <w:pPr>
        <w:ind w:firstLine="6996" w:firstLineChars="3300"/>
        <w:rPr>
          <w:rFonts w:ascii="仿宋" w:hAnsi="仿宋" w:eastAsia="仿宋"/>
          <w:color w:val="auto"/>
        </w:rPr>
      </w:pPr>
    </w:p>
    <w:p>
      <w:pPr>
        <w:ind w:firstLine="424"/>
        <w:rPr>
          <w:rFonts w:ascii="仿宋" w:hAnsi="仿宋" w:eastAsia="仿宋"/>
          <w:color w:val="auto"/>
        </w:rPr>
      </w:pPr>
      <w:r>
        <w:rPr>
          <w:rFonts w:hint="eastAsia" w:ascii="仿宋" w:hAnsi="仿宋" w:eastAsia="仿宋"/>
          <w:color w:val="auto"/>
        </w:rPr>
        <w:t>（附：被授权人身份证正反面复印件）</w:t>
      </w:r>
    </w:p>
    <w:p>
      <w:pPr>
        <w:pStyle w:val="2"/>
        <w:ind w:firstLine="304"/>
        <w:rPr>
          <w:rFonts w:hint="eastAsia"/>
          <w:color w:val="auto"/>
        </w:rPr>
      </w:pPr>
    </w:p>
    <w:p>
      <w:pPr>
        <w:pStyle w:val="2"/>
        <w:ind w:left="0" w:leftChars="0" w:firstLine="0" w:firstLineChars="0"/>
        <w:rPr>
          <w:rFonts w:hint="eastAsia"/>
          <w:color w:val="auto"/>
        </w:rPr>
      </w:pPr>
    </w:p>
    <w:p>
      <w:pPr>
        <w:ind w:firstLine="6996" w:firstLineChars="3300"/>
        <w:rPr>
          <w:rFonts w:ascii="仿宋" w:hAnsi="仿宋" w:eastAsia="仿宋"/>
          <w:color w:val="auto"/>
          <w:szCs w:val="22"/>
          <w:lang w:val="zh-CN"/>
        </w:rPr>
      </w:pPr>
      <w:r>
        <w:rPr>
          <w:rFonts w:hint="eastAsia" w:ascii="仿宋" w:hAnsi="仿宋" w:eastAsia="仿宋"/>
          <w:color w:val="auto"/>
        </w:rPr>
        <w:t>（投标人公章）</w:t>
      </w:r>
    </w:p>
    <w:p>
      <w:pPr>
        <w:wordWrap w:val="0"/>
        <w:ind w:firstLine="424"/>
        <w:jc w:val="right"/>
        <w:rPr>
          <w:rFonts w:ascii="仿宋" w:hAnsi="仿宋" w:eastAsia="仿宋"/>
          <w:color w:val="auto"/>
        </w:rPr>
      </w:pPr>
      <w:r>
        <w:rPr>
          <w:rFonts w:hint="eastAsia" w:ascii="仿宋" w:hAnsi="仿宋" w:eastAsia="仿宋"/>
          <w:color w:val="auto"/>
        </w:rPr>
        <w:t>年   月   日</w:t>
      </w:r>
    </w:p>
    <w:p>
      <w:pPr>
        <w:ind w:firstLine="424"/>
        <w:rPr>
          <w:rFonts w:ascii="仿宋" w:hAnsi="仿宋" w:eastAsia="仿宋"/>
          <w:color w:val="auto"/>
        </w:rPr>
      </w:pPr>
    </w:p>
    <w:p>
      <w:pPr>
        <w:tabs>
          <w:tab w:val="left" w:pos="6300"/>
        </w:tabs>
        <w:snapToGrid w:val="0"/>
        <w:spacing w:line="500" w:lineRule="exact"/>
        <w:ind w:firstLine="424"/>
        <w:rPr>
          <w:rFonts w:ascii="仿宋" w:hAnsi="仿宋" w:eastAsia="仿宋" w:cs="等线 Light"/>
          <w:color w:val="auto"/>
          <w:szCs w:val="28"/>
        </w:rPr>
      </w:pPr>
      <w:r>
        <w:rPr>
          <w:rFonts w:hint="eastAsia" w:ascii="仿宋" w:hAnsi="仿宋" w:eastAsia="仿宋"/>
          <w:color w:val="auto"/>
        </w:rPr>
        <w:t>被授权人电话：XXXXXXX     电子邮箱：XXXXXX@XXXXX（若法定代表人办理并签署投标文件的可不填写）</w:t>
      </w:r>
    </w:p>
    <w:p>
      <w:pPr>
        <w:ind w:firstLine="424"/>
        <w:rPr>
          <w:rFonts w:ascii="仿宋" w:hAnsi="仿宋" w:eastAsia="仿宋"/>
          <w:color w:val="auto"/>
        </w:rPr>
      </w:pPr>
      <w:r>
        <w:rPr>
          <w:rFonts w:hint="eastAsia" w:ascii="仿宋" w:hAnsi="仿宋" w:eastAsia="仿宋"/>
          <w:color w:val="auto"/>
        </w:rPr>
        <w:t>注：</w:t>
      </w:r>
    </w:p>
    <w:p>
      <w:pPr>
        <w:ind w:firstLine="424"/>
        <w:rPr>
          <w:rFonts w:hint="eastAsia" w:ascii="仿宋" w:hAnsi="仿宋" w:eastAsia="仿宋"/>
          <w:color w:val="auto"/>
        </w:rPr>
      </w:pPr>
      <w:r>
        <w:rPr>
          <w:rFonts w:hint="eastAsia" w:ascii="仿宋" w:hAnsi="仿宋" w:eastAsia="仿宋"/>
          <w:color w:val="auto"/>
        </w:rPr>
        <w:t>1.若为法定代表人办理并签署投标文件的，不提供此文件。</w:t>
      </w:r>
    </w:p>
    <w:p>
      <w:pPr>
        <w:ind w:firstLine="424"/>
        <w:rPr>
          <w:rFonts w:ascii="仿宋" w:hAnsi="仿宋" w:eastAsia="仿宋"/>
          <w:color w:val="auto"/>
        </w:rPr>
      </w:pPr>
      <w:r>
        <w:rPr>
          <w:rFonts w:hint="eastAsia" w:ascii="仿宋" w:hAnsi="仿宋" w:eastAsia="仿宋"/>
          <w:color w:val="auto"/>
        </w:rPr>
        <w:t>2.若为联合体投标的，法定代表人授权委托书由联合体主办方（主体）出具</w:t>
      </w:r>
      <w:r>
        <w:rPr>
          <w:rFonts w:hint="eastAsia" w:ascii="仿宋" w:hAnsi="仿宋" w:eastAsia="仿宋"/>
          <w:color w:val="auto"/>
          <w:sz w:val="18"/>
        </w:rPr>
        <w:t>。</w:t>
      </w:r>
    </w:p>
    <w:p>
      <w:pPr>
        <w:ind w:firstLine="0" w:firstLineChars="0"/>
        <w:jc w:val="left"/>
        <w:rPr>
          <w:rFonts w:ascii="仿宋" w:hAnsi="仿宋" w:eastAsia="仿宋"/>
          <w:color w:val="auto"/>
          <w:sz w:val="28"/>
          <w:szCs w:val="21"/>
        </w:rPr>
      </w:pPr>
      <w:r>
        <w:rPr>
          <w:rFonts w:hint="eastAsia" w:ascii="仿宋" w:hAnsi="仿宋" w:eastAsia="仿宋" w:cs="等线 Light"/>
          <w:color w:val="auto"/>
          <w:szCs w:val="28"/>
        </w:rPr>
        <w:br w:type="column"/>
      </w:r>
      <w:r>
        <w:rPr>
          <w:rFonts w:hint="eastAsia" w:ascii="仿宋" w:hAnsi="仿宋" w:eastAsia="仿宋"/>
          <w:color w:val="auto"/>
          <w:sz w:val="28"/>
          <w:szCs w:val="21"/>
        </w:rPr>
        <w:t>（四）基本资格条件承诺函</w:t>
      </w:r>
    </w:p>
    <w:p>
      <w:pPr>
        <w:ind w:firstLine="586"/>
        <w:jc w:val="center"/>
        <w:rPr>
          <w:rFonts w:ascii="仿宋" w:hAnsi="仿宋" w:eastAsia="仿宋"/>
          <w:color w:val="auto"/>
        </w:rPr>
      </w:pPr>
      <w:r>
        <w:rPr>
          <w:rFonts w:hint="eastAsia" w:ascii="方正仿宋_GBK" w:hAnsi="方正仿宋_GBK" w:eastAsia="方正仿宋_GBK" w:cs="方正仿宋_GBK"/>
          <w:b/>
          <w:bCs/>
          <w:color w:val="auto"/>
          <w:sz w:val="32"/>
          <w:szCs w:val="32"/>
        </w:rPr>
        <w:t>基本资格条件承诺函</w:t>
      </w:r>
    </w:p>
    <w:p>
      <w:pPr>
        <w:tabs>
          <w:tab w:val="left" w:pos="6300"/>
        </w:tabs>
        <w:snapToGrid w:val="0"/>
        <w:spacing w:line="500" w:lineRule="exact"/>
        <w:ind w:firstLine="424"/>
        <w:rPr>
          <w:rFonts w:ascii="方正仿宋_GBK" w:hAnsi="宋体" w:eastAsia="方正仿宋_GBK"/>
          <w:color w:val="auto"/>
          <w:szCs w:val="24"/>
        </w:rPr>
      </w:pPr>
    </w:p>
    <w:p>
      <w:pPr>
        <w:tabs>
          <w:tab w:val="left" w:pos="6300"/>
        </w:tabs>
        <w:snapToGrid w:val="0"/>
        <w:spacing w:line="500" w:lineRule="exact"/>
        <w:ind w:firstLine="424"/>
        <w:rPr>
          <w:rFonts w:ascii="方正仿宋_GBK" w:hAnsi="仿宋" w:eastAsia="方正仿宋_GBK"/>
          <w:color w:val="auto"/>
        </w:rPr>
      </w:pPr>
      <w:r>
        <w:rPr>
          <w:rFonts w:hint="eastAsia" w:ascii="方正仿宋_GBK" w:hAnsi="仿宋" w:eastAsia="方正仿宋_GBK"/>
          <w:color w:val="auto"/>
        </w:rPr>
        <w:t>致</w:t>
      </w:r>
      <w:r>
        <w:rPr>
          <w:rFonts w:hint="eastAsia" w:ascii="仿宋" w:hAnsi="仿宋" w:eastAsia="仿宋"/>
          <w:color w:val="auto"/>
          <w:highlight w:val="none"/>
          <w:u w:val="single"/>
          <w:lang w:val="en-US" w:eastAsia="zh-CN"/>
        </w:rPr>
        <w:t xml:space="preserve">                  </w:t>
      </w:r>
      <w:r>
        <w:rPr>
          <w:rFonts w:hint="eastAsia" w:ascii="方正仿宋_GBK" w:hAnsi="仿宋" w:eastAsia="方正仿宋_GBK"/>
          <w:color w:val="auto"/>
        </w:rPr>
        <w:t>（采购代理机构名称）：</w:t>
      </w:r>
    </w:p>
    <w:p>
      <w:pPr>
        <w:tabs>
          <w:tab w:val="left" w:pos="6300"/>
        </w:tabs>
        <w:snapToGrid w:val="0"/>
        <w:spacing w:line="500" w:lineRule="exact"/>
        <w:ind w:firstLine="424"/>
        <w:rPr>
          <w:rFonts w:ascii="方正仿宋_GBK" w:hAnsi="仿宋" w:eastAsia="方正仿宋_GBK"/>
          <w:color w:val="auto"/>
        </w:rPr>
      </w:pPr>
      <w:r>
        <w:rPr>
          <w:rFonts w:hint="eastAsia" w:ascii="仿宋" w:hAnsi="仿宋" w:eastAsia="仿宋"/>
          <w:color w:val="auto"/>
          <w:highlight w:val="none"/>
          <w:u w:val="single"/>
          <w:lang w:val="en-US" w:eastAsia="zh-CN"/>
        </w:rPr>
        <w:t xml:space="preserve">                  </w:t>
      </w:r>
      <w:r>
        <w:rPr>
          <w:rFonts w:hint="eastAsia" w:ascii="方正仿宋_GBK" w:hAnsi="仿宋" w:eastAsia="方正仿宋_GBK"/>
          <w:color w:val="auto"/>
        </w:rPr>
        <w:t>（投标人名称）郑重承诺：</w:t>
      </w:r>
    </w:p>
    <w:p>
      <w:pPr>
        <w:ind w:firstLine="424"/>
        <w:rPr>
          <w:rFonts w:ascii="仿宋" w:hAnsi="仿宋" w:eastAsia="仿宋"/>
          <w:color w:val="auto"/>
          <w:szCs w:val="22"/>
        </w:rPr>
      </w:pPr>
      <w:r>
        <w:rPr>
          <w:rFonts w:hint="eastAsia" w:ascii="仿宋" w:hAnsi="仿宋" w:eastAsia="仿宋"/>
          <w:color w:val="auto"/>
          <w:szCs w:val="22"/>
        </w:rPr>
        <w:t>1.我方具有良好的商业信誉和健全的财务会计制度，具有履行合同所必需的设备和专业技术能力，具</w:t>
      </w:r>
      <w:r>
        <w:rPr>
          <w:rFonts w:hint="eastAsia" w:ascii="仿宋" w:hAnsi="仿宋" w:eastAsia="仿宋"/>
          <w:color w:val="auto"/>
          <w:szCs w:val="22"/>
          <w:lang w:val="zh-CN"/>
        </w:rPr>
        <w:t>有依法缴纳税收和社会保障金的良好记录</w:t>
      </w:r>
      <w:r>
        <w:rPr>
          <w:rFonts w:hint="eastAsia" w:ascii="仿宋" w:hAnsi="仿宋" w:eastAsia="仿宋"/>
          <w:color w:val="auto"/>
          <w:szCs w:val="22"/>
        </w:rPr>
        <w:t>，参加本项目采购活动前三年内无重大违法活动记录。</w:t>
      </w:r>
    </w:p>
    <w:p>
      <w:pPr>
        <w:ind w:firstLine="424"/>
        <w:rPr>
          <w:rFonts w:ascii="仿宋" w:hAnsi="仿宋" w:eastAsia="仿宋"/>
          <w:color w:val="auto"/>
          <w:szCs w:val="22"/>
        </w:rPr>
      </w:pPr>
      <w:r>
        <w:rPr>
          <w:rFonts w:hint="eastAsia" w:ascii="仿宋" w:hAnsi="仿宋" w:eastAsia="仿宋"/>
          <w:color w:val="auto"/>
          <w:szCs w:val="22"/>
        </w:rPr>
        <w:t>2.我方未列入在信用中国网站（www.creditchina.gov.cn）“失信被执行人”、“重大税收违法案件当事人名单”中，也未列入中国政府采购网（www.ccgp.gov.cn）“政府采购严重违法失信行为记录名单”中。</w:t>
      </w:r>
    </w:p>
    <w:p>
      <w:pPr>
        <w:ind w:firstLine="424"/>
        <w:rPr>
          <w:rFonts w:ascii="仿宋" w:hAnsi="仿宋" w:eastAsia="仿宋"/>
          <w:color w:val="auto"/>
          <w:szCs w:val="22"/>
        </w:rPr>
      </w:pPr>
      <w:r>
        <w:rPr>
          <w:rFonts w:hint="eastAsia" w:ascii="仿宋" w:hAnsi="仿宋" w:eastAsia="仿宋"/>
          <w:color w:val="auto"/>
          <w:szCs w:val="22"/>
        </w:rPr>
        <w:t>3.我方在采购项目评审（评标）环节结束后，随时接受采购人、采购代理机构的检查验证，配合提供相关证明材料，证明符合《中华人民共和国政府采购法》规定的投标人基本资格条件。</w:t>
      </w:r>
    </w:p>
    <w:p>
      <w:pPr>
        <w:ind w:firstLine="424"/>
        <w:rPr>
          <w:rFonts w:ascii="仿宋" w:hAnsi="仿宋" w:eastAsia="仿宋"/>
          <w:color w:val="auto"/>
          <w:szCs w:val="22"/>
        </w:rPr>
      </w:pPr>
      <w:r>
        <w:rPr>
          <w:rFonts w:hint="eastAsia" w:ascii="仿宋" w:hAnsi="仿宋" w:eastAsia="仿宋"/>
          <w:color w:val="auto"/>
          <w:szCs w:val="22"/>
        </w:rPr>
        <w:t>我方对以上承诺负全部法律责任。</w:t>
      </w:r>
    </w:p>
    <w:p>
      <w:pPr>
        <w:ind w:firstLine="424"/>
        <w:rPr>
          <w:rFonts w:ascii="仿宋" w:hAnsi="仿宋" w:eastAsia="仿宋"/>
          <w:color w:val="auto"/>
          <w:szCs w:val="22"/>
        </w:rPr>
      </w:pPr>
      <w:r>
        <w:rPr>
          <w:rFonts w:hint="eastAsia" w:ascii="仿宋" w:hAnsi="仿宋" w:eastAsia="仿宋"/>
          <w:color w:val="auto"/>
          <w:szCs w:val="22"/>
        </w:rPr>
        <w:t>特此承诺。</w:t>
      </w:r>
    </w:p>
    <w:p>
      <w:pPr>
        <w:tabs>
          <w:tab w:val="left" w:pos="6300"/>
        </w:tabs>
        <w:snapToGrid w:val="0"/>
        <w:spacing w:line="500" w:lineRule="exact"/>
        <w:ind w:firstLine="424"/>
        <w:rPr>
          <w:rFonts w:ascii="方正仿宋_GBK" w:hAnsi="仿宋" w:eastAsia="方正仿宋_GBK"/>
          <w:color w:val="auto"/>
        </w:rPr>
      </w:pPr>
    </w:p>
    <w:p>
      <w:pPr>
        <w:wordWrap w:val="0"/>
        <w:ind w:firstLine="424"/>
        <w:jc w:val="center"/>
        <w:rPr>
          <w:rFonts w:ascii="方正仿宋_GBK" w:hAnsi="仿宋" w:eastAsia="方正仿宋_GBK"/>
          <w:color w:val="auto"/>
          <w:szCs w:val="22"/>
        </w:rPr>
      </w:pPr>
      <w:r>
        <w:rPr>
          <w:rFonts w:hint="eastAsia" w:ascii="方正仿宋_GBK" w:hAnsi="仿宋" w:eastAsia="方正仿宋_GBK"/>
          <w:color w:val="auto"/>
          <w:szCs w:val="22"/>
        </w:rPr>
        <w:t>（投标人公章）</w:t>
      </w:r>
    </w:p>
    <w:p>
      <w:pPr>
        <w:wordWrap w:val="0"/>
        <w:ind w:firstLine="424"/>
        <w:jc w:val="right"/>
        <w:rPr>
          <w:rFonts w:ascii="仿宋" w:hAnsi="仿宋" w:eastAsia="仿宋"/>
          <w:color w:val="auto"/>
        </w:rPr>
      </w:pPr>
      <w:r>
        <w:rPr>
          <w:rFonts w:hint="eastAsia" w:ascii="方正仿宋_GBK" w:hAnsi="仿宋" w:eastAsia="方正仿宋_GBK"/>
          <w:color w:val="auto"/>
        </w:rPr>
        <w:t>年   月   日</w:t>
      </w:r>
    </w:p>
    <w:p>
      <w:pPr>
        <w:ind w:firstLine="424"/>
        <w:rPr>
          <w:rFonts w:ascii="仿宋" w:hAnsi="仿宋" w:eastAsia="仿宋"/>
          <w:color w:val="auto"/>
        </w:rPr>
      </w:pPr>
      <w:r>
        <w:rPr>
          <w:rFonts w:hint="eastAsia" w:ascii="仿宋" w:hAnsi="仿宋" w:eastAsia="仿宋"/>
          <w:color w:val="auto"/>
        </w:rPr>
        <w:br w:type="page"/>
      </w:r>
    </w:p>
    <w:p>
      <w:pPr>
        <w:ind w:firstLine="424"/>
        <w:rPr>
          <w:rFonts w:ascii="仿宋" w:hAnsi="仿宋" w:eastAsia="仿宋"/>
          <w:color w:val="auto"/>
        </w:rPr>
      </w:pPr>
      <w:r>
        <w:rPr>
          <w:rFonts w:hint="eastAsia" w:ascii="仿宋" w:hAnsi="仿宋" w:eastAsia="仿宋"/>
          <w:color w:val="auto"/>
          <w:szCs w:val="22"/>
        </w:rPr>
        <w:t>（五）特定资格条件证书或证明文件</w:t>
      </w:r>
    </w:p>
    <w:p>
      <w:pPr>
        <w:tabs>
          <w:tab w:val="left" w:pos="6300"/>
        </w:tabs>
        <w:snapToGrid w:val="0"/>
        <w:spacing w:line="500" w:lineRule="exact"/>
        <w:ind w:firstLine="424"/>
        <w:rPr>
          <w:rFonts w:hint="eastAsia" w:ascii="仿宋" w:hAnsi="仿宋" w:eastAsia="仿宋" w:cs="Cambria Math"/>
          <w:color w:val="auto"/>
          <w:kern w:val="2"/>
          <w:sz w:val="24"/>
          <w:szCs w:val="22"/>
          <w:lang w:val="en-US" w:eastAsia="zh-CN" w:bidi="ar-SA"/>
        </w:rPr>
      </w:pPr>
      <w:r>
        <w:rPr>
          <w:rFonts w:hint="eastAsia" w:ascii="仿宋" w:hAnsi="仿宋" w:eastAsia="仿宋" w:cs="Cambria Math"/>
          <w:color w:val="auto"/>
          <w:kern w:val="2"/>
          <w:sz w:val="24"/>
          <w:szCs w:val="22"/>
          <w:lang w:val="en-US" w:eastAsia="zh-CN" w:bidi="ar-SA"/>
        </w:rPr>
        <w:t>无</w:t>
      </w:r>
    </w:p>
    <w:p>
      <w:pPr>
        <w:tabs>
          <w:tab w:val="left" w:pos="6300"/>
        </w:tabs>
        <w:snapToGrid w:val="0"/>
        <w:spacing w:line="500" w:lineRule="exact"/>
        <w:ind w:firstLine="424"/>
        <w:rPr>
          <w:rFonts w:ascii="仿宋" w:hAnsi="仿宋" w:eastAsia="仿宋"/>
          <w:color w:val="auto"/>
          <w:szCs w:val="24"/>
          <w:u w:val="single"/>
        </w:rPr>
      </w:pPr>
      <w:r>
        <w:rPr>
          <w:rFonts w:hint="eastAsia" w:ascii="仿宋" w:hAnsi="仿宋" w:eastAsia="仿宋"/>
          <w:color w:val="auto"/>
          <w:szCs w:val="24"/>
          <w:u w:val="single"/>
        </w:rPr>
        <w:t>说明：投标人按“多证合一”登记制度办理营业执照的，</w:t>
      </w:r>
      <w:r>
        <w:rPr>
          <w:rFonts w:hint="eastAsia" w:ascii="仿宋" w:hAnsi="仿宋" w:eastAsia="仿宋" w:cs="黑体"/>
          <w:color w:val="auto"/>
          <w:kern w:val="0"/>
          <w:szCs w:val="24"/>
          <w:u w:val="single"/>
        </w:rPr>
        <w:t>税务登记证（副本）和社会保险登记证</w:t>
      </w:r>
      <w:r>
        <w:rPr>
          <w:rFonts w:hint="eastAsia" w:ascii="仿宋" w:hAnsi="仿宋" w:eastAsia="仿宋"/>
          <w:color w:val="auto"/>
          <w:szCs w:val="24"/>
          <w:u w:val="single"/>
        </w:rPr>
        <w:t>以投标人所提供的营业执照（副本）复印件为准。</w:t>
      </w:r>
    </w:p>
    <w:bookmarkEnd w:id="903"/>
    <w:p>
      <w:pPr>
        <w:ind w:firstLine="0" w:firstLineChars="0"/>
        <w:rPr>
          <w:rFonts w:ascii="仿宋" w:hAnsi="仿宋" w:eastAsia="仿宋"/>
          <w:color w:val="auto"/>
          <w:szCs w:val="22"/>
        </w:rPr>
      </w:pPr>
    </w:p>
    <w:sectPr>
      <w:pgSz w:w="11907" w:h="16840"/>
      <w:pgMar w:top="1134" w:right="1191" w:bottom="1134" w:left="1304" w:header="794" w:footer="992" w:gutter="0"/>
      <w:cols w:space="720" w:num="1"/>
      <w:docGrid w:type="linesAndChars" w:linePitch="380" w:charSpace="-57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norBidi">
    <w:altName w:val="Times New Roman"/>
    <w:panose1 w:val="00000000000000000000"/>
    <w:charset w:val="00"/>
    <w:family w:val="roman"/>
    <w:pitch w:val="default"/>
    <w:sig w:usb0="00000000" w:usb1="00000000" w:usb2="00000000" w:usb3="00000000" w:csb0="00000000" w:csb1="00000000"/>
  </w:font>
  <w:font w:name="Cambria Math">
    <w:panose1 w:val="02040503050406030204"/>
    <w:charset w:val="00"/>
    <w:family w:val="roman"/>
    <w:pitch w:val="default"/>
    <w:sig w:usb0="E00002FF" w:usb1="420024FF"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等线">
    <w:altName w:val="Arial Unicode MS"/>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jc w:val="center"/>
      <w:rPr>
        <w:rStyle w:val="26"/>
      </w:rPr>
    </w:pPr>
  </w:p>
  <w:p>
    <w:pPr>
      <w:pStyle w:val="15"/>
      <w:ind w:right="360" w:firstLine="480"/>
      <w:jc w:val="center"/>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right" w:y="1"/>
      <w:ind w:firstLine="360"/>
      <w:rPr>
        <w:rStyle w:val="26"/>
      </w:rPr>
    </w:pPr>
    <w:r>
      <w:fldChar w:fldCharType="begin"/>
    </w:r>
    <w:r>
      <w:rPr>
        <w:rStyle w:val="26"/>
      </w:rPr>
      <w:instrText xml:space="preserve">PAGE  </w:instrText>
    </w:r>
    <w:r>
      <w:fldChar w:fldCharType="end"/>
    </w:r>
  </w:p>
  <w:p>
    <w:pPr>
      <w:pStyle w:val="1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420"/>
      <w:jc w:val="center"/>
      <w:rPr>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330200"/>
              <wp:effectExtent l="0" t="0" r="0" b="0"/>
              <wp:wrapNone/>
              <wp:docPr id="3"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86385" cy="330200"/>
                      </a:xfrm>
                      <a:prstGeom prst="rect">
                        <a:avLst/>
                      </a:prstGeom>
                      <a:noFill/>
                      <a:ln>
                        <a:noFill/>
                      </a:ln>
                      <a:effectLst/>
                    </wps:spPr>
                    <wps:txbx>
                      <w:txbxContent>
                        <w:p>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文本框 6" o:spid="_x0000_s1026" o:spt="202" type="#_x0000_t202" style="position:absolute;left:0pt;margin-top:0pt;height:26pt;width:22.55pt;mso-position-horizontal:center;mso-position-horizontal-relative:margin;mso-wrap-style:none;z-index:251659264;mso-width-relative:page;mso-height-relative:page;" filled="f" stroked="f" coordsize="21600,21600" o:gfxdata="UEsDBAoAAAAAAIdO4kAAAAAAAAAAAAAAAAAEAAAAZHJzL1BLAwQUAAAACACHTuJAqMTNntEAAAAD&#10;AQAADwAAAGRycy9kb3ducmV2LnhtbE2PwU7DMBBE70j8g7VI3KidikIVsumhEhduFITEzY23cYS9&#10;jmw3Tf4ewwUuK41mNPO22c3eiYliGgIjVCsFgrgLZuAe4f3t+W4LImXNRrvAhLBQgl17fdXo2oQL&#10;v9J0yL0oJZxqjWBzHmspU2fJ67QKI3HxTiF6nYuMvTRRX0q5d3Kt1IP0euCyYPVIe0vd1+HsER7n&#10;j0Bjoj19nqYu2mHZupcF8famUk8gMs35Lww/+AUd2sJ0DGc2STiE8kj+vcW731QgjgibtQLZNvI/&#10;e/sNUEsDBBQAAAAIAIdO4kAamXVqDgIAABAEAAAOAAAAZHJzL2Uyb0RvYy54bWytU82O0zAQviPx&#10;DpbvNP0R1Spqulq2KkJafqSFB3Adp7GIPdbYbVIeAN6AExfuPFefg7GTlGW57IFLNLFnvpnvm8+r&#10;68407KjQa7AFn02mnCkrodR2X/BPH7cvrjjzQdhSNGBVwU/K8+v182er1uVqDjU0pUJGINbnrSt4&#10;HYLLs8zLWhnhJ+CUpcsK0IhAv7jPShQtoZsmm0+ny6wFLB2CVN7T6aa/5AMiPgUQqkpLtQF5MMqG&#10;HhVVIwJR8rV2nq/TtFWlZHhfVV4F1hScmIb0pSYU7+I3W69Evkfhai2HEcRTRnjEyQhtqekFaiOC&#10;YAfU/0AZLRE8VGEiwWQ9kaQIsZhNH2lzXwunEheS2ruL6P7/wcp3xw/IdFnwBWdWGFr4+fu3849f&#10;559f2TLK0zqfU9a9o7zQvYKOTJOoencH8rNnFm5rYffqBhHaWomSxpvFyuxBaY/jI8iufQsl9RGH&#10;AAmoq9BE7UgNRui0mtNlNaoLTNLh/Gq5uHrJmaSrxWJKRkodRD4WO/ThtQLDYlBwpM0ncHG88yEO&#10;I/IxJfaysNVNk7bf2L8OKLE/Uck+Q3WkEqfveYRu1w3S7KA8ESmE3lr0sCioAb9w1pKtCm7pFXHW&#10;vLEkS3TgGOAY7MZAWEmFBQ+c9eFt6J16cKj3NeGOwt+QdFudaMXB+hkGwckoie1g6ujEh/8p689D&#10;Xv8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qMTNntEAAAADAQAADwAAAAAAAAABACAAAAAiAAAA&#10;ZHJzL2Rvd25yZXYueG1sUEsBAhQAFAAAAAgAh07iQBqZdWoOAgAAEAQAAA4AAAAAAAAAAQAgAAAA&#10;IAEAAGRycy9lMm9Eb2MueG1sUEsFBgAAAAAGAAYAWQEAAKAFAAAAAA==&#10;">
              <v:fill on="f" focussize="0,0"/>
              <v:stroke on="f"/>
              <v:imagedata o:title=""/>
              <o:lock v:ext="edit" aspectratio="f"/>
              <v:textbox inset="0mm,0mm,0mm,0mm" style="mso-fit-shape-to-text:t;">
                <w:txbxContent>
                  <w:p>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420"/>
      <w:jc w:val="center"/>
      <w:rPr>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86385" cy="330200"/>
              <wp:effectExtent l="0" t="0" r="0" b="0"/>
              <wp:wrapNone/>
              <wp:docPr id="2" name="文本框 9"/>
              <wp:cNvGraphicFramePr/>
              <a:graphic xmlns:a="http://schemas.openxmlformats.org/drawingml/2006/main">
                <a:graphicData uri="http://schemas.microsoft.com/office/word/2010/wordprocessingShape">
                  <wps:wsp>
                    <wps:cNvSpPr txBox="1">
                      <a:spLocks noChangeArrowheads="1"/>
                    </wps:cNvSpPr>
                    <wps:spPr bwMode="auto">
                      <a:xfrm>
                        <a:off x="0" y="0"/>
                        <a:ext cx="286385" cy="330200"/>
                      </a:xfrm>
                      <a:prstGeom prst="rect">
                        <a:avLst/>
                      </a:prstGeom>
                      <a:noFill/>
                      <a:ln>
                        <a:noFill/>
                      </a:ln>
                      <a:effectLst/>
                    </wps:spPr>
                    <wps:txbx>
                      <w:txbxContent>
                        <w:p>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文本框 9" o:spid="_x0000_s1026" o:spt="202" type="#_x0000_t202" style="position:absolute;left:0pt;margin-top:0pt;height:26pt;width:22.55pt;mso-position-horizontal:center;mso-position-horizontal-relative:margin;mso-wrap-style:none;z-index:251660288;mso-width-relative:page;mso-height-relative:page;" filled="f" stroked="f" coordsize="21600,21600" o:gfxdata="UEsDBAoAAAAAAIdO4kAAAAAAAAAAAAAAAAAEAAAAZHJzL1BLAwQUAAAACACHTuJAqMTNntEAAAAD&#10;AQAADwAAAGRycy9kb3ducmV2LnhtbE2PwU7DMBBE70j8g7VI3KidikIVsumhEhduFITEzY23cYS9&#10;jmw3Tf4ewwUuK41mNPO22c3eiYliGgIjVCsFgrgLZuAe4f3t+W4LImXNRrvAhLBQgl17fdXo2oQL&#10;v9J0yL0oJZxqjWBzHmspU2fJ67QKI3HxTiF6nYuMvTRRX0q5d3Kt1IP0euCyYPVIe0vd1+HsER7n&#10;j0Bjoj19nqYu2mHZupcF8famUk8gMs35Lww/+AUd2sJ0DGc2STiE8kj+vcW731QgjgibtQLZNvI/&#10;e/sNUEsDBBQAAAAIAIdO4kAFeJzfDgIAABAEAAAOAAAAZHJzL2Uyb0RvYy54bWytU0tu2zAQ3Rfo&#10;HQjua/mDBqlgOUhjuCiQfoC0B6ApyiIqcoghbck9QHuDrrrJvufyOTqkJDdNN1l0I4zImTfz3jwu&#10;rzrTsINCr8EWfDaZcqashFLbXcE/f9q8uOTMB2FL0YBVBT8qz69Wz58tW5erOdTQlAoZgVift67g&#10;dQguzzIva2WEn4BTli4rQCMC/eIuK1G0hG6abD6dXmQtYOkQpPKeTtf9JR8Q8SmAUFVaqjXIvVE2&#10;9KioGhGIkq+183yVpq0qJcOHqvIqsKbgxDSkLzWheBu/2Wop8h0KV2s5jCCeMsIjTkZoS03PUGsR&#10;BNuj/gfKaIngoQoTCSbriSRFiMVs+kibu1o4lbiQ1N6dRff/D1a+P3xEpsuCzzmzwtDCTz++n37+&#10;Ot1/Y6+iPK3zOWXdOcoL3WvoyDSJqne3IL94ZuGmFnanrhGhrZUoabxZrMwelPY4PoJs23dQUh+x&#10;D5CAugpN1I7UYIROqzmeV6O6wCQdzi8vFpcvOZN0tVhMyUipg8jHYoc+vFFgWAwKjrT5BC4Otz7E&#10;YUQ+psReFja6adL2G/vXASX2JyrZZ6iOVOL0PY/QbbtBmi2URyKF0FuLHhYFNeBXzlqyVcEtvSLO&#10;mreWZIkOHAMcg+0YCCupsOCBsz68Cb1T9w71ribcUfhrkm6jE604WD/DIDgZJbEdTB2d+PA/Zf15&#10;yK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qMTNntEAAAADAQAADwAAAAAAAAABACAAAAAiAAAA&#10;ZHJzL2Rvd25yZXYueG1sUEsBAhQAFAAAAAgAh07iQAV4nN8OAgAAEAQAAA4AAAAAAAAAAQAgAAAA&#10;IAEAAGRycy9lMm9Eb2MueG1sUEsFBgAAAAAGAAYAWQEAAKAFAAAAAA==&#10;">
              <v:fill on="f" focussize="0,0"/>
              <v:stroke on="f"/>
              <v:imagedata o:title=""/>
              <o:lock v:ext="edit" aspectratio="f"/>
              <v:textbox inset="0mm,0mm,0mm,0mm" style="mso-fit-shape-to-text:t;">
                <w:txbxContent>
                  <w:p>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firstLine="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86385" cy="330200"/>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86385" cy="330200"/>
                      </a:xfrm>
                      <a:prstGeom prst="rect">
                        <a:avLst/>
                      </a:prstGeom>
                      <a:noFill/>
                      <a:ln>
                        <a:noFill/>
                      </a:ln>
                      <a:effectLst/>
                    </wps:spPr>
                    <wps:txbx>
                      <w:txbxContent>
                        <w:p>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26pt;width:22.55pt;mso-position-horizontal:center;mso-position-horizontal-relative:margin;mso-wrap-style:none;z-index:251660288;mso-width-relative:page;mso-height-relative:page;" filled="f" stroked="f" coordsize="21600,21600" o:gfxdata="UEsDBAoAAAAAAIdO4kAAAAAAAAAAAAAAAAAEAAAAZHJzL1BLAwQUAAAACACHTuJAqMTNntEAAAAD&#10;AQAADwAAAGRycy9kb3ducmV2LnhtbE2PwU7DMBBE70j8g7VI3KidikIVsumhEhduFITEzY23cYS9&#10;jmw3Tf4ewwUuK41mNPO22c3eiYliGgIjVCsFgrgLZuAe4f3t+W4LImXNRrvAhLBQgl17fdXo2oQL&#10;v9J0yL0oJZxqjWBzHmspU2fJ67QKI3HxTiF6nYuMvTRRX0q5d3Kt1IP0euCyYPVIe0vd1+HsER7n&#10;j0Bjoj19nqYu2mHZupcF8famUk8gMs35Lww/+AUd2sJ0DGc2STiE8kj+vcW731QgjgibtQLZNvI/&#10;e/sNUEsDBBQAAAAIAIdO4kC73XydDwIAABAEAAAOAAAAZHJzL2Uyb0RvYy54bWytU0tu2zAQ3Rfo&#10;HQjua/mTBoFgOUhjuCiQfoC0B6ApyiIqcoghbck9QHuDrrrpvufyOTqkJDdNN1l0I4zImTfz3jwu&#10;rzvTsINCr8EWfDaZcqashFLbXcE/fdy8uOLMB2FL0YBVBT8qz69Xz58tW5erOdTQlAoZgVift67g&#10;dQguzzIva2WEn4BTli4rQCMC/eIuK1G0hG6abD6dXmYtYOkQpPKeTtf9JR8Q8SmAUFVaqjXIvVE2&#10;9KioGhGIkq+183yVpq0qJcP7qvIqsKbgxDSkLzWheBu/2Wop8h0KV2s5jCCeMsIjTkZoS03PUGsR&#10;BNuj/gfKaIngoQoTCSbriSRFiMVs+kib+1o4lbiQ1N6dRff/D1a+O3xApsuCX3BmhaGFn75/O/34&#10;dfr5lV1EeVrnc8q6d5QXulfQkWkSVe/uQH72zMJtLexO3SBCWytR0nizWJk9KO1xfATZtm+hpD5i&#10;HyABdRWaqB2pwQidVnM8r0Z1gUk6nF9dLq5ecibparGYkpFSB5GPxQ59eK3AsBgUHGnzCVwc7nyI&#10;w4h8TIm9LGx006TtN/avA0rsT1Syz1AdqcTpex6h23aDNFsoj0QKobcWPSwKasAvnLVkq4JbekWc&#10;NW8syRIdOAY4BtsxEFZSYcEDZ314G3qn7h3qXU24o/A3JN1GJ1pxsH6GQXAySmI7mDo68eF/yvrz&#10;kFe/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KjEzZ7RAAAAAwEAAA8AAAAAAAAAAQAgAAAAIgAA&#10;AGRycy9kb3ducmV2LnhtbFBLAQIUABQAAAAIAIdO4kC73XydDwIAABAEAAAOAAAAAAAAAAEAIAAA&#10;ACABAABkcnMvZTJvRG9jLnhtbFBLBQYAAAAABgAGAFkBAAChBQAAAAA=&#10;">
              <v:fill on="f" focussize="0,0"/>
              <v:stroke on="f"/>
              <v:imagedata o:title=""/>
              <o:lock v:ext="edit" aspectratio="f"/>
              <v:textbox inset="0mm,0mm,0mm,0mm" style="mso-fit-shape-to-text:t;">
                <w:txbxContent>
                  <w:p>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w:t>
                    </w:r>
                    <w:r>
                      <w:rPr>
                        <w:rFonts w:hint="eastAsia"/>
                        <w:sz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105" w:firstLineChars="50"/>
      <w:jc w:val="both"/>
      <w:rPr>
        <w:rFonts w:ascii="仿宋" w:hAnsi="仿宋" w:eastAsia="仿宋"/>
      </w:rPr>
    </w:pPr>
    <w:r>
      <w:rPr>
        <w:rFonts w:hint="eastAsia" w:ascii="仿宋" w:hAnsi="仿宋" w:eastAsia="仿宋"/>
        <w:sz w:val="21"/>
        <w:szCs w:val="21"/>
      </w:rPr>
      <w:t>重庆市巴南区政府采购中心                                                        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DD9191"/>
    <w:multiLevelType w:val="multilevel"/>
    <w:tmpl w:val="34DD9191"/>
    <w:lvl w:ilvl="0" w:tentative="0">
      <w:start w:val="1"/>
      <w:numFmt w:val="chineseCounting"/>
      <w:lvlText w:val="第%1篇  "/>
      <w:lvlJc w:val="left"/>
      <w:pPr>
        <w:tabs>
          <w:tab w:val="left" w:pos="1530"/>
        </w:tabs>
        <w:ind w:left="1530" w:hanging="1530"/>
      </w:pPr>
      <w:rPr>
        <w:rFonts w:hint="eastAsia" w:ascii="黑体" w:hAnsi="黑体" w:eastAsia="方正小标宋简体" w:cs="黑体"/>
      </w:rPr>
    </w:lvl>
    <w:lvl w:ilvl="1" w:tentative="0">
      <w:start w:val="1"/>
      <w:numFmt w:val="chineseCounting"/>
      <w:lvlText w:val="%2、"/>
      <w:lvlJc w:val="left"/>
      <w:pPr>
        <w:tabs>
          <w:tab w:val="left" w:pos="840"/>
        </w:tabs>
        <w:ind w:left="840" w:hanging="420"/>
      </w:pPr>
      <w:rPr>
        <w:rFonts w:hint="eastAsia" w:ascii="黑体" w:hAnsi="黑体" w:eastAsia="黑体" w:cs="黑体"/>
      </w:rPr>
    </w:lvl>
    <w:lvl w:ilvl="2" w:tentative="0">
      <w:start w:val="1"/>
      <w:numFmt w:val="chineseCounting"/>
      <w:lvlText w:val="（%3）"/>
      <w:lvlJc w:val="right"/>
      <w:pPr>
        <w:tabs>
          <w:tab w:val="left" w:pos="1260"/>
        </w:tabs>
        <w:ind w:left="1260" w:hanging="420"/>
      </w:pPr>
      <w:rPr>
        <w:rFonts w:hint="eastAsia" w:ascii="黑体" w:hAnsi="黑体" w:eastAsia="黑体" w:cs="黑体"/>
      </w:rPr>
    </w:lvl>
    <w:lvl w:ilvl="3" w:tentative="0">
      <w:start w:val="1"/>
      <w:numFmt w:val="decimal"/>
      <w:lvlText w:val="%4、"/>
      <w:lvlJc w:val="left"/>
      <w:pPr>
        <w:tabs>
          <w:tab w:val="left" w:pos="1680"/>
        </w:tabs>
        <w:ind w:left="1680" w:hanging="420"/>
      </w:pPr>
      <w:rPr>
        <w:rFonts w:hint="eastAsia" w:ascii="黑体" w:hAnsi="黑体" w:eastAsia="黑体" w:cs="黑体"/>
      </w:rPr>
    </w:lvl>
    <w:lvl w:ilvl="4" w:tentative="0">
      <w:start w:val="1"/>
      <w:numFmt w:val="decimal"/>
      <w:lvlText w:val="（%5）"/>
      <w:lvlJc w:val="left"/>
      <w:pPr>
        <w:tabs>
          <w:tab w:val="left" w:pos="2100"/>
        </w:tabs>
        <w:ind w:left="2100" w:hanging="420"/>
      </w:pPr>
      <w:rPr>
        <w:rFonts w:hint="eastAsia" w:ascii="黑体" w:hAnsi="黑体" w:eastAsia="黑体" w:cs="黑体"/>
      </w:rPr>
    </w:lvl>
    <w:lvl w:ilvl="5" w:tentative="0">
      <w:start w:val="1"/>
      <w:numFmt w:val="lowerRoman"/>
      <w:lvlText w:val="%6."/>
      <w:lvlJc w:val="right"/>
      <w:pPr>
        <w:tabs>
          <w:tab w:val="left" w:pos="2520"/>
        </w:tabs>
        <w:ind w:left="2520" w:hanging="420"/>
      </w:pPr>
      <w:rPr>
        <w:rFonts w:hint="eastAsia" w:ascii="黑体" w:hAnsi="黑体" w:eastAsia="黑体" w:cs="黑体"/>
      </w:rPr>
    </w:lvl>
    <w:lvl w:ilvl="6" w:tentative="0">
      <w:start w:val="1"/>
      <w:numFmt w:val="decimal"/>
      <w:lvlText w:val="%7."/>
      <w:lvlJc w:val="left"/>
      <w:pPr>
        <w:tabs>
          <w:tab w:val="left" w:pos="2940"/>
        </w:tabs>
        <w:ind w:left="2940" w:hanging="420"/>
      </w:pPr>
      <w:rPr>
        <w:rFonts w:hint="eastAsia" w:ascii="黑体" w:hAnsi="黑体" w:eastAsia="黑体" w:cs="黑体"/>
      </w:rPr>
    </w:lvl>
    <w:lvl w:ilvl="7" w:tentative="0">
      <w:start w:val="1"/>
      <w:numFmt w:val="lowerLetter"/>
      <w:lvlText w:val="%8)"/>
      <w:lvlJc w:val="left"/>
      <w:pPr>
        <w:tabs>
          <w:tab w:val="left" w:pos="3360"/>
        </w:tabs>
        <w:ind w:left="3360" w:hanging="420"/>
      </w:pPr>
      <w:rPr>
        <w:rFonts w:hint="eastAsia" w:ascii="黑体" w:hAnsi="黑体" w:eastAsia="黑体" w:cs="黑体"/>
      </w:rPr>
    </w:lvl>
    <w:lvl w:ilvl="8" w:tentative="0">
      <w:start w:val="1"/>
      <w:numFmt w:val="lowerRoman"/>
      <w:lvlText w:val="%9."/>
      <w:lvlJc w:val="right"/>
      <w:pPr>
        <w:tabs>
          <w:tab w:val="left" w:pos="3780"/>
        </w:tabs>
        <w:ind w:left="3780" w:hanging="420"/>
      </w:pPr>
      <w:rPr>
        <w:rFonts w:hint="eastAsia" w:ascii="黑体" w:hAnsi="黑体" w:eastAsia="黑体" w:cs="黑体"/>
      </w:rPr>
    </w:lvl>
  </w:abstractNum>
  <w:abstractNum w:abstractNumId="1">
    <w:nsid w:val="62625F6F"/>
    <w:multiLevelType w:val="singleLevel"/>
    <w:tmpl w:val="62625F6F"/>
    <w:lvl w:ilvl="0" w:tentative="0">
      <w:start w:val="1"/>
      <w:numFmt w:val="decimal"/>
      <w:suff w:val="nothing"/>
      <w:lvlText w:val="%1、"/>
      <w:lvlJc w:val="left"/>
    </w:lvl>
  </w:abstractNum>
  <w:abstractNum w:abstractNumId="2">
    <w:nsid w:val="62CF85F0"/>
    <w:multiLevelType w:val="singleLevel"/>
    <w:tmpl w:val="62CF85F0"/>
    <w:lvl w:ilvl="0" w:tentative="0">
      <w:start w:val="1"/>
      <w:numFmt w:val="decimal"/>
      <w:suff w:val="nothing"/>
      <w:lvlText w:val="%1."/>
      <w:lvlJc w:val="left"/>
    </w:lvl>
  </w:abstractNum>
  <w:abstractNum w:abstractNumId="3">
    <w:nsid w:val="6319913B"/>
    <w:multiLevelType w:val="singleLevel"/>
    <w:tmpl w:val="6319913B"/>
    <w:lvl w:ilvl="0" w:tentative="0">
      <w:start w:val="2"/>
      <w:numFmt w:val="chineseCounting"/>
      <w:suff w:val="nothing"/>
      <w:lvlText w:val="（%1）"/>
      <w:lvlJc w:val="left"/>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dit="readOnly" w:formatting="1" w:enforcement="1" w:cryptProviderType="rsaFull" w:cryptAlgorithmClass="hash" w:cryptAlgorithmType="typeAny" w:cryptAlgorithmSid="4" w:cryptSpinCount="0" w:hash="wQcZOWIcjpJ+82fELDNleNQp/J4=" w:salt="xTUeoc4RToC42MsMy4Xsgw=="/>
  <w:defaultTabStop w:val="420"/>
  <w:drawingGridHorizontalSpacing w:val="109"/>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kMTc1ODk4MWI5NWI4ZDgwNmFhMTYxOTczY2NlZmQifQ=="/>
  </w:docVars>
  <w:rsids>
    <w:rsidRoot w:val="6D0A655C"/>
    <w:rsid w:val="0001500E"/>
    <w:rsid w:val="00015A3A"/>
    <w:rsid w:val="00016605"/>
    <w:rsid w:val="00023F73"/>
    <w:rsid w:val="000267E6"/>
    <w:rsid w:val="0003295A"/>
    <w:rsid w:val="00052DE9"/>
    <w:rsid w:val="00053F43"/>
    <w:rsid w:val="00055FCE"/>
    <w:rsid w:val="0006583E"/>
    <w:rsid w:val="00082689"/>
    <w:rsid w:val="00085A0A"/>
    <w:rsid w:val="00094740"/>
    <w:rsid w:val="000A4DA6"/>
    <w:rsid w:val="000B1CF6"/>
    <w:rsid w:val="000B224F"/>
    <w:rsid w:val="000B2F21"/>
    <w:rsid w:val="000B49C6"/>
    <w:rsid w:val="000B66DA"/>
    <w:rsid w:val="000C03C0"/>
    <w:rsid w:val="000D12B3"/>
    <w:rsid w:val="000E54D2"/>
    <w:rsid w:val="000E730D"/>
    <w:rsid w:val="000F0975"/>
    <w:rsid w:val="00111D7C"/>
    <w:rsid w:val="001263DC"/>
    <w:rsid w:val="00126C72"/>
    <w:rsid w:val="00126E98"/>
    <w:rsid w:val="001300F7"/>
    <w:rsid w:val="00161E86"/>
    <w:rsid w:val="00171610"/>
    <w:rsid w:val="00171C72"/>
    <w:rsid w:val="0018028C"/>
    <w:rsid w:val="0018090B"/>
    <w:rsid w:val="001851B4"/>
    <w:rsid w:val="00192EA9"/>
    <w:rsid w:val="0019430A"/>
    <w:rsid w:val="00195E7C"/>
    <w:rsid w:val="001A32A6"/>
    <w:rsid w:val="001B06F6"/>
    <w:rsid w:val="001B30BE"/>
    <w:rsid w:val="001B3D54"/>
    <w:rsid w:val="001C3EE1"/>
    <w:rsid w:val="001D1B21"/>
    <w:rsid w:val="001F21A7"/>
    <w:rsid w:val="00240FE9"/>
    <w:rsid w:val="00242659"/>
    <w:rsid w:val="0024561D"/>
    <w:rsid w:val="00251162"/>
    <w:rsid w:val="0027111E"/>
    <w:rsid w:val="00274677"/>
    <w:rsid w:val="00274C30"/>
    <w:rsid w:val="00286DA7"/>
    <w:rsid w:val="0029336E"/>
    <w:rsid w:val="00293C81"/>
    <w:rsid w:val="002A03EB"/>
    <w:rsid w:val="002A1AFF"/>
    <w:rsid w:val="002A446D"/>
    <w:rsid w:val="002A6D7D"/>
    <w:rsid w:val="002C1075"/>
    <w:rsid w:val="002C627A"/>
    <w:rsid w:val="002D424D"/>
    <w:rsid w:val="002D5073"/>
    <w:rsid w:val="002D5EC1"/>
    <w:rsid w:val="002F691F"/>
    <w:rsid w:val="0030152B"/>
    <w:rsid w:val="003026B9"/>
    <w:rsid w:val="00310DD1"/>
    <w:rsid w:val="003142D8"/>
    <w:rsid w:val="00314A6B"/>
    <w:rsid w:val="00321C39"/>
    <w:rsid w:val="00327CC4"/>
    <w:rsid w:val="0033212A"/>
    <w:rsid w:val="003339CC"/>
    <w:rsid w:val="0034101F"/>
    <w:rsid w:val="00341C18"/>
    <w:rsid w:val="003627E6"/>
    <w:rsid w:val="003643A9"/>
    <w:rsid w:val="00367DDE"/>
    <w:rsid w:val="00382B4F"/>
    <w:rsid w:val="00392E08"/>
    <w:rsid w:val="003A7ACF"/>
    <w:rsid w:val="003B4A36"/>
    <w:rsid w:val="003B6E6F"/>
    <w:rsid w:val="003C0409"/>
    <w:rsid w:val="003C4A6C"/>
    <w:rsid w:val="003C5C53"/>
    <w:rsid w:val="003C70E7"/>
    <w:rsid w:val="003D6686"/>
    <w:rsid w:val="003D7302"/>
    <w:rsid w:val="003E711B"/>
    <w:rsid w:val="003F3928"/>
    <w:rsid w:val="00410AB4"/>
    <w:rsid w:val="00427A9E"/>
    <w:rsid w:val="00433233"/>
    <w:rsid w:val="004651B0"/>
    <w:rsid w:val="00476272"/>
    <w:rsid w:val="00480202"/>
    <w:rsid w:val="00486B42"/>
    <w:rsid w:val="00490634"/>
    <w:rsid w:val="004918BC"/>
    <w:rsid w:val="00495260"/>
    <w:rsid w:val="004D48E8"/>
    <w:rsid w:val="004D4ABF"/>
    <w:rsid w:val="004E4B0C"/>
    <w:rsid w:val="005018E8"/>
    <w:rsid w:val="00514E30"/>
    <w:rsid w:val="005214BF"/>
    <w:rsid w:val="00524EBB"/>
    <w:rsid w:val="0052519F"/>
    <w:rsid w:val="0053751C"/>
    <w:rsid w:val="0054395C"/>
    <w:rsid w:val="0054569D"/>
    <w:rsid w:val="0054778A"/>
    <w:rsid w:val="00551C84"/>
    <w:rsid w:val="00570CE1"/>
    <w:rsid w:val="00573891"/>
    <w:rsid w:val="00576C76"/>
    <w:rsid w:val="005B1DC3"/>
    <w:rsid w:val="005C088A"/>
    <w:rsid w:val="005C405F"/>
    <w:rsid w:val="005D21B7"/>
    <w:rsid w:val="005D5F79"/>
    <w:rsid w:val="005D70D8"/>
    <w:rsid w:val="005E3BFF"/>
    <w:rsid w:val="005F09D0"/>
    <w:rsid w:val="00600D59"/>
    <w:rsid w:val="006101B9"/>
    <w:rsid w:val="00613EDB"/>
    <w:rsid w:val="0061413C"/>
    <w:rsid w:val="0062491A"/>
    <w:rsid w:val="00632148"/>
    <w:rsid w:val="00633336"/>
    <w:rsid w:val="00633491"/>
    <w:rsid w:val="006351CA"/>
    <w:rsid w:val="00640E6F"/>
    <w:rsid w:val="00653658"/>
    <w:rsid w:val="00656D6D"/>
    <w:rsid w:val="00657D9F"/>
    <w:rsid w:val="0067052D"/>
    <w:rsid w:val="00673F3D"/>
    <w:rsid w:val="00682E86"/>
    <w:rsid w:val="00686071"/>
    <w:rsid w:val="006A33AE"/>
    <w:rsid w:val="006A4DD3"/>
    <w:rsid w:val="006A504A"/>
    <w:rsid w:val="006A6D6E"/>
    <w:rsid w:val="006B178C"/>
    <w:rsid w:val="006C0869"/>
    <w:rsid w:val="006D230E"/>
    <w:rsid w:val="006F082D"/>
    <w:rsid w:val="006F4E29"/>
    <w:rsid w:val="006F5C2A"/>
    <w:rsid w:val="006F6A36"/>
    <w:rsid w:val="00700E5B"/>
    <w:rsid w:val="00701D9B"/>
    <w:rsid w:val="007101C0"/>
    <w:rsid w:val="00736ACD"/>
    <w:rsid w:val="007402CA"/>
    <w:rsid w:val="00740AF0"/>
    <w:rsid w:val="00764F05"/>
    <w:rsid w:val="00767885"/>
    <w:rsid w:val="00770520"/>
    <w:rsid w:val="00772954"/>
    <w:rsid w:val="00773916"/>
    <w:rsid w:val="00781C94"/>
    <w:rsid w:val="00787170"/>
    <w:rsid w:val="00791D07"/>
    <w:rsid w:val="00797B7E"/>
    <w:rsid w:val="007A15C3"/>
    <w:rsid w:val="007A52A7"/>
    <w:rsid w:val="007A535F"/>
    <w:rsid w:val="007B1CA0"/>
    <w:rsid w:val="007C220D"/>
    <w:rsid w:val="007D6F8F"/>
    <w:rsid w:val="0080011C"/>
    <w:rsid w:val="008021B5"/>
    <w:rsid w:val="00805846"/>
    <w:rsid w:val="00821718"/>
    <w:rsid w:val="008249E0"/>
    <w:rsid w:val="00824D0A"/>
    <w:rsid w:val="00827ACC"/>
    <w:rsid w:val="00827F46"/>
    <w:rsid w:val="008369E6"/>
    <w:rsid w:val="00843566"/>
    <w:rsid w:val="00857709"/>
    <w:rsid w:val="00857B88"/>
    <w:rsid w:val="00865847"/>
    <w:rsid w:val="0086770B"/>
    <w:rsid w:val="00877F1B"/>
    <w:rsid w:val="008800A3"/>
    <w:rsid w:val="008927F9"/>
    <w:rsid w:val="008A0C43"/>
    <w:rsid w:val="008A416D"/>
    <w:rsid w:val="008A53DD"/>
    <w:rsid w:val="008B28C9"/>
    <w:rsid w:val="008C02ED"/>
    <w:rsid w:val="008C354F"/>
    <w:rsid w:val="008C3CD8"/>
    <w:rsid w:val="008C4F4F"/>
    <w:rsid w:val="008D138C"/>
    <w:rsid w:val="008D2027"/>
    <w:rsid w:val="008D76F9"/>
    <w:rsid w:val="008F04AF"/>
    <w:rsid w:val="008F6F76"/>
    <w:rsid w:val="00911B9D"/>
    <w:rsid w:val="00915862"/>
    <w:rsid w:val="0092456D"/>
    <w:rsid w:val="0094232A"/>
    <w:rsid w:val="00955B05"/>
    <w:rsid w:val="00961743"/>
    <w:rsid w:val="00961FE8"/>
    <w:rsid w:val="009812F2"/>
    <w:rsid w:val="00987F78"/>
    <w:rsid w:val="009A60BF"/>
    <w:rsid w:val="009B6F5C"/>
    <w:rsid w:val="009C01E4"/>
    <w:rsid w:val="009C6679"/>
    <w:rsid w:val="009D224F"/>
    <w:rsid w:val="009D4DC8"/>
    <w:rsid w:val="009D5110"/>
    <w:rsid w:val="009F1156"/>
    <w:rsid w:val="009F1C85"/>
    <w:rsid w:val="00A22869"/>
    <w:rsid w:val="00A274E5"/>
    <w:rsid w:val="00A36333"/>
    <w:rsid w:val="00A5321D"/>
    <w:rsid w:val="00A6361A"/>
    <w:rsid w:val="00A66505"/>
    <w:rsid w:val="00A91464"/>
    <w:rsid w:val="00AA52D6"/>
    <w:rsid w:val="00AA5D9F"/>
    <w:rsid w:val="00AB0039"/>
    <w:rsid w:val="00AB0978"/>
    <w:rsid w:val="00AB35C0"/>
    <w:rsid w:val="00AD2D9D"/>
    <w:rsid w:val="00AE50A1"/>
    <w:rsid w:val="00AE67EE"/>
    <w:rsid w:val="00AF39FF"/>
    <w:rsid w:val="00AF77B9"/>
    <w:rsid w:val="00B01600"/>
    <w:rsid w:val="00B07C2D"/>
    <w:rsid w:val="00B1381C"/>
    <w:rsid w:val="00B20C37"/>
    <w:rsid w:val="00B34364"/>
    <w:rsid w:val="00B57293"/>
    <w:rsid w:val="00B60988"/>
    <w:rsid w:val="00B67858"/>
    <w:rsid w:val="00B71F2B"/>
    <w:rsid w:val="00B82384"/>
    <w:rsid w:val="00B83D91"/>
    <w:rsid w:val="00BB5E15"/>
    <w:rsid w:val="00BB7373"/>
    <w:rsid w:val="00BD2B52"/>
    <w:rsid w:val="00BD2B79"/>
    <w:rsid w:val="00BD337D"/>
    <w:rsid w:val="00BD6C12"/>
    <w:rsid w:val="00BE350F"/>
    <w:rsid w:val="00BE5EF8"/>
    <w:rsid w:val="00BE6A50"/>
    <w:rsid w:val="00BF1F9B"/>
    <w:rsid w:val="00BF6EE2"/>
    <w:rsid w:val="00C156AE"/>
    <w:rsid w:val="00C326CC"/>
    <w:rsid w:val="00C430F4"/>
    <w:rsid w:val="00C4352E"/>
    <w:rsid w:val="00C60536"/>
    <w:rsid w:val="00C70F78"/>
    <w:rsid w:val="00C823C4"/>
    <w:rsid w:val="00C85EF2"/>
    <w:rsid w:val="00C90C21"/>
    <w:rsid w:val="00C9302B"/>
    <w:rsid w:val="00C96E99"/>
    <w:rsid w:val="00CA452D"/>
    <w:rsid w:val="00CB72DB"/>
    <w:rsid w:val="00CC1E82"/>
    <w:rsid w:val="00CC303C"/>
    <w:rsid w:val="00CD1E52"/>
    <w:rsid w:val="00CD1EEE"/>
    <w:rsid w:val="00CE1CCC"/>
    <w:rsid w:val="00CE45D2"/>
    <w:rsid w:val="00CF1D33"/>
    <w:rsid w:val="00D0055B"/>
    <w:rsid w:val="00D0409B"/>
    <w:rsid w:val="00D06C8E"/>
    <w:rsid w:val="00D15C72"/>
    <w:rsid w:val="00D1656D"/>
    <w:rsid w:val="00D24CAD"/>
    <w:rsid w:val="00D27793"/>
    <w:rsid w:val="00D31023"/>
    <w:rsid w:val="00D335D3"/>
    <w:rsid w:val="00D35986"/>
    <w:rsid w:val="00D50917"/>
    <w:rsid w:val="00D55580"/>
    <w:rsid w:val="00D55885"/>
    <w:rsid w:val="00D6318C"/>
    <w:rsid w:val="00D659E4"/>
    <w:rsid w:val="00D70864"/>
    <w:rsid w:val="00D750BD"/>
    <w:rsid w:val="00D760A3"/>
    <w:rsid w:val="00D77170"/>
    <w:rsid w:val="00D80A3A"/>
    <w:rsid w:val="00D80B44"/>
    <w:rsid w:val="00D822C7"/>
    <w:rsid w:val="00D851D5"/>
    <w:rsid w:val="00D92F57"/>
    <w:rsid w:val="00D9470E"/>
    <w:rsid w:val="00D9647D"/>
    <w:rsid w:val="00DA3417"/>
    <w:rsid w:val="00DB07F3"/>
    <w:rsid w:val="00DC6539"/>
    <w:rsid w:val="00DE05AB"/>
    <w:rsid w:val="00DE46A6"/>
    <w:rsid w:val="00DF6188"/>
    <w:rsid w:val="00DF7531"/>
    <w:rsid w:val="00DF7B7C"/>
    <w:rsid w:val="00E02623"/>
    <w:rsid w:val="00E10F63"/>
    <w:rsid w:val="00E23644"/>
    <w:rsid w:val="00E24ABA"/>
    <w:rsid w:val="00E27B63"/>
    <w:rsid w:val="00E42B57"/>
    <w:rsid w:val="00E43FE1"/>
    <w:rsid w:val="00E458D8"/>
    <w:rsid w:val="00E5059A"/>
    <w:rsid w:val="00E52568"/>
    <w:rsid w:val="00E6002F"/>
    <w:rsid w:val="00E656CD"/>
    <w:rsid w:val="00E81605"/>
    <w:rsid w:val="00E90F15"/>
    <w:rsid w:val="00EA3983"/>
    <w:rsid w:val="00EA3C02"/>
    <w:rsid w:val="00EA6780"/>
    <w:rsid w:val="00EB3D7A"/>
    <w:rsid w:val="00EB6881"/>
    <w:rsid w:val="00EE1211"/>
    <w:rsid w:val="00EE3BE8"/>
    <w:rsid w:val="00EF6351"/>
    <w:rsid w:val="00EF7950"/>
    <w:rsid w:val="00F063E6"/>
    <w:rsid w:val="00F11B66"/>
    <w:rsid w:val="00F14E59"/>
    <w:rsid w:val="00F155BA"/>
    <w:rsid w:val="00F2322F"/>
    <w:rsid w:val="00F23A65"/>
    <w:rsid w:val="00F42C1B"/>
    <w:rsid w:val="00F44F67"/>
    <w:rsid w:val="00F52F54"/>
    <w:rsid w:val="00F53B0B"/>
    <w:rsid w:val="00F67C14"/>
    <w:rsid w:val="00F71988"/>
    <w:rsid w:val="00F72EC6"/>
    <w:rsid w:val="00F77F6C"/>
    <w:rsid w:val="00F80E0A"/>
    <w:rsid w:val="00FA12DC"/>
    <w:rsid w:val="00FA1BEF"/>
    <w:rsid w:val="00FA2494"/>
    <w:rsid w:val="00FA7578"/>
    <w:rsid w:val="00FB58E7"/>
    <w:rsid w:val="00FC4775"/>
    <w:rsid w:val="00FC53E0"/>
    <w:rsid w:val="00FD7035"/>
    <w:rsid w:val="00FD7633"/>
    <w:rsid w:val="00FF4D56"/>
    <w:rsid w:val="01033B9B"/>
    <w:rsid w:val="011253ED"/>
    <w:rsid w:val="01152798"/>
    <w:rsid w:val="01274249"/>
    <w:rsid w:val="012F6B4D"/>
    <w:rsid w:val="0140603B"/>
    <w:rsid w:val="014D28CD"/>
    <w:rsid w:val="01516806"/>
    <w:rsid w:val="016D4D84"/>
    <w:rsid w:val="01750723"/>
    <w:rsid w:val="01752ABD"/>
    <w:rsid w:val="01787946"/>
    <w:rsid w:val="01790314"/>
    <w:rsid w:val="0195283D"/>
    <w:rsid w:val="01A10813"/>
    <w:rsid w:val="01A202DF"/>
    <w:rsid w:val="01CC3026"/>
    <w:rsid w:val="01EC3E90"/>
    <w:rsid w:val="020C7114"/>
    <w:rsid w:val="021A1017"/>
    <w:rsid w:val="022223EC"/>
    <w:rsid w:val="02242DB8"/>
    <w:rsid w:val="024F7D4B"/>
    <w:rsid w:val="025351DE"/>
    <w:rsid w:val="02563A88"/>
    <w:rsid w:val="02656B1E"/>
    <w:rsid w:val="02663C42"/>
    <w:rsid w:val="0272498E"/>
    <w:rsid w:val="027A149C"/>
    <w:rsid w:val="027A1CD8"/>
    <w:rsid w:val="027C2E6E"/>
    <w:rsid w:val="02884997"/>
    <w:rsid w:val="02893EFA"/>
    <w:rsid w:val="029A7FB8"/>
    <w:rsid w:val="02A51626"/>
    <w:rsid w:val="02AA1D6D"/>
    <w:rsid w:val="02AB5A4F"/>
    <w:rsid w:val="02BA5D3C"/>
    <w:rsid w:val="02C31095"/>
    <w:rsid w:val="02CE1353"/>
    <w:rsid w:val="02F15B57"/>
    <w:rsid w:val="030C28DD"/>
    <w:rsid w:val="03315F03"/>
    <w:rsid w:val="033612FB"/>
    <w:rsid w:val="033A0C2B"/>
    <w:rsid w:val="033C49A3"/>
    <w:rsid w:val="033E071B"/>
    <w:rsid w:val="033E2BB9"/>
    <w:rsid w:val="035050C0"/>
    <w:rsid w:val="035751FF"/>
    <w:rsid w:val="035E0DBD"/>
    <w:rsid w:val="0361265C"/>
    <w:rsid w:val="03630182"/>
    <w:rsid w:val="036523E4"/>
    <w:rsid w:val="037021FD"/>
    <w:rsid w:val="0374413D"/>
    <w:rsid w:val="0383073C"/>
    <w:rsid w:val="03962B29"/>
    <w:rsid w:val="039F1394"/>
    <w:rsid w:val="03AA4375"/>
    <w:rsid w:val="03AA6EAF"/>
    <w:rsid w:val="03AC2AE1"/>
    <w:rsid w:val="03AD2F5D"/>
    <w:rsid w:val="03C36975"/>
    <w:rsid w:val="03E5503B"/>
    <w:rsid w:val="03FE7538"/>
    <w:rsid w:val="040A635E"/>
    <w:rsid w:val="04117BDE"/>
    <w:rsid w:val="04133956"/>
    <w:rsid w:val="04163C06"/>
    <w:rsid w:val="041A0C11"/>
    <w:rsid w:val="04267C75"/>
    <w:rsid w:val="042A3590"/>
    <w:rsid w:val="043A7135"/>
    <w:rsid w:val="0469692D"/>
    <w:rsid w:val="04745EB4"/>
    <w:rsid w:val="04912ACD"/>
    <w:rsid w:val="04A22A89"/>
    <w:rsid w:val="04AD7ABA"/>
    <w:rsid w:val="04B821D5"/>
    <w:rsid w:val="04C0332E"/>
    <w:rsid w:val="04C2712A"/>
    <w:rsid w:val="04D6372E"/>
    <w:rsid w:val="04D671EA"/>
    <w:rsid w:val="05031C1C"/>
    <w:rsid w:val="05064B8F"/>
    <w:rsid w:val="050D488F"/>
    <w:rsid w:val="050E2844"/>
    <w:rsid w:val="05116285"/>
    <w:rsid w:val="05164E40"/>
    <w:rsid w:val="05185BD9"/>
    <w:rsid w:val="05187941"/>
    <w:rsid w:val="05262CB2"/>
    <w:rsid w:val="05283431"/>
    <w:rsid w:val="053022E6"/>
    <w:rsid w:val="053242B0"/>
    <w:rsid w:val="053846EF"/>
    <w:rsid w:val="054D679B"/>
    <w:rsid w:val="0550159F"/>
    <w:rsid w:val="057E5747"/>
    <w:rsid w:val="05905BA6"/>
    <w:rsid w:val="059C467C"/>
    <w:rsid w:val="059D002F"/>
    <w:rsid w:val="05A11A2D"/>
    <w:rsid w:val="05B50547"/>
    <w:rsid w:val="05C3315A"/>
    <w:rsid w:val="05C4760C"/>
    <w:rsid w:val="05CE71E0"/>
    <w:rsid w:val="05D50039"/>
    <w:rsid w:val="05D67331"/>
    <w:rsid w:val="05E0007C"/>
    <w:rsid w:val="060101DE"/>
    <w:rsid w:val="06076919"/>
    <w:rsid w:val="060C6464"/>
    <w:rsid w:val="062766A9"/>
    <w:rsid w:val="062A5570"/>
    <w:rsid w:val="065B0E1D"/>
    <w:rsid w:val="06676261"/>
    <w:rsid w:val="067046F4"/>
    <w:rsid w:val="06994EF7"/>
    <w:rsid w:val="06A94395"/>
    <w:rsid w:val="06C55C35"/>
    <w:rsid w:val="06C83071"/>
    <w:rsid w:val="06CA3C0B"/>
    <w:rsid w:val="06D2111D"/>
    <w:rsid w:val="06DB73D4"/>
    <w:rsid w:val="06DE5F11"/>
    <w:rsid w:val="06FA0DFD"/>
    <w:rsid w:val="06FF7277"/>
    <w:rsid w:val="0707267E"/>
    <w:rsid w:val="070954E4"/>
    <w:rsid w:val="07150734"/>
    <w:rsid w:val="071C5217"/>
    <w:rsid w:val="071D1E67"/>
    <w:rsid w:val="072215C3"/>
    <w:rsid w:val="072B0045"/>
    <w:rsid w:val="074D509F"/>
    <w:rsid w:val="075405DD"/>
    <w:rsid w:val="0768392D"/>
    <w:rsid w:val="0780573A"/>
    <w:rsid w:val="079E06A9"/>
    <w:rsid w:val="07A11279"/>
    <w:rsid w:val="07A11732"/>
    <w:rsid w:val="07A63C15"/>
    <w:rsid w:val="07CA6561"/>
    <w:rsid w:val="07D861AF"/>
    <w:rsid w:val="07E01DA1"/>
    <w:rsid w:val="07F938F6"/>
    <w:rsid w:val="081141FE"/>
    <w:rsid w:val="081E54CE"/>
    <w:rsid w:val="08236132"/>
    <w:rsid w:val="082A40E5"/>
    <w:rsid w:val="0842480A"/>
    <w:rsid w:val="085957FA"/>
    <w:rsid w:val="085E792F"/>
    <w:rsid w:val="0865260B"/>
    <w:rsid w:val="086F75C9"/>
    <w:rsid w:val="08752E31"/>
    <w:rsid w:val="087F73B5"/>
    <w:rsid w:val="08857E31"/>
    <w:rsid w:val="0889350F"/>
    <w:rsid w:val="08955281"/>
    <w:rsid w:val="089C3C03"/>
    <w:rsid w:val="08A76CE1"/>
    <w:rsid w:val="08CE2541"/>
    <w:rsid w:val="08D35DAA"/>
    <w:rsid w:val="08D514FD"/>
    <w:rsid w:val="08E91129"/>
    <w:rsid w:val="08F20F02"/>
    <w:rsid w:val="091C2641"/>
    <w:rsid w:val="091D55B0"/>
    <w:rsid w:val="091F17B3"/>
    <w:rsid w:val="093915FE"/>
    <w:rsid w:val="094C3466"/>
    <w:rsid w:val="095B5350"/>
    <w:rsid w:val="09687010"/>
    <w:rsid w:val="096C179F"/>
    <w:rsid w:val="097053A7"/>
    <w:rsid w:val="09760CC5"/>
    <w:rsid w:val="097924AD"/>
    <w:rsid w:val="097D60D9"/>
    <w:rsid w:val="097E3F67"/>
    <w:rsid w:val="097F55EA"/>
    <w:rsid w:val="098826F0"/>
    <w:rsid w:val="099E0166"/>
    <w:rsid w:val="09AA6B0A"/>
    <w:rsid w:val="09B6158F"/>
    <w:rsid w:val="09DF0CC4"/>
    <w:rsid w:val="09EE3B86"/>
    <w:rsid w:val="09FA3E8B"/>
    <w:rsid w:val="0A0E163F"/>
    <w:rsid w:val="0A1501C7"/>
    <w:rsid w:val="0A165F4E"/>
    <w:rsid w:val="0A193C90"/>
    <w:rsid w:val="0A240F43"/>
    <w:rsid w:val="0A420FE1"/>
    <w:rsid w:val="0A691CFF"/>
    <w:rsid w:val="0A692272"/>
    <w:rsid w:val="0A6F4E64"/>
    <w:rsid w:val="0A83110A"/>
    <w:rsid w:val="0A960BA9"/>
    <w:rsid w:val="0AA715EA"/>
    <w:rsid w:val="0AAB1661"/>
    <w:rsid w:val="0AB10575"/>
    <w:rsid w:val="0ACC4AA5"/>
    <w:rsid w:val="0AD330AB"/>
    <w:rsid w:val="0ADB7197"/>
    <w:rsid w:val="0ADC214A"/>
    <w:rsid w:val="0AF07ACD"/>
    <w:rsid w:val="0AF11C68"/>
    <w:rsid w:val="0AFD75D7"/>
    <w:rsid w:val="0B077D65"/>
    <w:rsid w:val="0B13248D"/>
    <w:rsid w:val="0B2E1F77"/>
    <w:rsid w:val="0B3861B5"/>
    <w:rsid w:val="0B3A2110"/>
    <w:rsid w:val="0B4E7482"/>
    <w:rsid w:val="0B5C2086"/>
    <w:rsid w:val="0B5F41C0"/>
    <w:rsid w:val="0B7B52AF"/>
    <w:rsid w:val="0B8C3FEE"/>
    <w:rsid w:val="0B8F623E"/>
    <w:rsid w:val="0BBA2AA7"/>
    <w:rsid w:val="0BCD5DAA"/>
    <w:rsid w:val="0C043F4D"/>
    <w:rsid w:val="0C0A1AE2"/>
    <w:rsid w:val="0C1014AA"/>
    <w:rsid w:val="0C1C7EE8"/>
    <w:rsid w:val="0C283235"/>
    <w:rsid w:val="0C3B1FD9"/>
    <w:rsid w:val="0C4A1EDF"/>
    <w:rsid w:val="0C542D5E"/>
    <w:rsid w:val="0C557CE5"/>
    <w:rsid w:val="0C5D36DD"/>
    <w:rsid w:val="0C5E341D"/>
    <w:rsid w:val="0C654011"/>
    <w:rsid w:val="0C654F6B"/>
    <w:rsid w:val="0C701D42"/>
    <w:rsid w:val="0C7B478E"/>
    <w:rsid w:val="0C842918"/>
    <w:rsid w:val="0C8F1FE8"/>
    <w:rsid w:val="0CA07D46"/>
    <w:rsid w:val="0CA24958"/>
    <w:rsid w:val="0CC2594A"/>
    <w:rsid w:val="0CC50D4E"/>
    <w:rsid w:val="0CD32F74"/>
    <w:rsid w:val="0CE74E54"/>
    <w:rsid w:val="0CEC5CC7"/>
    <w:rsid w:val="0CF90376"/>
    <w:rsid w:val="0CFA1B57"/>
    <w:rsid w:val="0CFA2E7C"/>
    <w:rsid w:val="0CFE2CC9"/>
    <w:rsid w:val="0D05186D"/>
    <w:rsid w:val="0D0C4024"/>
    <w:rsid w:val="0D30496F"/>
    <w:rsid w:val="0D3B1DBB"/>
    <w:rsid w:val="0D42692F"/>
    <w:rsid w:val="0D42705A"/>
    <w:rsid w:val="0D441024"/>
    <w:rsid w:val="0D464D9C"/>
    <w:rsid w:val="0D505C42"/>
    <w:rsid w:val="0D583FB5"/>
    <w:rsid w:val="0D815DD4"/>
    <w:rsid w:val="0D8B7369"/>
    <w:rsid w:val="0D8E6B48"/>
    <w:rsid w:val="0D9458D3"/>
    <w:rsid w:val="0D9C2C0E"/>
    <w:rsid w:val="0DA168A4"/>
    <w:rsid w:val="0DA86300"/>
    <w:rsid w:val="0DAB2E51"/>
    <w:rsid w:val="0DB00467"/>
    <w:rsid w:val="0DB838C1"/>
    <w:rsid w:val="0DB93165"/>
    <w:rsid w:val="0DBF6DF3"/>
    <w:rsid w:val="0DCC24AD"/>
    <w:rsid w:val="0DD564EC"/>
    <w:rsid w:val="0DD8336A"/>
    <w:rsid w:val="0DE247DD"/>
    <w:rsid w:val="0DE84930"/>
    <w:rsid w:val="0DF82EF5"/>
    <w:rsid w:val="0E0A76AB"/>
    <w:rsid w:val="0E140D02"/>
    <w:rsid w:val="0E315FCC"/>
    <w:rsid w:val="0E460DCC"/>
    <w:rsid w:val="0E4A67FF"/>
    <w:rsid w:val="0E4C0B68"/>
    <w:rsid w:val="0E560F56"/>
    <w:rsid w:val="0E5A162E"/>
    <w:rsid w:val="0E6E681B"/>
    <w:rsid w:val="0E716B8E"/>
    <w:rsid w:val="0E9D04DC"/>
    <w:rsid w:val="0EB35990"/>
    <w:rsid w:val="0EB44976"/>
    <w:rsid w:val="0EC35F79"/>
    <w:rsid w:val="0ECA468A"/>
    <w:rsid w:val="0EEC6FF7"/>
    <w:rsid w:val="0EFC6C0E"/>
    <w:rsid w:val="0F0C3DC3"/>
    <w:rsid w:val="0F0E124C"/>
    <w:rsid w:val="0F2A12DA"/>
    <w:rsid w:val="0F35333A"/>
    <w:rsid w:val="0F4E618A"/>
    <w:rsid w:val="0F5A6986"/>
    <w:rsid w:val="0F6459AD"/>
    <w:rsid w:val="0F681386"/>
    <w:rsid w:val="0F7E2E3B"/>
    <w:rsid w:val="0F881738"/>
    <w:rsid w:val="0F96557A"/>
    <w:rsid w:val="0F98053D"/>
    <w:rsid w:val="0F9C30F1"/>
    <w:rsid w:val="0FAC28D6"/>
    <w:rsid w:val="0FDC0E30"/>
    <w:rsid w:val="0FEA332A"/>
    <w:rsid w:val="0FEE2945"/>
    <w:rsid w:val="0FF860F6"/>
    <w:rsid w:val="100D2E5B"/>
    <w:rsid w:val="102B64CB"/>
    <w:rsid w:val="102B71DF"/>
    <w:rsid w:val="102D4591"/>
    <w:rsid w:val="10321608"/>
    <w:rsid w:val="10330291"/>
    <w:rsid w:val="10654EEA"/>
    <w:rsid w:val="106663EC"/>
    <w:rsid w:val="107E65FB"/>
    <w:rsid w:val="108A1444"/>
    <w:rsid w:val="109C43D9"/>
    <w:rsid w:val="10A53DB2"/>
    <w:rsid w:val="10A55CBC"/>
    <w:rsid w:val="10AC1C1C"/>
    <w:rsid w:val="10C24F92"/>
    <w:rsid w:val="10E30B54"/>
    <w:rsid w:val="10E62A54"/>
    <w:rsid w:val="10EC47E6"/>
    <w:rsid w:val="10F31496"/>
    <w:rsid w:val="10F845FF"/>
    <w:rsid w:val="10FF1F87"/>
    <w:rsid w:val="110452F3"/>
    <w:rsid w:val="110C322F"/>
    <w:rsid w:val="111C4E94"/>
    <w:rsid w:val="11225A1F"/>
    <w:rsid w:val="11394671"/>
    <w:rsid w:val="11452614"/>
    <w:rsid w:val="1158509E"/>
    <w:rsid w:val="11633F7B"/>
    <w:rsid w:val="116C7E2A"/>
    <w:rsid w:val="117D3A12"/>
    <w:rsid w:val="11981C7F"/>
    <w:rsid w:val="11991775"/>
    <w:rsid w:val="11D02E86"/>
    <w:rsid w:val="11D34E9F"/>
    <w:rsid w:val="11EC3AAE"/>
    <w:rsid w:val="1201571C"/>
    <w:rsid w:val="121641AC"/>
    <w:rsid w:val="1223590A"/>
    <w:rsid w:val="12374AEE"/>
    <w:rsid w:val="123C23CD"/>
    <w:rsid w:val="12413D84"/>
    <w:rsid w:val="124E617F"/>
    <w:rsid w:val="12543412"/>
    <w:rsid w:val="125A36ED"/>
    <w:rsid w:val="126857B5"/>
    <w:rsid w:val="12774278"/>
    <w:rsid w:val="1286704C"/>
    <w:rsid w:val="128A7A47"/>
    <w:rsid w:val="128B3251"/>
    <w:rsid w:val="12A6164B"/>
    <w:rsid w:val="12AC14EC"/>
    <w:rsid w:val="12B4480F"/>
    <w:rsid w:val="12C30FD9"/>
    <w:rsid w:val="12CC5D44"/>
    <w:rsid w:val="12CF1390"/>
    <w:rsid w:val="12CF5590"/>
    <w:rsid w:val="12D54A07"/>
    <w:rsid w:val="12D9220E"/>
    <w:rsid w:val="12DF0D21"/>
    <w:rsid w:val="12E0359D"/>
    <w:rsid w:val="12F46ACC"/>
    <w:rsid w:val="130024EF"/>
    <w:rsid w:val="13107719"/>
    <w:rsid w:val="131B45D5"/>
    <w:rsid w:val="13201BEB"/>
    <w:rsid w:val="13203999"/>
    <w:rsid w:val="13255454"/>
    <w:rsid w:val="13311D39"/>
    <w:rsid w:val="13512B8F"/>
    <w:rsid w:val="1369752F"/>
    <w:rsid w:val="136E6A26"/>
    <w:rsid w:val="137147AF"/>
    <w:rsid w:val="137361BF"/>
    <w:rsid w:val="138A32E7"/>
    <w:rsid w:val="13914E7E"/>
    <w:rsid w:val="13946135"/>
    <w:rsid w:val="139A7BF0"/>
    <w:rsid w:val="13BE42D5"/>
    <w:rsid w:val="13C702B9"/>
    <w:rsid w:val="13C92283"/>
    <w:rsid w:val="13CD67C8"/>
    <w:rsid w:val="13D369D7"/>
    <w:rsid w:val="13DA4392"/>
    <w:rsid w:val="13DA4490"/>
    <w:rsid w:val="13ED1441"/>
    <w:rsid w:val="13F37775"/>
    <w:rsid w:val="13F45385"/>
    <w:rsid w:val="13F8365E"/>
    <w:rsid w:val="140164D0"/>
    <w:rsid w:val="14037DFC"/>
    <w:rsid w:val="1406571A"/>
    <w:rsid w:val="1407000D"/>
    <w:rsid w:val="140F076D"/>
    <w:rsid w:val="14131750"/>
    <w:rsid w:val="142F77FD"/>
    <w:rsid w:val="14302302"/>
    <w:rsid w:val="14373691"/>
    <w:rsid w:val="14557A79"/>
    <w:rsid w:val="14592A81"/>
    <w:rsid w:val="14593607"/>
    <w:rsid w:val="14767345"/>
    <w:rsid w:val="148D0B4E"/>
    <w:rsid w:val="149B3E2E"/>
    <w:rsid w:val="14BF3F1D"/>
    <w:rsid w:val="14C33176"/>
    <w:rsid w:val="14D71F1D"/>
    <w:rsid w:val="14ED7306"/>
    <w:rsid w:val="14FA6AFA"/>
    <w:rsid w:val="15054877"/>
    <w:rsid w:val="15317692"/>
    <w:rsid w:val="155F68B6"/>
    <w:rsid w:val="15682BAC"/>
    <w:rsid w:val="156D6B73"/>
    <w:rsid w:val="1578017B"/>
    <w:rsid w:val="157A3161"/>
    <w:rsid w:val="1584641F"/>
    <w:rsid w:val="158F12AA"/>
    <w:rsid w:val="159876FE"/>
    <w:rsid w:val="159E0A2F"/>
    <w:rsid w:val="15AE6F4E"/>
    <w:rsid w:val="15B12FCF"/>
    <w:rsid w:val="15B3445A"/>
    <w:rsid w:val="15BE749A"/>
    <w:rsid w:val="15C31FA3"/>
    <w:rsid w:val="15CD58DB"/>
    <w:rsid w:val="15CD77D8"/>
    <w:rsid w:val="15D53161"/>
    <w:rsid w:val="15D62326"/>
    <w:rsid w:val="15DB6052"/>
    <w:rsid w:val="160475A2"/>
    <w:rsid w:val="1614673F"/>
    <w:rsid w:val="16190736"/>
    <w:rsid w:val="161A64CB"/>
    <w:rsid w:val="16223ECC"/>
    <w:rsid w:val="162C2E4A"/>
    <w:rsid w:val="16406B37"/>
    <w:rsid w:val="16452C82"/>
    <w:rsid w:val="166C23D4"/>
    <w:rsid w:val="16707295"/>
    <w:rsid w:val="168F05D0"/>
    <w:rsid w:val="16976668"/>
    <w:rsid w:val="16A4646B"/>
    <w:rsid w:val="16AE6C5B"/>
    <w:rsid w:val="16B33E30"/>
    <w:rsid w:val="16CF6382"/>
    <w:rsid w:val="16D14A4E"/>
    <w:rsid w:val="16D742BF"/>
    <w:rsid w:val="16DC051F"/>
    <w:rsid w:val="16F33848"/>
    <w:rsid w:val="17020270"/>
    <w:rsid w:val="170C67C0"/>
    <w:rsid w:val="171750B3"/>
    <w:rsid w:val="171B14C6"/>
    <w:rsid w:val="17234B8D"/>
    <w:rsid w:val="1724317B"/>
    <w:rsid w:val="17262C09"/>
    <w:rsid w:val="173914CE"/>
    <w:rsid w:val="173954A2"/>
    <w:rsid w:val="173C4B1A"/>
    <w:rsid w:val="1751337C"/>
    <w:rsid w:val="17622C16"/>
    <w:rsid w:val="176C18A3"/>
    <w:rsid w:val="17720AF7"/>
    <w:rsid w:val="178850CA"/>
    <w:rsid w:val="17906024"/>
    <w:rsid w:val="17B21ECE"/>
    <w:rsid w:val="17B3652C"/>
    <w:rsid w:val="17B5355D"/>
    <w:rsid w:val="17BF5E77"/>
    <w:rsid w:val="17C528B3"/>
    <w:rsid w:val="17D05D54"/>
    <w:rsid w:val="17D40886"/>
    <w:rsid w:val="17E458DD"/>
    <w:rsid w:val="1806208F"/>
    <w:rsid w:val="18073491"/>
    <w:rsid w:val="180D767E"/>
    <w:rsid w:val="180E4708"/>
    <w:rsid w:val="18133ACD"/>
    <w:rsid w:val="181B1C78"/>
    <w:rsid w:val="18325562"/>
    <w:rsid w:val="1844637C"/>
    <w:rsid w:val="184C5118"/>
    <w:rsid w:val="185A0DE6"/>
    <w:rsid w:val="185F299E"/>
    <w:rsid w:val="186E2F91"/>
    <w:rsid w:val="186F19DF"/>
    <w:rsid w:val="1870310B"/>
    <w:rsid w:val="187A3B4C"/>
    <w:rsid w:val="187D53EA"/>
    <w:rsid w:val="18846779"/>
    <w:rsid w:val="18A23953"/>
    <w:rsid w:val="18AD0E35"/>
    <w:rsid w:val="18B27E61"/>
    <w:rsid w:val="18BC3E22"/>
    <w:rsid w:val="18CC4A6A"/>
    <w:rsid w:val="18DB220A"/>
    <w:rsid w:val="1901012A"/>
    <w:rsid w:val="19014561"/>
    <w:rsid w:val="19137505"/>
    <w:rsid w:val="192871DB"/>
    <w:rsid w:val="19377C8F"/>
    <w:rsid w:val="193F3837"/>
    <w:rsid w:val="19470EC7"/>
    <w:rsid w:val="19677F5C"/>
    <w:rsid w:val="19874772"/>
    <w:rsid w:val="19904BD3"/>
    <w:rsid w:val="19917262"/>
    <w:rsid w:val="199E386A"/>
    <w:rsid w:val="19A04CDD"/>
    <w:rsid w:val="19AD5EB0"/>
    <w:rsid w:val="19B7492C"/>
    <w:rsid w:val="19D12494"/>
    <w:rsid w:val="19DB614F"/>
    <w:rsid w:val="19E064CA"/>
    <w:rsid w:val="19FC592B"/>
    <w:rsid w:val="1A023DF9"/>
    <w:rsid w:val="1A046DFD"/>
    <w:rsid w:val="1A0F183E"/>
    <w:rsid w:val="1A117498"/>
    <w:rsid w:val="1A121B04"/>
    <w:rsid w:val="1A163D48"/>
    <w:rsid w:val="1A187AC0"/>
    <w:rsid w:val="1A314A2E"/>
    <w:rsid w:val="1A3246B7"/>
    <w:rsid w:val="1A3F5B85"/>
    <w:rsid w:val="1A4854A4"/>
    <w:rsid w:val="1A4D19E7"/>
    <w:rsid w:val="1A813E7C"/>
    <w:rsid w:val="1A8C4960"/>
    <w:rsid w:val="1A925E24"/>
    <w:rsid w:val="1AA05613"/>
    <w:rsid w:val="1AAE6626"/>
    <w:rsid w:val="1AB74DC6"/>
    <w:rsid w:val="1ABA25AC"/>
    <w:rsid w:val="1ABC6E54"/>
    <w:rsid w:val="1AC20CB9"/>
    <w:rsid w:val="1AC83294"/>
    <w:rsid w:val="1AC85A63"/>
    <w:rsid w:val="1ADC2270"/>
    <w:rsid w:val="1ADC261E"/>
    <w:rsid w:val="1AF657BB"/>
    <w:rsid w:val="1B056D7D"/>
    <w:rsid w:val="1B0A11A3"/>
    <w:rsid w:val="1B0A7CCE"/>
    <w:rsid w:val="1B225BC3"/>
    <w:rsid w:val="1B286BC6"/>
    <w:rsid w:val="1B307452"/>
    <w:rsid w:val="1B473BDE"/>
    <w:rsid w:val="1B4B5C73"/>
    <w:rsid w:val="1B522F24"/>
    <w:rsid w:val="1B5B5EB7"/>
    <w:rsid w:val="1B5E59C7"/>
    <w:rsid w:val="1B634126"/>
    <w:rsid w:val="1B672D57"/>
    <w:rsid w:val="1B6F218E"/>
    <w:rsid w:val="1B7C5E2D"/>
    <w:rsid w:val="1B7F559B"/>
    <w:rsid w:val="1B9F1B2B"/>
    <w:rsid w:val="1BB27AA1"/>
    <w:rsid w:val="1BBC0E66"/>
    <w:rsid w:val="1BC9126C"/>
    <w:rsid w:val="1BCE6AFB"/>
    <w:rsid w:val="1BCE775A"/>
    <w:rsid w:val="1BE7774A"/>
    <w:rsid w:val="1BFF7BC7"/>
    <w:rsid w:val="1C1F191A"/>
    <w:rsid w:val="1C2954F1"/>
    <w:rsid w:val="1C2E5379"/>
    <w:rsid w:val="1C314900"/>
    <w:rsid w:val="1C4306F9"/>
    <w:rsid w:val="1C4C20BA"/>
    <w:rsid w:val="1C701782"/>
    <w:rsid w:val="1C71206F"/>
    <w:rsid w:val="1C7F19BD"/>
    <w:rsid w:val="1CB735C0"/>
    <w:rsid w:val="1CD12AC0"/>
    <w:rsid w:val="1CD3019A"/>
    <w:rsid w:val="1CD62D64"/>
    <w:rsid w:val="1CDD28FB"/>
    <w:rsid w:val="1CEB0FBA"/>
    <w:rsid w:val="1D09622E"/>
    <w:rsid w:val="1D0B22A0"/>
    <w:rsid w:val="1D370649"/>
    <w:rsid w:val="1D424BB4"/>
    <w:rsid w:val="1D491D3F"/>
    <w:rsid w:val="1D4B451A"/>
    <w:rsid w:val="1D6769B7"/>
    <w:rsid w:val="1D6C01BA"/>
    <w:rsid w:val="1D725CFB"/>
    <w:rsid w:val="1D7B0AAF"/>
    <w:rsid w:val="1D7C2F8C"/>
    <w:rsid w:val="1D8316F5"/>
    <w:rsid w:val="1D994A74"/>
    <w:rsid w:val="1DAB59C9"/>
    <w:rsid w:val="1DB5647B"/>
    <w:rsid w:val="1DCB6BF8"/>
    <w:rsid w:val="1DE1641B"/>
    <w:rsid w:val="1DEF5238"/>
    <w:rsid w:val="1DF779ED"/>
    <w:rsid w:val="1DF8772F"/>
    <w:rsid w:val="1DFD1BBB"/>
    <w:rsid w:val="1E0565AE"/>
    <w:rsid w:val="1E0A7720"/>
    <w:rsid w:val="1E100C4B"/>
    <w:rsid w:val="1E17506E"/>
    <w:rsid w:val="1E3F38AB"/>
    <w:rsid w:val="1E651519"/>
    <w:rsid w:val="1E652C84"/>
    <w:rsid w:val="1E682698"/>
    <w:rsid w:val="1E697A7E"/>
    <w:rsid w:val="1E860D4B"/>
    <w:rsid w:val="1E870D71"/>
    <w:rsid w:val="1E8D2863"/>
    <w:rsid w:val="1E9A1580"/>
    <w:rsid w:val="1E9D62D7"/>
    <w:rsid w:val="1EA748D3"/>
    <w:rsid w:val="1EAA4A5F"/>
    <w:rsid w:val="1EBF5888"/>
    <w:rsid w:val="1EDC4A3C"/>
    <w:rsid w:val="1EE1019F"/>
    <w:rsid w:val="1EF046E4"/>
    <w:rsid w:val="1EF50D90"/>
    <w:rsid w:val="1F182C4C"/>
    <w:rsid w:val="1F2E5690"/>
    <w:rsid w:val="1F30016F"/>
    <w:rsid w:val="1F4208BD"/>
    <w:rsid w:val="1F93753E"/>
    <w:rsid w:val="1FB5457D"/>
    <w:rsid w:val="1FBB10A7"/>
    <w:rsid w:val="1FBB2A4A"/>
    <w:rsid w:val="1FBE6A14"/>
    <w:rsid w:val="1FC73DAD"/>
    <w:rsid w:val="1FD06747"/>
    <w:rsid w:val="1FD47710"/>
    <w:rsid w:val="1FDB1C1B"/>
    <w:rsid w:val="1FEF6BCD"/>
    <w:rsid w:val="1FF02946"/>
    <w:rsid w:val="1FFB6AD0"/>
    <w:rsid w:val="2001257A"/>
    <w:rsid w:val="20080D74"/>
    <w:rsid w:val="201E5705"/>
    <w:rsid w:val="202159A9"/>
    <w:rsid w:val="202B0F52"/>
    <w:rsid w:val="20550483"/>
    <w:rsid w:val="20627B22"/>
    <w:rsid w:val="207E43F5"/>
    <w:rsid w:val="20A01272"/>
    <w:rsid w:val="20A01452"/>
    <w:rsid w:val="20A83220"/>
    <w:rsid w:val="20AF190C"/>
    <w:rsid w:val="20AF6C65"/>
    <w:rsid w:val="20C53F38"/>
    <w:rsid w:val="20F359B8"/>
    <w:rsid w:val="21117017"/>
    <w:rsid w:val="2120299F"/>
    <w:rsid w:val="21220C71"/>
    <w:rsid w:val="2122260A"/>
    <w:rsid w:val="21285BD2"/>
    <w:rsid w:val="213A0DCE"/>
    <w:rsid w:val="213F6F75"/>
    <w:rsid w:val="21425423"/>
    <w:rsid w:val="21552242"/>
    <w:rsid w:val="216E1893"/>
    <w:rsid w:val="21796094"/>
    <w:rsid w:val="217962E8"/>
    <w:rsid w:val="218D48F0"/>
    <w:rsid w:val="218E6C10"/>
    <w:rsid w:val="21A67760"/>
    <w:rsid w:val="21AF5EF0"/>
    <w:rsid w:val="21CC38B5"/>
    <w:rsid w:val="21CE10CB"/>
    <w:rsid w:val="21D22C41"/>
    <w:rsid w:val="2201663E"/>
    <w:rsid w:val="220B358C"/>
    <w:rsid w:val="221B14AD"/>
    <w:rsid w:val="221C5C74"/>
    <w:rsid w:val="22250FCC"/>
    <w:rsid w:val="22274D44"/>
    <w:rsid w:val="222975DF"/>
    <w:rsid w:val="2246047C"/>
    <w:rsid w:val="225230F9"/>
    <w:rsid w:val="22592900"/>
    <w:rsid w:val="225A31BD"/>
    <w:rsid w:val="226668D4"/>
    <w:rsid w:val="226D754A"/>
    <w:rsid w:val="22791318"/>
    <w:rsid w:val="227E594D"/>
    <w:rsid w:val="228B0323"/>
    <w:rsid w:val="22A84495"/>
    <w:rsid w:val="22C0780A"/>
    <w:rsid w:val="22CD6A2B"/>
    <w:rsid w:val="22D15545"/>
    <w:rsid w:val="22D71C1D"/>
    <w:rsid w:val="22E13967"/>
    <w:rsid w:val="22F015DA"/>
    <w:rsid w:val="22F62974"/>
    <w:rsid w:val="22F84AFF"/>
    <w:rsid w:val="230C5CE8"/>
    <w:rsid w:val="23111551"/>
    <w:rsid w:val="231F2AF6"/>
    <w:rsid w:val="23353491"/>
    <w:rsid w:val="23407A19"/>
    <w:rsid w:val="23415E9E"/>
    <w:rsid w:val="23541730"/>
    <w:rsid w:val="235F22BC"/>
    <w:rsid w:val="237058AA"/>
    <w:rsid w:val="23720241"/>
    <w:rsid w:val="23721F3D"/>
    <w:rsid w:val="239C0A7D"/>
    <w:rsid w:val="23A63C81"/>
    <w:rsid w:val="23D5432C"/>
    <w:rsid w:val="23DB4957"/>
    <w:rsid w:val="23DD5B85"/>
    <w:rsid w:val="23DE58D7"/>
    <w:rsid w:val="24102888"/>
    <w:rsid w:val="2422299D"/>
    <w:rsid w:val="242558DC"/>
    <w:rsid w:val="24257892"/>
    <w:rsid w:val="24476C66"/>
    <w:rsid w:val="244C2478"/>
    <w:rsid w:val="24520831"/>
    <w:rsid w:val="245E52F5"/>
    <w:rsid w:val="24660DD2"/>
    <w:rsid w:val="24684CA7"/>
    <w:rsid w:val="2473416B"/>
    <w:rsid w:val="24827F6A"/>
    <w:rsid w:val="248A15BB"/>
    <w:rsid w:val="248C7E4F"/>
    <w:rsid w:val="24B00291"/>
    <w:rsid w:val="24F47079"/>
    <w:rsid w:val="24FE78B3"/>
    <w:rsid w:val="2500362B"/>
    <w:rsid w:val="25161A02"/>
    <w:rsid w:val="25175261"/>
    <w:rsid w:val="252309A9"/>
    <w:rsid w:val="252366A5"/>
    <w:rsid w:val="253908EB"/>
    <w:rsid w:val="253F1DE3"/>
    <w:rsid w:val="254F12BF"/>
    <w:rsid w:val="25531F84"/>
    <w:rsid w:val="255B4D05"/>
    <w:rsid w:val="256857B2"/>
    <w:rsid w:val="256C0CC0"/>
    <w:rsid w:val="2575717A"/>
    <w:rsid w:val="258F15FC"/>
    <w:rsid w:val="258F4B8D"/>
    <w:rsid w:val="25B27A84"/>
    <w:rsid w:val="25B54415"/>
    <w:rsid w:val="25BC1C48"/>
    <w:rsid w:val="25CE1008"/>
    <w:rsid w:val="25CE1C2F"/>
    <w:rsid w:val="25D13F05"/>
    <w:rsid w:val="25D61D3E"/>
    <w:rsid w:val="25D70461"/>
    <w:rsid w:val="25D9485C"/>
    <w:rsid w:val="25DE757F"/>
    <w:rsid w:val="25E3793F"/>
    <w:rsid w:val="25ED1E5C"/>
    <w:rsid w:val="26211B75"/>
    <w:rsid w:val="26263565"/>
    <w:rsid w:val="26342D75"/>
    <w:rsid w:val="26376C91"/>
    <w:rsid w:val="264076A6"/>
    <w:rsid w:val="26416376"/>
    <w:rsid w:val="265A612B"/>
    <w:rsid w:val="266C5105"/>
    <w:rsid w:val="2670658E"/>
    <w:rsid w:val="267477D6"/>
    <w:rsid w:val="26751DF6"/>
    <w:rsid w:val="268635CC"/>
    <w:rsid w:val="268C649F"/>
    <w:rsid w:val="268E00A5"/>
    <w:rsid w:val="2693065B"/>
    <w:rsid w:val="269A7E39"/>
    <w:rsid w:val="269B7605"/>
    <w:rsid w:val="26A0679D"/>
    <w:rsid w:val="26A06F3E"/>
    <w:rsid w:val="26AD7232"/>
    <w:rsid w:val="26AE73E4"/>
    <w:rsid w:val="26B20955"/>
    <w:rsid w:val="26C2328E"/>
    <w:rsid w:val="26CC56F0"/>
    <w:rsid w:val="26D84C10"/>
    <w:rsid w:val="26E4757F"/>
    <w:rsid w:val="26E738AC"/>
    <w:rsid w:val="26F22A87"/>
    <w:rsid w:val="26F23447"/>
    <w:rsid w:val="27003DB6"/>
    <w:rsid w:val="27090EBD"/>
    <w:rsid w:val="271C2272"/>
    <w:rsid w:val="272F06BB"/>
    <w:rsid w:val="2737277F"/>
    <w:rsid w:val="27386C22"/>
    <w:rsid w:val="273A6D63"/>
    <w:rsid w:val="27491DA7"/>
    <w:rsid w:val="274F2CF3"/>
    <w:rsid w:val="275B228B"/>
    <w:rsid w:val="276145A0"/>
    <w:rsid w:val="27656090"/>
    <w:rsid w:val="276F34B4"/>
    <w:rsid w:val="278F02FC"/>
    <w:rsid w:val="279A7D67"/>
    <w:rsid w:val="279D33B3"/>
    <w:rsid w:val="27A645D4"/>
    <w:rsid w:val="27B65447"/>
    <w:rsid w:val="27D840E5"/>
    <w:rsid w:val="27EB411E"/>
    <w:rsid w:val="27F751B9"/>
    <w:rsid w:val="280E2503"/>
    <w:rsid w:val="281318C7"/>
    <w:rsid w:val="281B0A08"/>
    <w:rsid w:val="2829125A"/>
    <w:rsid w:val="28497A9D"/>
    <w:rsid w:val="28513231"/>
    <w:rsid w:val="286337CC"/>
    <w:rsid w:val="28702875"/>
    <w:rsid w:val="287B7B98"/>
    <w:rsid w:val="288D2F09"/>
    <w:rsid w:val="289052D0"/>
    <w:rsid w:val="289E5635"/>
    <w:rsid w:val="28A80261"/>
    <w:rsid w:val="28B540DD"/>
    <w:rsid w:val="28F11C08"/>
    <w:rsid w:val="28F81282"/>
    <w:rsid w:val="290E0269"/>
    <w:rsid w:val="2916341D"/>
    <w:rsid w:val="29172673"/>
    <w:rsid w:val="292D3D96"/>
    <w:rsid w:val="293A4A68"/>
    <w:rsid w:val="29493331"/>
    <w:rsid w:val="29556916"/>
    <w:rsid w:val="296F1552"/>
    <w:rsid w:val="2973261D"/>
    <w:rsid w:val="2989658B"/>
    <w:rsid w:val="298A5BB9"/>
    <w:rsid w:val="299A22A0"/>
    <w:rsid w:val="29A969DA"/>
    <w:rsid w:val="29AD505F"/>
    <w:rsid w:val="29C27101"/>
    <w:rsid w:val="29CC4423"/>
    <w:rsid w:val="29D24EB9"/>
    <w:rsid w:val="29DC7D86"/>
    <w:rsid w:val="2A0C4FAD"/>
    <w:rsid w:val="2A331A05"/>
    <w:rsid w:val="2A4112B3"/>
    <w:rsid w:val="2A505255"/>
    <w:rsid w:val="2A656F1C"/>
    <w:rsid w:val="2A823ABD"/>
    <w:rsid w:val="2A8258B5"/>
    <w:rsid w:val="2A84500E"/>
    <w:rsid w:val="2A8A0957"/>
    <w:rsid w:val="2AC1560A"/>
    <w:rsid w:val="2AC90C28"/>
    <w:rsid w:val="2AC965C4"/>
    <w:rsid w:val="2ACB6489"/>
    <w:rsid w:val="2AE8528D"/>
    <w:rsid w:val="2B013C59"/>
    <w:rsid w:val="2B2C37FE"/>
    <w:rsid w:val="2B38343A"/>
    <w:rsid w:val="2B4B052A"/>
    <w:rsid w:val="2B4C581C"/>
    <w:rsid w:val="2B784279"/>
    <w:rsid w:val="2B7D6A80"/>
    <w:rsid w:val="2B83490A"/>
    <w:rsid w:val="2BA0058B"/>
    <w:rsid w:val="2BAA2542"/>
    <w:rsid w:val="2BB01A48"/>
    <w:rsid w:val="2BB7355A"/>
    <w:rsid w:val="2BBF73E6"/>
    <w:rsid w:val="2BC054A6"/>
    <w:rsid w:val="2BD27F42"/>
    <w:rsid w:val="2BD51125"/>
    <w:rsid w:val="2BDA1BE3"/>
    <w:rsid w:val="2BE43B4A"/>
    <w:rsid w:val="2BEB13E2"/>
    <w:rsid w:val="2BF848AE"/>
    <w:rsid w:val="2BFD232E"/>
    <w:rsid w:val="2C017A38"/>
    <w:rsid w:val="2C041C52"/>
    <w:rsid w:val="2C1377BE"/>
    <w:rsid w:val="2C1F2245"/>
    <w:rsid w:val="2C203F96"/>
    <w:rsid w:val="2C2C3CDF"/>
    <w:rsid w:val="2C322662"/>
    <w:rsid w:val="2C356EE7"/>
    <w:rsid w:val="2C363DD6"/>
    <w:rsid w:val="2C370C50"/>
    <w:rsid w:val="2C535F17"/>
    <w:rsid w:val="2C581F9E"/>
    <w:rsid w:val="2C5D75B5"/>
    <w:rsid w:val="2C6170A5"/>
    <w:rsid w:val="2C697A8D"/>
    <w:rsid w:val="2C7E0B8F"/>
    <w:rsid w:val="2C9969A4"/>
    <w:rsid w:val="2C9C00DD"/>
    <w:rsid w:val="2CB16300"/>
    <w:rsid w:val="2CB60401"/>
    <w:rsid w:val="2CBA0B3D"/>
    <w:rsid w:val="2CBE0EE8"/>
    <w:rsid w:val="2CCA2855"/>
    <w:rsid w:val="2CD51841"/>
    <w:rsid w:val="2CD704EC"/>
    <w:rsid w:val="2CEC275E"/>
    <w:rsid w:val="2CF0667B"/>
    <w:rsid w:val="2CFF1799"/>
    <w:rsid w:val="2D0329F9"/>
    <w:rsid w:val="2D0B4DCA"/>
    <w:rsid w:val="2D4C15DB"/>
    <w:rsid w:val="2D5902CC"/>
    <w:rsid w:val="2D5D7FCE"/>
    <w:rsid w:val="2D603E62"/>
    <w:rsid w:val="2D630BFB"/>
    <w:rsid w:val="2D7517EB"/>
    <w:rsid w:val="2D7C71FA"/>
    <w:rsid w:val="2D9F1161"/>
    <w:rsid w:val="2DA769B4"/>
    <w:rsid w:val="2DC42B6B"/>
    <w:rsid w:val="2DC72F38"/>
    <w:rsid w:val="2DCB3AE7"/>
    <w:rsid w:val="2DD41AF8"/>
    <w:rsid w:val="2DF45CF7"/>
    <w:rsid w:val="2DFA04C4"/>
    <w:rsid w:val="2E0423DE"/>
    <w:rsid w:val="2E114293"/>
    <w:rsid w:val="2E434245"/>
    <w:rsid w:val="2E5549E7"/>
    <w:rsid w:val="2E5C6F7C"/>
    <w:rsid w:val="2E803A99"/>
    <w:rsid w:val="2E806E8F"/>
    <w:rsid w:val="2E884DBD"/>
    <w:rsid w:val="2E9B6739"/>
    <w:rsid w:val="2EA23555"/>
    <w:rsid w:val="2EA80FBB"/>
    <w:rsid w:val="2ECE4D08"/>
    <w:rsid w:val="2EEE0998"/>
    <w:rsid w:val="2EF266DA"/>
    <w:rsid w:val="2F1C3757"/>
    <w:rsid w:val="2F1D35A3"/>
    <w:rsid w:val="2F260132"/>
    <w:rsid w:val="2F2648E1"/>
    <w:rsid w:val="2F38732C"/>
    <w:rsid w:val="2F3D5FBF"/>
    <w:rsid w:val="2F5B19C6"/>
    <w:rsid w:val="2F5E2D2C"/>
    <w:rsid w:val="2F5F2884"/>
    <w:rsid w:val="2F701683"/>
    <w:rsid w:val="2F72741C"/>
    <w:rsid w:val="2F8F113D"/>
    <w:rsid w:val="2F934C79"/>
    <w:rsid w:val="2FB35E69"/>
    <w:rsid w:val="2FB4573E"/>
    <w:rsid w:val="2FB63A17"/>
    <w:rsid w:val="2FB861D4"/>
    <w:rsid w:val="2FBF4A8B"/>
    <w:rsid w:val="2FC33E98"/>
    <w:rsid w:val="2FD11223"/>
    <w:rsid w:val="2FF67B04"/>
    <w:rsid w:val="30093406"/>
    <w:rsid w:val="300D4BC3"/>
    <w:rsid w:val="30105B11"/>
    <w:rsid w:val="30162CA6"/>
    <w:rsid w:val="30536D05"/>
    <w:rsid w:val="30570E7F"/>
    <w:rsid w:val="30607673"/>
    <w:rsid w:val="3069560F"/>
    <w:rsid w:val="307066C9"/>
    <w:rsid w:val="307373A7"/>
    <w:rsid w:val="307407D2"/>
    <w:rsid w:val="308713AC"/>
    <w:rsid w:val="30874C00"/>
    <w:rsid w:val="30901D07"/>
    <w:rsid w:val="30A61A2F"/>
    <w:rsid w:val="30C64149"/>
    <w:rsid w:val="30F54260"/>
    <w:rsid w:val="31082F3E"/>
    <w:rsid w:val="3123791C"/>
    <w:rsid w:val="31252E7E"/>
    <w:rsid w:val="31343C7A"/>
    <w:rsid w:val="3141740A"/>
    <w:rsid w:val="314F2337"/>
    <w:rsid w:val="315541F8"/>
    <w:rsid w:val="31603DCF"/>
    <w:rsid w:val="31720C94"/>
    <w:rsid w:val="31724290"/>
    <w:rsid w:val="317A43F3"/>
    <w:rsid w:val="317D3CD3"/>
    <w:rsid w:val="319016CC"/>
    <w:rsid w:val="31A07DE9"/>
    <w:rsid w:val="31A9786E"/>
    <w:rsid w:val="31C361A1"/>
    <w:rsid w:val="31C92D8C"/>
    <w:rsid w:val="31CA1248"/>
    <w:rsid w:val="31CA605D"/>
    <w:rsid w:val="31F25CB8"/>
    <w:rsid w:val="31FA07A2"/>
    <w:rsid w:val="32026A47"/>
    <w:rsid w:val="320C781A"/>
    <w:rsid w:val="3212777E"/>
    <w:rsid w:val="321D3A6E"/>
    <w:rsid w:val="32267112"/>
    <w:rsid w:val="32336476"/>
    <w:rsid w:val="323D79F5"/>
    <w:rsid w:val="324255F3"/>
    <w:rsid w:val="32452FC5"/>
    <w:rsid w:val="324C1D48"/>
    <w:rsid w:val="325154C6"/>
    <w:rsid w:val="325360E1"/>
    <w:rsid w:val="3255145A"/>
    <w:rsid w:val="327A271D"/>
    <w:rsid w:val="32853B97"/>
    <w:rsid w:val="3287257E"/>
    <w:rsid w:val="329F0927"/>
    <w:rsid w:val="32B966F1"/>
    <w:rsid w:val="32BF4657"/>
    <w:rsid w:val="32C60320"/>
    <w:rsid w:val="32E3112B"/>
    <w:rsid w:val="32ED3B52"/>
    <w:rsid w:val="32F0758B"/>
    <w:rsid w:val="32FB3696"/>
    <w:rsid w:val="32FB689D"/>
    <w:rsid w:val="332A2E84"/>
    <w:rsid w:val="33310FD0"/>
    <w:rsid w:val="333170A5"/>
    <w:rsid w:val="333F7A6A"/>
    <w:rsid w:val="3353526D"/>
    <w:rsid w:val="33544A15"/>
    <w:rsid w:val="336F3E6F"/>
    <w:rsid w:val="336F57D3"/>
    <w:rsid w:val="337B4EF0"/>
    <w:rsid w:val="33836CD2"/>
    <w:rsid w:val="33837421"/>
    <w:rsid w:val="338D4C23"/>
    <w:rsid w:val="33925D96"/>
    <w:rsid w:val="33A334B9"/>
    <w:rsid w:val="33B72044"/>
    <w:rsid w:val="33BB7738"/>
    <w:rsid w:val="33C87A09"/>
    <w:rsid w:val="33E2532B"/>
    <w:rsid w:val="33EC194A"/>
    <w:rsid w:val="33FA40FA"/>
    <w:rsid w:val="34047DBF"/>
    <w:rsid w:val="340B62BE"/>
    <w:rsid w:val="34156305"/>
    <w:rsid w:val="342D77AE"/>
    <w:rsid w:val="343C2160"/>
    <w:rsid w:val="34505279"/>
    <w:rsid w:val="345D252B"/>
    <w:rsid w:val="346305BA"/>
    <w:rsid w:val="3471363D"/>
    <w:rsid w:val="347436ED"/>
    <w:rsid w:val="34767F0C"/>
    <w:rsid w:val="348778C5"/>
    <w:rsid w:val="34890830"/>
    <w:rsid w:val="34963664"/>
    <w:rsid w:val="349F69BC"/>
    <w:rsid w:val="34A3013F"/>
    <w:rsid w:val="34A44946"/>
    <w:rsid w:val="34AD5102"/>
    <w:rsid w:val="34B97ED9"/>
    <w:rsid w:val="34BB4178"/>
    <w:rsid w:val="34C205B2"/>
    <w:rsid w:val="34C732AC"/>
    <w:rsid w:val="34D42413"/>
    <w:rsid w:val="34F605A6"/>
    <w:rsid w:val="34FB5BB2"/>
    <w:rsid w:val="35105238"/>
    <w:rsid w:val="3511718E"/>
    <w:rsid w:val="351F4644"/>
    <w:rsid w:val="35215623"/>
    <w:rsid w:val="352E7D40"/>
    <w:rsid w:val="3535032E"/>
    <w:rsid w:val="35366BF5"/>
    <w:rsid w:val="353712F0"/>
    <w:rsid w:val="353A5115"/>
    <w:rsid w:val="354F798B"/>
    <w:rsid w:val="35505A9F"/>
    <w:rsid w:val="355B6CAE"/>
    <w:rsid w:val="356B6E60"/>
    <w:rsid w:val="356D5EAF"/>
    <w:rsid w:val="35711CBB"/>
    <w:rsid w:val="3575539E"/>
    <w:rsid w:val="35831E3A"/>
    <w:rsid w:val="35A10512"/>
    <w:rsid w:val="35BE7316"/>
    <w:rsid w:val="35C804D3"/>
    <w:rsid w:val="35D92B95"/>
    <w:rsid w:val="35ED3757"/>
    <w:rsid w:val="36004542"/>
    <w:rsid w:val="36197919"/>
    <w:rsid w:val="36234E00"/>
    <w:rsid w:val="362B15C1"/>
    <w:rsid w:val="36306BEB"/>
    <w:rsid w:val="363A42B6"/>
    <w:rsid w:val="364900EE"/>
    <w:rsid w:val="364D6813"/>
    <w:rsid w:val="3651202D"/>
    <w:rsid w:val="36592B9B"/>
    <w:rsid w:val="36640CAD"/>
    <w:rsid w:val="367479D5"/>
    <w:rsid w:val="3679323D"/>
    <w:rsid w:val="368B252A"/>
    <w:rsid w:val="368E7255"/>
    <w:rsid w:val="36985DB9"/>
    <w:rsid w:val="36987B67"/>
    <w:rsid w:val="369B0A3C"/>
    <w:rsid w:val="36A75A76"/>
    <w:rsid w:val="36B03725"/>
    <w:rsid w:val="36B2366F"/>
    <w:rsid w:val="36C3270A"/>
    <w:rsid w:val="36E242D6"/>
    <w:rsid w:val="36E42B56"/>
    <w:rsid w:val="36F20222"/>
    <w:rsid w:val="36FA148F"/>
    <w:rsid w:val="36FF3E04"/>
    <w:rsid w:val="37104EC1"/>
    <w:rsid w:val="372431A9"/>
    <w:rsid w:val="372C0AC6"/>
    <w:rsid w:val="372E157F"/>
    <w:rsid w:val="37313430"/>
    <w:rsid w:val="373B679C"/>
    <w:rsid w:val="373B6810"/>
    <w:rsid w:val="37492C0F"/>
    <w:rsid w:val="37517705"/>
    <w:rsid w:val="37A172EF"/>
    <w:rsid w:val="37A25B05"/>
    <w:rsid w:val="37BA3B0D"/>
    <w:rsid w:val="37C94AD7"/>
    <w:rsid w:val="37D32410"/>
    <w:rsid w:val="37D61D95"/>
    <w:rsid w:val="37DC7F27"/>
    <w:rsid w:val="37DD5998"/>
    <w:rsid w:val="37E172EC"/>
    <w:rsid w:val="37E53795"/>
    <w:rsid w:val="37FE1AE5"/>
    <w:rsid w:val="38031368"/>
    <w:rsid w:val="381B6177"/>
    <w:rsid w:val="381C6576"/>
    <w:rsid w:val="381E418C"/>
    <w:rsid w:val="382132C4"/>
    <w:rsid w:val="383733B0"/>
    <w:rsid w:val="383A6717"/>
    <w:rsid w:val="385355BD"/>
    <w:rsid w:val="38563836"/>
    <w:rsid w:val="385D529C"/>
    <w:rsid w:val="386939C2"/>
    <w:rsid w:val="3871732B"/>
    <w:rsid w:val="38763755"/>
    <w:rsid w:val="3877433C"/>
    <w:rsid w:val="388B661E"/>
    <w:rsid w:val="38AE2062"/>
    <w:rsid w:val="38AF62F6"/>
    <w:rsid w:val="38B10070"/>
    <w:rsid w:val="38B63A99"/>
    <w:rsid w:val="38C05153"/>
    <w:rsid w:val="38C34C43"/>
    <w:rsid w:val="38C369F1"/>
    <w:rsid w:val="38CF1AD7"/>
    <w:rsid w:val="38EE1CC0"/>
    <w:rsid w:val="38FB5577"/>
    <w:rsid w:val="38FB7E1A"/>
    <w:rsid w:val="39186D3D"/>
    <w:rsid w:val="39231E1E"/>
    <w:rsid w:val="392E23E0"/>
    <w:rsid w:val="393C5F40"/>
    <w:rsid w:val="394418E0"/>
    <w:rsid w:val="39567CFD"/>
    <w:rsid w:val="39581E0F"/>
    <w:rsid w:val="395F671A"/>
    <w:rsid w:val="39697599"/>
    <w:rsid w:val="397F500E"/>
    <w:rsid w:val="398268AC"/>
    <w:rsid w:val="398C270A"/>
    <w:rsid w:val="39951D9C"/>
    <w:rsid w:val="399C5F23"/>
    <w:rsid w:val="39A470EC"/>
    <w:rsid w:val="39B36A66"/>
    <w:rsid w:val="39BF540B"/>
    <w:rsid w:val="39C77313"/>
    <w:rsid w:val="39CA484E"/>
    <w:rsid w:val="39D2513E"/>
    <w:rsid w:val="39D54A09"/>
    <w:rsid w:val="39EB187C"/>
    <w:rsid w:val="39F53C47"/>
    <w:rsid w:val="39FF3A59"/>
    <w:rsid w:val="3A117AEA"/>
    <w:rsid w:val="3A1439A9"/>
    <w:rsid w:val="3A190FBF"/>
    <w:rsid w:val="3A192D6D"/>
    <w:rsid w:val="3A1964A1"/>
    <w:rsid w:val="3A1A6AE5"/>
    <w:rsid w:val="3A2D6818"/>
    <w:rsid w:val="3A3A4285"/>
    <w:rsid w:val="3A451DB4"/>
    <w:rsid w:val="3A551B4D"/>
    <w:rsid w:val="3A761CE0"/>
    <w:rsid w:val="3A792105"/>
    <w:rsid w:val="3A8033F2"/>
    <w:rsid w:val="3A8C25D2"/>
    <w:rsid w:val="3A9A558C"/>
    <w:rsid w:val="3A9B19D4"/>
    <w:rsid w:val="3ABF59DF"/>
    <w:rsid w:val="3AC84793"/>
    <w:rsid w:val="3AC931BE"/>
    <w:rsid w:val="3ACE7FFB"/>
    <w:rsid w:val="3AD27CDA"/>
    <w:rsid w:val="3AFC544C"/>
    <w:rsid w:val="3AFE3EF8"/>
    <w:rsid w:val="3B252F5D"/>
    <w:rsid w:val="3B2F6C04"/>
    <w:rsid w:val="3B31058A"/>
    <w:rsid w:val="3B506C62"/>
    <w:rsid w:val="3B721272"/>
    <w:rsid w:val="3B7D732B"/>
    <w:rsid w:val="3B84690C"/>
    <w:rsid w:val="3B8D47ED"/>
    <w:rsid w:val="3B9528C7"/>
    <w:rsid w:val="3BA66417"/>
    <w:rsid w:val="3BAC5250"/>
    <w:rsid w:val="3BD47648"/>
    <w:rsid w:val="3BDF1D94"/>
    <w:rsid w:val="3BE0650A"/>
    <w:rsid w:val="3BE92C13"/>
    <w:rsid w:val="3C004382"/>
    <w:rsid w:val="3C0A25B9"/>
    <w:rsid w:val="3C12635F"/>
    <w:rsid w:val="3C1E4BD0"/>
    <w:rsid w:val="3C2A3542"/>
    <w:rsid w:val="3C5648B3"/>
    <w:rsid w:val="3C9012E0"/>
    <w:rsid w:val="3C960DC9"/>
    <w:rsid w:val="3C9C7494"/>
    <w:rsid w:val="3CA01523"/>
    <w:rsid w:val="3CB96EAA"/>
    <w:rsid w:val="3CC316B6"/>
    <w:rsid w:val="3CD2540E"/>
    <w:rsid w:val="3CE1705C"/>
    <w:rsid w:val="3CFD1176"/>
    <w:rsid w:val="3D0C754F"/>
    <w:rsid w:val="3D12322B"/>
    <w:rsid w:val="3D145A6E"/>
    <w:rsid w:val="3D241170"/>
    <w:rsid w:val="3D2A34E3"/>
    <w:rsid w:val="3D4A4442"/>
    <w:rsid w:val="3D591BB7"/>
    <w:rsid w:val="3D6C7658"/>
    <w:rsid w:val="3D720A63"/>
    <w:rsid w:val="3D8A6951"/>
    <w:rsid w:val="3D8C7CFA"/>
    <w:rsid w:val="3D982810"/>
    <w:rsid w:val="3DAA2FE2"/>
    <w:rsid w:val="3DBC4E8F"/>
    <w:rsid w:val="3DD504E4"/>
    <w:rsid w:val="3DDD2303"/>
    <w:rsid w:val="3E0930F8"/>
    <w:rsid w:val="3E417D28"/>
    <w:rsid w:val="3E4E23A3"/>
    <w:rsid w:val="3E4E4FAF"/>
    <w:rsid w:val="3E5549C4"/>
    <w:rsid w:val="3E5D2B59"/>
    <w:rsid w:val="3E685C6D"/>
    <w:rsid w:val="3E7D751B"/>
    <w:rsid w:val="3EB72D2F"/>
    <w:rsid w:val="3EB738C0"/>
    <w:rsid w:val="3EB8231A"/>
    <w:rsid w:val="3EBA501F"/>
    <w:rsid w:val="3EDF711C"/>
    <w:rsid w:val="3EEA117C"/>
    <w:rsid w:val="3F1028ED"/>
    <w:rsid w:val="3F1735F3"/>
    <w:rsid w:val="3F197927"/>
    <w:rsid w:val="3F1E6C7C"/>
    <w:rsid w:val="3F224122"/>
    <w:rsid w:val="3F2301EA"/>
    <w:rsid w:val="3F307AEA"/>
    <w:rsid w:val="3F397A0D"/>
    <w:rsid w:val="3F3F1059"/>
    <w:rsid w:val="3F4940F4"/>
    <w:rsid w:val="3F4B5E1A"/>
    <w:rsid w:val="3F4F0973"/>
    <w:rsid w:val="3F572532"/>
    <w:rsid w:val="3F5860E5"/>
    <w:rsid w:val="3F5B0E51"/>
    <w:rsid w:val="3F625C18"/>
    <w:rsid w:val="3F77397F"/>
    <w:rsid w:val="3F7D5DDD"/>
    <w:rsid w:val="3F865FF7"/>
    <w:rsid w:val="3F8E152D"/>
    <w:rsid w:val="3F8E5FAB"/>
    <w:rsid w:val="3FAA4467"/>
    <w:rsid w:val="3FB1267C"/>
    <w:rsid w:val="3FB87C77"/>
    <w:rsid w:val="3FD07A82"/>
    <w:rsid w:val="3FD339BE"/>
    <w:rsid w:val="3FD80FD4"/>
    <w:rsid w:val="3FDB64A2"/>
    <w:rsid w:val="3FEA3D8D"/>
    <w:rsid w:val="3FF658FE"/>
    <w:rsid w:val="3FF96F0D"/>
    <w:rsid w:val="3FFE59DB"/>
    <w:rsid w:val="402310A5"/>
    <w:rsid w:val="402B07EC"/>
    <w:rsid w:val="4030263D"/>
    <w:rsid w:val="4045312A"/>
    <w:rsid w:val="40534AFF"/>
    <w:rsid w:val="406A7547"/>
    <w:rsid w:val="408403D5"/>
    <w:rsid w:val="40910FAB"/>
    <w:rsid w:val="40A555D1"/>
    <w:rsid w:val="40A6063F"/>
    <w:rsid w:val="40B3559D"/>
    <w:rsid w:val="40B57568"/>
    <w:rsid w:val="40BE466E"/>
    <w:rsid w:val="40C55B9D"/>
    <w:rsid w:val="40C576E1"/>
    <w:rsid w:val="40CB748E"/>
    <w:rsid w:val="40CF077D"/>
    <w:rsid w:val="40D32738"/>
    <w:rsid w:val="40DA7CD2"/>
    <w:rsid w:val="40E26029"/>
    <w:rsid w:val="40EA30C3"/>
    <w:rsid w:val="410211BD"/>
    <w:rsid w:val="410A1BD9"/>
    <w:rsid w:val="410B7BD3"/>
    <w:rsid w:val="41112E96"/>
    <w:rsid w:val="41254D8D"/>
    <w:rsid w:val="41367AE1"/>
    <w:rsid w:val="41450E03"/>
    <w:rsid w:val="41567EF5"/>
    <w:rsid w:val="416627C6"/>
    <w:rsid w:val="41792343"/>
    <w:rsid w:val="418614C2"/>
    <w:rsid w:val="41975A14"/>
    <w:rsid w:val="41B10FA6"/>
    <w:rsid w:val="41C35DAC"/>
    <w:rsid w:val="41C84543"/>
    <w:rsid w:val="41D20EB2"/>
    <w:rsid w:val="41EC0D67"/>
    <w:rsid w:val="41EC2868"/>
    <w:rsid w:val="41F21DF7"/>
    <w:rsid w:val="41FE4C66"/>
    <w:rsid w:val="42156510"/>
    <w:rsid w:val="42495449"/>
    <w:rsid w:val="425B697E"/>
    <w:rsid w:val="42842D0A"/>
    <w:rsid w:val="42890CAC"/>
    <w:rsid w:val="42980EEF"/>
    <w:rsid w:val="42A8147E"/>
    <w:rsid w:val="42AC19A2"/>
    <w:rsid w:val="42AD112A"/>
    <w:rsid w:val="42B63976"/>
    <w:rsid w:val="42CC6848"/>
    <w:rsid w:val="42D812EB"/>
    <w:rsid w:val="42DA32B5"/>
    <w:rsid w:val="434919D8"/>
    <w:rsid w:val="435720D9"/>
    <w:rsid w:val="43655275"/>
    <w:rsid w:val="43721A28"/>
    <w:rsid w:val="437A7DD9"/>
    <w:rsid w:val="439448AC"/>
    <w:rsid w:val="43A84BF5"/>
    <w:rsid w:val="43BE4462"/>
    <w:rsid w:val="43BE4985"/>
    <w:rsid w:val="43C875B2"/>
    <w:rsid w:val="43E26EBF"/>
    <w:rsid w:val="44183269"/>
    <w:rsid w:val="441F0AAE"/>
    <w:rsid w:val="4420119C"/>
    <w:rsid w:val="44224F14"/>
    <w:rsid w:val="44240C8C"/>
    <w:rsid w:val="442742D8"/>
    <w:rsid w:val="442E4C31"/>
    <w:rsid w:val="443823EE"/>
    <w:rsid w:val="44412C3D"/>
    <w:rsid w:val="44717A1D"/>
    <w:rsid w:val="449A2CFC"/>
    <w:rsid w:val="449A5266"/>
    <w:rsid w:val="44B17597"/>
    <w:rsid w:val="44B70912"/>
    <w:rsid w:val="44B813D4"/>
    <w:rsid w:val="44D965BF"/>
    <w:rsid w:val="44DC3171"/>
    <w:rsid w:val="44E346A3"/>
    <w:rsid w:val="44E71036"/>
    <w:rsid w:val="44EA007E"/>
    <w:rsid w:val="44F11739"/>
    <w:rsid w:val="44FD6AF1"/>
    <w:rsid w:val="450214E6"/>
    <w:rsid w:val="45060392"/>
    <w:rsid w:val="451C5E07"/>
    <w:rsid w:val="452151CC"/>
    <w:rsid w:val="45246F22"/>
    <w:rsid w:val="453F5652"/>
    <w:rsid w:val="45446627"/>
    <w:rsid w:val="454F0117"/>
    <w:rsid w:val="45585F66"/>
    <w:rsid w:val="45667082"/>
    <w:rsid w:val="456720A5"/>
    <w:rsid w:val="456F7042"/>
    <w:rsid w:val="4573579A"/>
    <w:rsid w:val="4575325F"/>
    <w:rsid w:val="45753DF6"/>
    <w:rsid w:val="457D09DE"/>
    <w:rsid w:val="457D2EA3"/>
    <w:rsid w:val="457E60E6"/>
    <w:rsid w:val="45A7070F"/>
    <w:rsid w:val="45AF0A29"/>
    <w:rsid w:val="45B1654F"/>
    <w:rsid w:val="45E561F9"/>
    <w:rsid w:val="45F06145"/>
    <w:rsid w:val="45F11042"/>
    <w:rsid w:val="45F81289"/>
    <w:rsid w:val="45FB5A1D"/>
    <w:rsid w:val="45FE72BB"/>
    <w:rsid w:val="46054AED"/>
    <w:rsid w:val="460743D6"/>
    <w:rsid w:val="4617116B"/>
    <w:rsid w:val="461864F7"/>
    <w:rsid w:val="46214E93"/>
    <w:rsid w:val="46275BFB"/>
    <w:rsid w:val="463158E2"/>
    <w:rsid w:val="46430B1E"/>
    <w:rsid w:val="46497371"/>
    <w:rsid w:val="4651388E"/>
    <w:rsid w:val="46546A27"/>
    <w:rsid w:val="465F7957"/>
    <w:rsid w:val="466B2BA2"/>
    <w:rsid w:val="466D0E6D"/>
    <w:rsid w:val="467D7CB8"/>
    <w:rsid w:val="468574A9"/>
    <w:rsid w:val="468C48C7"/>
    <w:rsid w:val="468F297C"/>
    <w:rsid w:val="46945D2A"/>
    <w:rsid w:val="469A12C8"/>
    <w:rsid w:val="46C3730A"/>
    <w:rsid w:val="46CB42B0"/>
    <w:rsid w:val="46D2163C"/>
    <w:rsid w:val="46D5626E"/>
    <w:rsid w:val="46DC0FCC"/>
    <w:rsid w:val="46E20D18"/>
    <w:rsid w:val="46E9240E"/>
    <w:rsid w:val="46FD57C4"/>
    <w:rsid w:val="470438F1"/>
    <w:rsid w:val="47154F68"/>
    <w:rsid w:val="471C49CE"/>
    <w:rsid w:val="47215957"/>
    <w:rsid w:val="47307948"/>
    <w:rsid w:val="47490A0A"/>
    <w:rsid w:val="475353E4"/>
    <w:rsid w:val="47584998"/>
    <w:rsid w:val="47855EE6"/>
    <w:rsid w:val="47963F38"/>
    <w:rsid w:val="479877E8"/>
    <w:rsid w:val="47A2428B"/>
    <w:rsid w:val="47AB6FCE"/>
    <w:rsid w:val="47BB75C7"/>
    <w:rsid w:val="47D337CA"/>
    <w:rsid w:val="47D95D64"/>
    <w:rsid w:val="47E87753"/>
    <w:rsid w:val="47EB386F"/>
    <w:rsid w:val="47F40DBE"/>
    <w:rsid w:val="480F6010"/>
    <w:rsid w:val="481728B6"/>
    <w:rsid w:val="483E12D2"/>
    <w:rsid w:val="483F23CA"/>
    <w:rsid w:val="485908F5"/>
    <w:rsid w:val="485B11BF"/>
    <w:rsid w:val="485F0F43"/>
    <w:rsid w:val="48617670"/>
    <w:rsid w:val="486C54A2"/>
    <w:rsid w:val="48874064"/>
    <w:rsid w:val="488E54D7"/>
    <w:rsid w:val="48B77355"/>
    <w:rsid w:val="48BD1ABF"/>
    <w:rsid w:val="48BE3647"/>
    <w:rsid w:val="48D75F12"/>
    <w:rsid w:val="48E56510"/>
    <w:rsid w:val="4913307D"/>
    <w:rsid w:val="49170DBF"/>
    <w:rsid w:val="49173B1C"/>
    <w:rsid w:val="491A440C"/>
    <w:rsid w:val="491C22E7"/>
    <w:rsid w:val="492F045D"/>
    <w:rsid w:val="49514E23"/>
    <w:rsid w:val="495A0CAC"/>
    <w:rsid w:val="49633FAC"/>
    <w:rsid w:val="496B1B0F"/>
    <w:rsid w:val="49902920"/>
    <w:rsid w:val="49A13CC2"/>
    <w:rsid w:val="49A32653"/>
    <w:rsid w:val="49B14854"/>
    <w:rsid w:val="49BC644B"/>
    <w:rsid w:val="49CA4084"/>
    <w:rsid w:val="49E43B54"/>
    <w:rsid w:val="49E62540"/>
    <w:rsid w:val="49EB0708"/>
    <w:rsid w:val="49EF5B52"/>
    <w:rsid w:val="4A0724DA"/>
    <w:rsid w:val="4A0E63F0"/>
    <w:rsid w:val="4A281E17"/>
    <w:rsid w:val="4A47461D"/>
    <w:rsid w:val="4A4A38D3"/>
    <w:rsid w:val="4A4D2527"/>
    <w:rsid w:val="4A517255"/>
    <w:rsid w:val="4A702DC4"/>
    <w:rsid w:val="4A727D41"/>
    <w:rsid w:val="4A745D9D"/>
    <w:rsid w:val="4ABB2EEE"/>
    <w:rsid w:val="4AC30DD1"/>
    <w:rsid w:val="4ACA0755"/>
    <w:rsid w:val="4AE83305"/>
    <w:rsid w:val="4AE95E87"/>
    <w:rsid w:val="4AF970BD"/>
    <w:rsid w:val="4AFD5D93"/>
    <w:rsid w:val="4B0D3F66"/>
    <w:rsid w:val="4B2D1A4F"/>
    <w:rsid w:val="4B373770"/>
    <w:rsid w:val="4B3E015A"/>
    <w:rsid w:val="4B432D21"/>
    <w:rsid w:val="4B505700"/>
    <w:rsid w:val="4B5C167D"/>
    <w:rsid w:val="4B65187B"/>
    <w:rsid w:val="4B7F380E"/>
    <w:rsid w:val="4B8F74F7"/>
    <w:rsid w:val="4BB82BED"/>
    <w:rsid w:val="4BC94480"/>
    <w:rsid w:val="4BD87C83"/>
    <w:rsid w:val="4BE447B4"/>
    <w:rsid w:val="4BFC604B"/>
    <w:rsid w:val="4C1E2940"/>
    <w:rsid w:val="4C237A7B"/>
    <w:rsid w:val="4C351BE8"/>
    <w:rsid w:val="4C3752D5"/>
    <w:rsid w:val="4C4A1C5E"/>
    <w:rsid w:val="4C4C6F06"/>
    <w:rsid w:val="4C5441B1"/>
    <w:rsid w:val="4C552FDC"/>
    <w:rsid w:val="4C591EE0"/>
    <w:rsid w:val="4C5E6D05"/>
    <w:rsid w:val="4C7A2148"/>
    <w:rsid w:val="4C7C718B"/>
    <w:rsid w:val="4C871DB8"/>
    <w:rsid w:val="4C8C5119"/>
    <w:rsid w:val="4C955FB9"/>
    <w:rsid w:val="4C9B23C4"/>
    <w:rsid w:val="4C9D2868"/>
    <w:rsid w:val="4CA93B10"/>
    <w:rsid w:val="4CA94424"/>
    <w:rsid w:val="4CBC3572"/>
    <w:rsid w:val="4CC052CA"/>
    <w:rsid w:val="4CC12B58"/>
    <w:rsid w:val="4CC72D2E"/>
    <w:rsid w:val="4CCE79E7"/>
    <w:rsid w:val="4CD04C1E"/>
    <w:rsid w:val="4CE15962"/>
    <w:rsid w:val="4CEC556D"/>
    <w:rsid w:val="4CEF795D"/>
    <w:rsid w:val="4CF03E01"/>
    <w:rsid w:val="4CFB27A6"/>
    <w:rsid w:val="4CFD29F6"/>
    <w:rsid w:val="4D0C70E2"/>
    <w:rsid w:val="4D3233DE"/>
    <w:rsid w:val="4D35404F"/>
    <w:rsid w:val="4D3A344D"/>
    <w:rsid w:val="4D423F31"/>
    <w:rsid w:val="4D5819A6"/>
    <w:rsid w:val="4D6245D3"/>
    <w:rsid w:val="4D761E2D"/>
    <w:rsid w:val="4D7B3D39"/>
    <w:rsid w:val="4D854D56"/>
    <w:rsid w:val="4D8C33FE"/>
    <w:rsid w:val="4DAF0EE7"/>
    <w:rsid w:val="4DB443C2"/>
    <w:rsid w:val="4DBA0A6A"/>
    <w:rsid w:val="4DBA61BD"/>
    <w:rsid w:val="4DBC67DA"/>
    <w:rsid w:val="4DC176FA"/>
    <w:rsid w:val="4DD75150"/>
    <w:rsid w:val="4DD81E8F"/>
    <w:rsid w:val="4DDE0AF5"/>
    <w:rsid w:val="4DE77E30"/>
    <w:rsid w:val="4DEF40B9"/>
    <w:rsid w:val="4DF37933"/>
    <w:rsid w:val="4E00639D"/>
    <w:rsid w:val="4E197838"/>
    <w:rsid w:val="4E343C31"/>
    <w:rsid w:val="4E3B6DBA"/>
    <w:rsid w:val="4E4361B3"/>
    <w:rsid w:val="4E465C6B"/>
    <w:rsid w:val="4E5153BB"/>
    <w:rsid w:val="4E517779"/>
    <w:rsid w:val="4E532DAE"/>
    <w:rsid w:val="4E5612E8"/>
    <w:rsid w:val="4EA578BE"/>
    <w:rsid w:val="4EB707DF"/>
    <w:rsid w:val="4EC51EEE"/>
    <w:rsid w:val="4EC75B6C"/>
    <w:rsid w:val="4ECD5D93"/>
    <w:rsid w:val="4ED82585"/>
    <w:rsid w:val="4EE269B4"/>
    <w:rsid w:val="4EFD25D9"/>
    <w:rsid w:val="4F067778"/>
    <w:rsid w:val="4F2331C6"/>
    <w:rsid w:val="4F392F9D"/>
    <w:rsid w:val="4F4C72E9"/>
    <w:rsid w:val="4F6476B7"/>
    <w:rsid w:val="4F6665FD"/>
    <w:rsid w:val="4F695718"/>
    <w:rsid w:val="4F6B3420"/>
    <w:rsid w:val="4F77495E"/>
    <w:rsid w:val="4F8F3EFB"/>
    <w:rsid w:val="4F9167B5"/>
    <w:rsid w:val="4FAC319E"/>
    <w:rsid w:val="4FB811D9"/>
    <w:rsid w:val="4FB97980"/>
    <w:rsid w:val="4FD00DBB"/>
    <w:rsid w:val="4FE614EB"/>
    <w:rsid w:val="4FEA2FFE"/>
    <w:rsid w:val="4FEC1D72"/>
    <w:rsid w:val="4FF059B4"/>
    <w:rsid w:val="500A3DD1"/>
    <w:rsid w:val="50206418"/>
    <w:rsid w:val="502908B9"/>
    <w:rsid w:val="504B39BE"/>
    <w:rsid w:val="50566671"/>
    <w:rsid w:val="50577F12"/>
    <w:rsid w:val="506348EA"/>
    <w:rsid w:val="506A53A4"/>
    <w:rsid w:val="507B60D8"/>
    <w:rsid w:val="507E34D2"/>
    <w:rsid w:val="50901457"/>
    <w:rsid w:val="50964CC0"/>
    <w:rsid w:val="50965144"/>
    <w:rsid w:val="50BC6547"/>
    <w:rsid w:val="50CC248F"/>
    <w:rsid w:val="50CE4727"/>
    <w:rsid w:val="50D6330E"/>
    <w:rsid w:val="50D77086"/>
    <w:rsid w:val="50E051FE"/>
    <w:rsid w:val="5101398B"/>
    <w:rsid w:val="51015643"/>
    <w:rsid w:val="510A4BB8"/>
    <w:rsid w:val="510C1C56"/>
    <w:rsid w:val="5128521C"/>
    <w:rsid w:val="513922C3"/>
    <w:rsid w:val="514A70E3"/>
    <w:rsid w:val="514F735E"/>
    <w:rsid w:val="51595B4B"/>
    <w:rsid w:val="515B2D20"/>
    <w:rsid w:val="51600E2A"/>
    <w:rsid w:val="51722BCE"/>
    <w:rsid w:val="51B82A14"/>
    <w:rsid w:val="51C615D4"/>
    <w:rsid w:val="51DB4AD5"/>
    <w:rsid w:val="51E5241A"/>
    <w:rsid w:val="51E607FC"/>
    <w:rsid w:val="521A547C"/>
    <w:rsid w:val="522307D5"/>
    <w:rsid w:val="5231039D"/>
    <w:rsid w:val="52435C0D"/>
    <w:rsid w:val="52546BE0"/>
    <w:rsid w:val="5257222D"/>
    <w:rsid w:val="525B65F2"/>
    <w:rsid w:val="525F17E0"/>
    <w:rsid w:val="52645BD4"/>
    <w:rsid w:val="52882DCA"/>
    <w:rsid w:val="5289146E"/>
    <w:rsid w:val="528A152F"/>
    <w:rsid w:val="52920620"/>
    <w:rsid w:val="529E653F"/>
    <w:rsid w:val="52A500F5"/>
    <w:rsid w:val="52A620DA"/>
    <w:rsid w:val="52A93D27"/>
    <w:rsid w:val="52CC1F38"/>
    <w:rsid w:val="52CD0741"/>
    <w:rsid w:val="52D02C1A"/>
    <w:rsid w:val="52D63A99"/>
    <w:rsid w:val="52DC4719"/>
    <w:rsid w:val="52E2557D"/>
    <w:rsid w:val="52E34AB7"/>
    <w:rsid w:val="52E676BA"/>
    <w:rsid w:val="52F87BA5"/>
    <w:rsid w:val="53155A14"/>
    <w:rsid w:val="53160B7D"/>
    <w:rsid w:val="53190BB2"/>
    <w:rsid w:val="532C7516"/>
    <w:rsid w:val="532C7F78"/>
    <w:rsid w:val="532D1AF8"/>
    <w:rsid w:val="53364D03"/>
    <w:rsid w:val="53620E89"/>
    <w:rsid w:val="53696E78"/>
    <w:rsid w:val="536A33D5"/>
    <w:rsid w:val="536D15F3"/>
    <w:rsid w:val="53762B86"/>
    <w:rsid w:val="537D0C72"/>
    <w:rsid w:val="53862795"/>
    <w:rsid w:val="538A4C46"/>
    <w:rsid w:val="53980361"/>
    <w:rsid w:val="539D7558"/>
    <w:rsid w:val="53BD5701"/>
    <w:rsid w:val="53BE5CE4"/>
    <w:rsid w:val="53EA46C8"/>
    <w:rsid w:val="53EF09C3"/>
    <w:rsid w:val="53F05488"/>
    <w:rsid w:val="53FA5565"/>
    <w:rsid w:val="540307C0"/>
    <w:rsid w:val="540C500F"/>
    <w:rsid w:val="540D2B56"/>
    <w:rsid w:val="540E4287"/>
    <w:rsid w:val="54110C15"/>
    <w:rsid w:val="5421083B"/>
    <w:rsid w:val="542C5C43"/>
    <w:rsid w:val="543221FE"/>
    <w:rsid w:val="54467068"/>
    <w:rsid w:val="544D5CAE"/>
    <w:rsid w:val="54557B99"/>
    <w:rsid w:val="545934BA"/>
    <w:rsid w:val="54610E9C"/>
    <w:rsid w:val="548B48B2"/>
    <w:rsid w:val="548F02D9"/>
    <w:rsid w:val="549A333B"/>
    <w:rsid w:val="54C47921"/>
    <w:rsid w:val="54E8536B"/>
    <w:rsid w:val="54F47041"/>
    <w:rsid w:val="54F60D59"/>
    <w:rsid w:val="54FC04A6"/>
    <w:rsid w:val="54FF4BBF"/>
    <w:rsid w:val="550B72FE"/>
    <w:rsid w:val="55101EB0"/>
    <w:rsid w:val="55142657"/>
    <w:rsid w:val="551674B9"/>
    <w:rsid w:val="55197F4E"/>
    <w:rsid w:val="551E17FD"/>
    <w:rsid w:val="55287EB0"/>
    <w:rsid w:val="55317AD1"/>
    <w:rsid w:val="55432F3C"/>
    <w:rsid w:val="554A42CB"/>
    <w:rsid w:val="558D7D3D"/>
    <w:rsid w:val="55967510"/>
    <w:rsid w:val="5597560F"/>
    <w:rsid w:val="55A0267B"/>
    <w:rsid w:val="55A94211"/>
    <w:rsid w:val="55AA3C81"/>
    <w:rsid w:val="55C45E2B"/>
    <w:rsid w:val="55CD0FB5"/>
    <w:rsid w:val="55D81E97"/>
    <w:rsid w:val="55E11340"/>
    <w:rsid w:val="55E42D3C"/>
    <w:rsid w:val="55FA70D1"/>
    <w:rsid w:val="56036BB0"/>
    <w:rsid w:val="561D3DBA"/>
    <w:rsid w:val="56206A12"/>
    <w:rsid w:val="5620717E"/>
    <w:rsid w:val="56217EAC"/>
    <w:rsid w:val="563B2680"/>
    <w:rsid w:val="564F262E"/>
    <w:rsid w:val="565151E5"/>
    <w:rsid w:val="565F43A9"/>
    <w:rsid w:val="566F650D"/>
    <w:rsid w:val="567535C9"/>
    <w:rsid w:val="56757040"/>
    <w:rsid w:val="56806550"/>
    <w:rsid w:val="5683001B"/>
    <w:rsid w:val="56890CB6"/>
    <w:rsid w:val="568C0625"/>
    <w:rsid w:val="56903D73"/>
    <w:rsid w:val="56A31EE4"/>
    <w:rsid w:val="56B967B5"/>
    <w:rsid w:val="56BD28C6"/>
    <w:rsid w:val="56BF46B9"/>
    <w:rsid w:val="56CE0ACA"/>
    <w:rsid w:val="56D56623"/>
    <w:rsid w:val="56DD210B"/>
    <w:rsid w:val="56DF1993"/>
    <w:rsid w:val="56FA587C"/>
    <w:rsid w:val="56FC40D4"/>
    <w:rsid w:val="57083BA1"/>
    <w:rsid w:val="570A21AC"/>
    <w:rsid w:val="57150E18"/>
    <w:rsid w:val="571816E3"/>
    <w:rsid w:val="571A13A1"/>
    <w:rsid w:val="57234DD3"/>
    <w:rsid w:val="572528F9"/>
    <w:rsid w:val="575350C5"/>
    <w:rsid w:val="575C590F"/>
    <w:rsid w:val="5762682A"/>
    <w:rsid w:val="577D77DA"/>
    <w:rsid w:val="57880B99"/>
    <w:rsid w:val="578A340D"/>
    <w:rsid w:val="579161E1"/>
    <w:rsid w:val="57946921"/>
    <w:rsid w:val="579726F0"/>
    <w:rsid w:val="57A85637"/>
    <w:rsid w:val="57E030AB"/>
    <w:rsid w:val="57F87E09"/>
    <w:rsid w:val="57FF139C"/>
    <w:rsid w:val="58020FD5"/>
    <w:rsid w:val="58110961"/>
    <w:rsid w:val="582B7602"/>
    <w:rsid w:val="582D1DF9"/>
    <w:rsid w:val="58394F54"/>
    <w:rsid w:val="58411928"/>
    <w:rsid w:val="58426AA2"/>
    <w:rsid w:val="584F1FEC"/>
    <w:rsid w:val="58580AAD"/>
    <w:rsid w:val="58582DFE"/>
    <w:rsid w:val="585A2A77"/>
    <w:rsid w:val="587859DA"/>
    <w:rsid w:val="587F24DD"/>
    <w:rsid w:val="58A209C9"/>
    <w:rsid w:val="58AC5E9E"/>
    <w:rsid w:val="58BD6B62"/>
    <w:rsid w:val="58BE6167"/>
    <w:rsid w:val="58C1657A"/>
    <w:rsid w:val="58CB127E"/>
    <w:rsid w:val="58DF765E"/>
    <w:rsid w:val="58F02049"/>
    <w:rsid w:val="58F971BD"/>
    <w:rsid w:val="58FE1654"/>
    <w:rsid w:val="58FF53CC"/>
    <w:rsid w:val="590010E1"/>
    <w:rsid w:val="59032C06"/>
    <w:rsid w:val="590E560F"/>
    <w:rsid w:val="591C469B"/>
    <w:rsid w:val="592528BD"/>
    <w:rsid w:val="59266DFD"/>
    <w:rsid w:val="593843FB"/>
    <w:rsid w:val="59473044"/>
    <w:rsid w:val="59545718"/>
    <w:rsid w:val="595A1B5E"/>
    <w:rsid w:val="59790B1E"/>
    <w:rsid w:val="5988416C"/>
    <w:rsid w:val="598B6C60"/>
    <w:rsid w:val="59965A85"/>
    <w:rsid w:val="59A9771F"/>
    <w:rsid w:val="59B238B1"/>
    <w:rsid w:val="59B325EA"/>
    <w:rsid w:val="59B91A1F"/>
    <w:rsid w:val="59CB687A"/>
    <w:rsid w:val="59EA6774"/>
    <w:rsid w:val="5A050307"/>
    <w:rsid w:val="5A052F63"/>
    <w:rsid w:val="5A0E1D74"/>
    <w:rsid w:val="5A147153"/>
    <w:rsid w:val="5A2A0227"/>
    <w:rsid w:val="5A2A57A8"/>
    <w:rsid w:val="5A2B37F4"/>
    <w:rsid w:val="5A325264"/>
    <w:rsid w:val="5A421A14"/>
    <w:rsid w:val="5A4669C0"/>
    <w:rsid w:val="5A6975F6"/>
    <w:rsid w:val="5A6F41E8"/>
    <w:rsid w:val="5A712D9C"/>
    <w:rsid w:val="5A722FE2"/>
    <w:rsid w:val="5A7C1C26"/>
    <w:rsid w:val="5A882E8D"/>
    <w:rsid w:val="5A9E7559"/>
    <w:rsid w:val="5AA03537"/>
    <w:rsid w:val="5AA4352C"/>
    <w:rsid w:val="5AA7519E"/>
    <w:rsid w:val="5AA8473D"/>
    <w:rsid w:val="5AAF4630"/>
    <w:rsid w:val="5AB126F6"/>
    <w:rsid w:val="5AB8578F"/>
    <w:rsid w:val="5AC40A27"/>
    <w:rsid w:val="5AD065E8"/>
    <w:rsid w:val="5AE10B74"/>
    <w:rsid w:val="5AE26D53"/>
    <w:rsid w:val="5AE859CF"/>
    <w:rsid w:val="5B1332B5"/>
    <w:rsid w:val="5B152C85"/>
    <w:rsid w:val="5B400BD1"/>
    <w:rsid w:val="5B5D0B26"/>
    <w:rsid w:val="5B710A2E"/>
    <w:rsid w:val="5B7E3F39"/>
    <w:rsid w:val="5B8B2DF9"/>
    <w:rsid w:val="5BA67ABD"/>
    <w:rsid w:val="5BA70592"/>
    <w:rsid w:val="5BBB0067"/>
    <w:rsid w:val="5BC052E6"/>
    <w:rsid w:val="5BC67CA3"/>
    <w:rsid w:val="5BD01A6B"/>
    <w:rsid w:val="5BD56D95"/>
    <w:rsid w:val="5BDA2CFB"/>
    <w:rsid w:val="5BF34675"/>
    <w:rsid w:val="5BFB10DE"/>
    <w:rsid w:val="5BFB631F"/>
    <w:rsid w:val="5C031A23"/>
    <w:rsid w:val="5C0A46EE"/>
    <w:rsid w:val="5C0B3130"/>
    <w:rsid w:val="5C180DCE"/>
    <w:rsid w:val="5C207B33"/>
    <w:rsid w:val="5C227E21"/>
    <w:rsid w:val="5C406275"/>
    <w:rsid w:val="5C531BAB"/>
    <w:rsid w:val="5C6E089F"/>
    <w:rsid w:val="5C6E4D42"/>
    <w:rsid w:val="5C7659A5"/>
    <w:rsid w:val="5C7A66D3"/>
    <w:rsid w:val="5C875E04"/>
    <w:rsid w:val="5C883FA1"/>
    <w:rsid w:val="5C906C89"/>
    <w:rsid w:val="5C9318FB"/>
    <w:rsid w:val="5CBF10FA"/>
    <w:rsid w:val="5CC331C2"/>
    <w:rsid w:val="5CCF76C9"/>
    <w:rsid w:val="5CDF79EE"/>
    <w:rsid w:val="5CE479AA"/>
    <w:rsid w:val="5CF36FF6"/>
    <w:rsid w:val="5CF60894"/>
    <w:rsid w:val="5CF90C8F"/>
    <w:rsid w:val="5D102B00"/>
    <w:rsid w:val="5D1071F3"/>
    <w:rsid w:val="5D13316B"/>
    <w:rsid w:val="5D1A6878"/>
    <w:rsid w:val="5D1C0B5B"/>
    <w:rsid w:val="5D2C696A"/>
    <w:rsid w:val="5D317CC8"/>
    <w:rsid w:val="5D320F1E"/>
    <w:rsid w:val="5D531AF4"/>
    <w:rsid w:val="5D626FE7"/>
    <w:rsid w:val="5D6C2BA9"/>
    <w:rsid w:val="5D784E40"/>
    <w:rsid w:val="5D815A61"/>
    <w:rsid w:val="5D836893"/>
    <w:rsid w:val="5D890553"/>
    <w:rsid w:val="5D9A0371"/>
    <w:rsid w:val="5DA252DD"/>
    <w:rsid w:val="5DAA0368"/>
    <w:rsid w:val="5DAA2BAD"/>
    <w:rsid w:val="5DBF5DA8"/>
    <w:rsid w:val="5DCB44EE"/>
    <w:rsid w:val="5DDB6E07"/>
    <w:rsid w:val="5DFB43B4"/>
    <w:rsid w:val="5E122904"/>
    <w:rsid w:val="5E14191A"/>
    <w:rsid w:val="5E152303"/>
    <w:rsid w:val="5E351252"/>
    <w:rsid w:val="5E4156C7"/>
    <w:rsid w:val="5E4E0C18"/>
    <w:rsid w:val="5E510FE7"/>
    <w:rsid w:val="5E693E83"/>
    <w:rsid w:val="5E767EDE"/>
    <w:rsid w:val="5E7803B6"/>
    <w:rsid w:val="5E79647D"/>
    <w:rsid w:val="5E7A3C44"/>
    <w:rsid w:val="5E8C5954"/>
    <w:rsid w:val="5EB90D2E"/>
    <w:rsid w:val="5EBF3753"/>
    <w:rsid w:val="5EC44A0F"/>
    <w:rsid w:val="5ECC7AFE"/>
    <w:rsid w:val="5ED82947"/>
    <w:rsid w:val="5EDC08D0"/>
    <w:rsid w:val="5EF43207"/>
    <w:rsid w:val="5F101F03"/>
    <w:rsid w:val="5F253FD6"/>
    <w:rsid w:val="5F3A75AA"/>
    <w:rsid w:val="5F3E5AA0"/>
    <w:rsid w:val="5F8E477B"/>
    <w:rsid w:val="5F920D48"/>
    <w:rsid w:val="5FBA3DFB"/>
    <w:rsid w:val="5FC30E3E"/>
    <w:rsid w:val="5FDA4207"/>
    <w:rsid w:val="5FDB031A"/>
    <w:rsid w:val="5FF52B48"/>
    <w:rsid w:val="5FF81262"/>
    <w:rsid w:val="60022C89"/>
    <w:rsid w:val="600339F4"/>
    <w:rsid w:val="601143D3"/>
    <w:rsid w:val="6012671C"/>
    <w:rsid w:val="6022105B"/>
    <w:rsid w:val="60317597"/>
    <w:rsid w:val="60342EFB"/>
    <w:rsid w:val="603B5FCC"/>
    <w:rsid w:val="60432042"/>
    <w:rsid w:val="604C2EE3"/>
    <w:rsid w:val="604C3FAC"/>
    <w:rsid w:val="6055240A"/>
    <w:rsid w:val="605A6CC5"/>
    <w:rsid w:val="605D0AF5"/>
    <w:rsid w:val="607569D4"/>
    <w:rsid w:val="60867EF3"/>
    <w:rsid w:val="60877E6A"/>
    <w:rsid w:val="609C4612"/>
    <w:rsid w:val="60A725D1"/>
    <w:rsid w:val="60B615DE"/>
    <w:rsid w:val="60DC370E"/>
    <w:rsid w:val="60DE55F1"/>
    <w:rsid w:val="60E4371C"/>
    <w:rsid w:val="60F6011B"/>
    <w:rsid w:val="61036B87"/>
    <w:rsid w:val="610619ED"/>
    <w:rsid w:val="612B3202"/>
    <w:rsid w:val="61354137"/>
    <w:rsid w:val="615D0EE2"/>
    <w:rsid w:val="616116A3"/>
    <w:rsid w:val="61767FFA"/>
    <w:rsid w:val="619D39E9"/>
    <w:rsid w:val="619F7BC4"/>
    <w:rsid w:val="61A84ED8"/>
    <w:rsid w:val="61C71014"/>
    <w:rsid w:val="61CA1B71"/>
    <w:rsid w:val="61D27B22"/>
    <w:rsid w:val="61EB473F"/>
    <w:rsid w:val="61F3367D"/>
    <w:rsid w:val="61F71721"/>
    <w:rsid w:val="62047807"/>
    <w:rsid w:val="620A47D7"/>
    <w:rsid w:val="6211064A"/>
    <w:rsid w:val="62196AF5"/>
    <w:rsid w:val="62257C51"/>
    <w:rsid w:val="622E6843"/>
    <w:rsid w:val="62303F9C"/>
    <w:rsid w:val="623616DF"/>
    <w:rsid w:val="62480070"/>
    <w:rsid w:val="62696B5F"/>
    <w:rsid w:val="62735404"/>
    <w:rsid w:val="6274187B"/>
    <w:rsid w:val="628E52A5"/>
    <w:rsid w:val="629566FA"/>
    <w:rsid w:val="62A44416"/>
    <w:rsid w:val="62BA2EE7"/>
    <w:rsid w:val="62CE1AD4"/>
    <w:rsid w:val="630C584C"/>
    <w:rsid w:val="631004E4"/>
    <w:rsid w:val="631C283A"/>
    <w:rsid w:val="631D1C19"/>
    <w:rsid w:val="63234565"/>
    <w:rsid w:val="633605DF"/>
    <w:rsid w:val="6336100F"/>
    <w:rsid w:val="634277BB"/>
    <w:rsid w:val="63514A76"/>
    <w:rsid w:val="63623017"/>
    <w:rsid w:val="636378B1"/>
    <w:rsid w:val="636429FB"/>
    <w:rsid w:val="636731EE"/>
    <w:rsid w:val="636E0E88"/>
    <w:rsid w:val="63707F9E"/>
    <w:rsid w:val="638B7087"/>
    <w:rsid w:val="6390291A"/>
    <w:rsid w:val="63972DD1"/>
    <w:rsid w:val="63A01E2F"/>
    <w:rsid w:val="63A30FA1"/>
    <w:rsid w:val="63A668D0"/>
    <w:rsid w:val="63C67D28"/>
    <w:rsid w:val="63D87AE6"/>
    <w:rsid w:val="63E707A7"/>
    <w:rsid w:val="63F61384"/>
    <w:rsid w:val="63FA3360"/>
    <w:rsid w:val="64193429"/>
    <w:rsid w:val="64267CB1"/>
    <w:rsid w:val="64412D3D"/>
    <w:rsid w:val="647059D3"/>
    <w:rsid w:val="648037DD"/>
    <w:rsid w:val="64812954"/>
    <w:rsid w:val="6486196D"/>
    <w:rsid w:val="649A3E39"/>
    <w:rsid w:val="649A7D08"/>
    <w:rsid w:val="64A62BA0"/>
    <w:rsid w:val="64B17EC2"/>
    <w:rsid w:val="64C76818"/>
    <w:rsid w:val="64E0612E"/>
    <w:rsid w:val="65024E56"/>
    <w:rsid w:val="652373AF"/>
    <w:rsid w:val="6531696B"/>
    <w:rsid w:val="653603C7"/>
    <w:rsid w:val="65604D4C"/>
    <w:rsid w:val="657F2A56"/>
    <w:rsid w:val="658D7F53"/>
    <w:rsid w:val="65960E66"/>
    <w:rsid w:val="65B071CB"/>
    <w:rsid w:val="65BA29DA"/>
    <w:rsid w:val="65C15EE3"/>
    <w:rsid w:val="65C81C4C"/>
    <w:rsid w:val="65E322FD"/>
    <w:rsid w:val="65E47DC4"/>
    <w:rsid w:val="65F55B8D"/>
    <w:rsid w:val="65F6252A"/>
    <w:rsid w:val="660119BF"/>
    <w:rsid w:val="660C707B"/>
    <w:rsid w:val="660E4C2E"/>
    <w:rsid w:val="660E7805"/>
    <w:rsid w:val="660F4092"/>
    <w:rsid w:val="66124991"/>
    <w:rsid w:val="6613340D"/>
    <w:rsid w:val="663F32AC"/>
    <w:rsid w:val="6641368B"/>
    <w:rsid w:val="66551797"/>
    <w:rsid w:val="665C42BE"/>
    <w:rsid w:val="6666440D"/>
    <w:rsid w:val="666B22F3"/>
    <w:rsid w:val="6679056C"/>
    <w:rsid w:val="66897794"/>
    <w:rsid w:val="66A51361"/>
    <w:rsid w:val="66AD46B9"/>
    <w:rsid w:val="66B53239"/>
    <w:rsid w:val="66C318F2"/>
    <w:rsid w:val="66D20B10"/>
    <w:rsid w:val="66D25002"/>
    <w:rsid w:val="66D7500D"/>
    <w:rsid w:val="66F1755E"/>
    <w:rsid w:val="66FF1B17"/>
    <w:rsid w:val="67110E50"/>
    <w:rsid w:val="67112E9A"/>
    <w:rsid w:val="67140294"/>
    <w:rsid w:val="6716225F"/>
    <w:rsid w:val="671647A1"/>
    <w:rsid w:val="674D6A67"/>
    <w:rsid w:val="674F751F"/>
    <w:rsid w:val="67582877"/>
    <w:rsid w:val="675E3234"/>
    <w:rsid w:val="675E6F8C"/>
    <w:rsid w:val="678E6FDC"/>
    <w:rsid w:val="67941F8B"/>
    <w:rsid w:val="67955141"/>
    <w:rsid w:val="67A41618"/>
    <w:rsid w:val="67AC1ABC"/>
    <w:rsid w:val="67AC4971"/>
    <w:rsid w:val="67B177FB"/>
    <w:rsid w:val="67BD5EE7"/>
    <w:rsid w:val="67BF28F6"/>
    <w:rsid w:val="67D35739"/>
    <w:rsid w:val="67EA59F5"/>
    <w:rsid w:val="67EC7A69"/>
    <w:rsid w:val="67F307F2"/>
    <w:rsid w:val="680A7EA9"/>
    <w:rsid w:val="6812685B"/>
    <w:rsid w:val="6819219F"/>
    <w:rsid w:val="68246BFD"/>
    <w:rsid w:val="68422BAA"/>
    <w:rsid w:val="68474A3B"/>
    <w:rsid w:val="685740DB"/>
    <w:rsid w:val="68660FC4"/>
    <w:rsid w:val="68662D72"/>
    <w:rsid w:val="68831B76"/>
    <w:rsid w:val="688A4CB2"/>
    <w:rsid w:val="6895641C"/>
    <w:rsid w:val="68993147"/>
    <w:rsid w:val="68A37B22"/>
    <w:rsid w:val="68A40C9C"/>
    <w:rsid w:val="68AF5790"/>
    <w:rsid w:val="68BD31AC"/>
    <w:rsid w:val="68C91F41"/>
    <w:rsid w:val="68E03620"/>
    <w:rsid w:val="68F45A70"/>
    <w:rsid w:val="68F76ECC"/>
    <w:rsid w:val="690231E5"/>
    <w:rsid w:val="69064335"/>
    <w:rsid w:val="69201173"/>
    <w:rsid w:val="6922313D"/>
    <w:rsid w:val="692D388F"/>
    <w:rsid w:val="694B66F6"/>
    <w:rsid w:val="6970334E"/>
    <w:rsid w:val="697F233D"/>
    <w:rsid w:val="6989661C"/>
    <w:rsid w:val="698D6C59"/>
    <w:rsid w:val="69A47FF6"/>
    <w:rsid w:val="69B727E1"/>
    <w:rsid w:val="69C87CDE"/>
    <w:rsid w:val="69D1246D"/>
    <w:rsid w:val="69D45FF2"/>
    <w:rsid w:val="69DB4C17"/>
    <w:rsid w:val="69EE301F"/>
    <w:rsid w:val="6A0445F0"/>
    <w:rsid w:val="6A044986"/>
    <w:rsid w:val="6A05757C"/>
    <w:rsid w:val="6A087615"/>
    <w:rsid w:val="6A0E1913"/>
    <w:rsid w:val="6A276531"/>
    <w:rsid w:val="6A2B138A"/>
    <w:rsid w:val="6A485F01"/>
    <w:rsid w:val="6A527A52"/>
    <w:rsid w:val="6A573A34"/>
    <w:rsid w:val="6A6432E1"/>
    <w:rsid w:val="6A6C188B"/>
    <w:rsid w:val="6A773014"/>
    <w:rsid w:val="6A773406"/>
    <w:rsid w:val="6A8E232D"/>
    <w:rsid w:val="6A975464"/>
    <w:rsid w:val="6AD00976"/>
    <w:rsid w:val="6AD62431"/>
    <w:rsid w:val="6AE76BE9"/>
    <w:rsid w:val="6AEB14D6"/>
    <w:rsid w:val="6AF36F9E"/>
    <w:rsid w:val="6B1002CF"/>
    <w:rsid w:val="6B1F3B5D"/>
    <w:rsid w:val="6B200BA6"/>
    <w:rsid w:val="6B200F04"/>
    <w:rsid w:val="6B473328"/>
    <w:rsid w:val="6B4A2E58"/>
    <w:rsid w:val="6B594E10"/>
    <w:rsid w:val="6B5A53EA"/>
    <w:rsid w:val="6B6E3FA2"/>
    <w:rsid w:val="6B8005EE"/>
    <w:rsid w:val="6B8F3A87"/>
    <w:rsid w:val="6B99577D"/>
    <w:rsid w:val="6BA27F6A"/>
    <w:rsid w:val="6BB85EDB"/>
    <w:rsid w:val="6BD12031"/>
    <w:rsid w:val="6BE53DF3"/>
    <w:rsid w:val="6BEE7306"/>
    <w:rsid w:val="6BF55196"/>
    <w:rsid w:val="6C031CBB"/>
    <w:rsid w:val="6C5579D0"/>
    <w:rsid w:val="6C5B0E49"/>
    <w:rsid w:val="6C5B4633"/>
    <w:rsid w:val="6C724066"/>
    <w:rsid w:val="6C841A18"/>
    <w:rsid w:val="6C845606"/>
    <w:rsid w:val="6C872B50"/>
    <w:rsid w:val="6C936980"/>
    <w:rsid w:val="6C9438BD"/>
    <w:rsid w:val="6CA601ED"/>
    <w:rsid w:val="6CA64085"/>
    <w:rsid w:val="6CC32EA1"/>
    <w:rsid w:val="6CC92804"/>
    <w:rsid w:val="6CDC3602"/>
    <w:rsid w:val="6CE74A55"/>
    <w:rsid w:val="6CEA6756"/>
    <w:rsid w:val="6CF748E0"/>
    <w:rsid w:val="6CFC48D2"/>
    <w:rsid w:val="6D0A655C"/>
    <w:rsid w:val="6D120F74"/>
    <w:rsid w:val="6D175CF2"/>
    <w:rsid w:val="6D1A6AA7"/>
    <w:rsid w:val="6D21549B"/>
    <w:rsid w:val="6D391ADB"/>
    <w:rsid w:val="6D443B23"/>
    <w:rsid w:val="6D6438C9"/>
    <w:rsid w:val="6D7E0B5E"/>
    <w:rsid w:val="6D89327A"/>
    <w:rsid w:val="6D9C0FE4"/>
    <w:rsid w:val="6DB14A8F"/>
    <w:rsid w:val="6DB25897"/>
    <w:rsid w:val="6DBE53FE"/>
    <w:rsid w:val="6DC975F8"/>
    <w:rsid w:val="6DCC7B1B"/>
    <w:rsid w:val="6DF73CEB"/>
    <w:rsid w:val="6DFA2B29"/>
    <w:rsid w:val="6E0713FB"/>
    <w:rsid w:val="6E0B6D43"/>
    <w:rsid w:val="6E1F43EF"/>
    <w:rsid w:val="6E2048E7"/>
    <w:rsid w:val="6E2A1E35"/>
    <w:rsid w:val="6E3D59B9"/>
    <w:rsid w:val="6E425845"/>
    <w:rsid w:val="6E42597E"/>
    <w:rsid w:val="6E4D281F"/>
    <w:rsid w:val="6E5B43BE"/>
    <w:rsid w:val="6E5D00FA"/>
    <w:rsid w:val="6E6A588F"/>
    <w:rsid w:val="6E782B68"/>
    <w:rsid w:val="6E873A42"/>
    <w:rsid w:val="6E980942"/>
    <w:rsid w:val="6EA20E96"/>
    <w:rsid w:val="6EA40715"/>
    <w:rsid w:val="6EA96EE1"/>
    <w:rsid w:val="6EAB43FB"/>
    <w:rsid w:val="6EB77C04"/>
    <w:rsid w:val="6ECD414C"/>
    <w:rsid w:val="6ED47DEA"/>
    <w:rsid w:val="6EF0481D"/>
    <w:rsid w:val="6F0D6199"/>
    <w:rsid w:val="6F0F6033"/>
    <w:rsid w:val="6F1E7F02"/>
    <w:rsid w:val="6F1F46E8"/>
    <w:rsid w:val="6F2C67C9"/>
    <w:rsid w:val="6F391579"/>
    <w:rsid w:val="6F3F468B"/>
    <w:rsid w:val="6F3F60CB"/>
    <w:rsid w:val="6F4B224F"/>
    <w:rsid w:val="6F52107F"/>
    <w:rsid w:val="6F54796E"/>
    <w:rsid w:val="6F5A2F55"/>
    <w:rsid w:val="6F666BEE"/>
    <w:rsid w:val="6F764602"/>
    <w:rsid w:val="6F8C215C"/>
    <w:rsid w:val="6F944884"/>
    <w:rsid w:val="6F9C351D"/>
    <w:rsid w:val="6FC34F4E"/>
    <w:rsid w:val="6FC646EE"/>
    <w:rsid w:val="6FCA092F"/>
    <w:rsid w:val="6FCA36FC"/>
    <w:rsid w:val="6FCD2F00"/>
    <w:rsid w:val="6FCD5DBC"/>
    <w:rsid w:val="6FD26FBB"/>
    <w:rsid w:val="6FD27D0B"/>
    <w:rsid w:val="6FD366C9"/>
    <w:rsid w:val="6FDC79B2"/>
    <w:rsid w:val="6FE05805"/>
    <w:rsid w:val="6FF0621F"/>
    <w:rsid w:val="6FFA4014"/>
    <w:rsid w:val="70063B53"/>
    <w:rsid w:val="70227BF9"/>
    <w:rsid w:val="702B4999"/>
    <w:rsid w:val="702D5B2A"/>
    <w:rsid w:val="70310FE5"/>
    <w:rsid w:val="706109EE"/>
    <w:rsid w:val="7064653D"/>
    <w:rsid w:val="707F2605"/>
    <w:rsid w:val="70972FA7"/>
    <w:rsid w:val="709E6E8A"/>
    <w:rsid w:val="70AF1919"/>
    <w:rsid w:val="70BA00FF"/>
    <w:rsid w:val="70C743CF"/>
    <w:rsid w:val="70C76C3E"/>
    <w:rsid w:val="70CD0F22"/>
    <w:rsid w:val="70D311C0"/>
    <w:rsid w:val="70EC4570"/>
    <w:rsid w:val="70F25AA0"/>
    <w:rsid w:val="70FE5C63"/>
    <w:rsid w:val="7103231D"/>
    <w:rsid w:val="71151096"/>
    <w:rsid w:val="711E14C7"/>
    <w:rsid w:val="7151170A"/>
    <w:rsid w:val="71542301"/>
    <w:rsid w:val="71655AE6"/>
    <w:rsid w:val="71695A81"/>
    <w:rsid w:val="71716369"/>
    <w:rsid w:val="717A3C3A"/>
    <w:rsid w:val="71883D59"/>
    <w:rsid w:val="71944420"/>
    <w:rsid w:val="71A16BC9"/>
    <w:rsid w:val="71A74937"/>
    <w:rsid w:val="71AA4C70"/>
    <w:rsid w:val="71B26EEF"/>
    <w:rsid w:val="71C01745"/>
    <w:rsid w:val="71C64881"/>
    <w:rsid w:val="71D20638"/>
    <w:rsid w:val="71E30B5C"/>
    <w:rsid w:val="71F63A39"/>
    <w:rsid w:val="721B74CC"/>
    <w:rsid w:val="72243F0D"/>
    <w:rsid w:val="722505D7"/>
    <w:rsid w:val="723313FB"/>
    <w:rsid w:val="72345DC8"/>
    <w:rsid w:val="723D4B43"/>
    <w:rsid w:val="7249798C"/>
    <w:rsid w:val="725650D9"/>
    <w:rsid w:val="7256620B"/>
    <w:rsid w:val="72694C54"/>
    <w:rsid w:val="72755579"/>
    <w:rsid w:val="727B1B10"/>
    <w:rsid w:val="72814140"/>
    <w:rsid w:val="72816991"/>
    <w:rsid w:val="72A32F02"/>
    <w:rsid w:val="72A46970"/>
    <w:rsid w:val="72A73D31"/>
    <w:rsid w:val="72CE73A6"/>
    <w:rsid w:val="72D94A7B"/>
    <w:rsid w:val="72DB68D1"/>
    <w:rsid w:val="72DE305E"/>
    <w:rsid w:val="72DE59BC"/>
    <w:rsid w:val="72DF0F05"/>
    <w:rsid w:val="72EA5C92"/>
    <w:rsid w:val="72ED205E"/>
    <w:rsid w:val="72F316A6"/>
    <w:rsid w:val="72F37A53"/>
    <w:rsid w:val="72F75BF8"/>
    <w:rsid w:val="72F84F0E"/>
    <w:rsid w:val="73082CF7"/>
    <w:rsid w:val="73115B1E"/>
    <w:rsid w:val="73147803"/>
    <w:rsid w:val="73211839"/>
    <w:rsid w:val="73334198"/>
    <w:rsid w:val="7344089A"/>
    <w:rsid w:val="7354031F"/>
    <w:rsid w:val="735449BD"/>
    <w:rsid w:val="736305DA"/>
    <w:rsid w:val="736D1B22"/>
    <w:rsid w:val="73844049"/>
    <w:rsid w:val="738549F4"/>
    <w:rsid w:val="738C4C05"/>
    <w:rsid w:val="739A6ADE"/>
    <w:rsid w:val="739B42AE"/>
    <w:rsid w:val="739E5AB6"/>
    <w:rsid w:val="73B928EF"/>
    <w:rsid w:val="73CA5D91"/>
    <w:rsid w:val="73E4626D"/>
    <w:rsid w:val="74036E1D"/>
    <w:rsid w:val="740E4D2F"/>
    <w:rsid w:val="7410189E"/>
    <w:rsid w:val="74245288"/>
    <w:rsid w:val="742467DC"/>
    <w:rsid w:val="7445740D"/>
    <w:rsid w:val="744A1799"/>
    <w:rsid w:val="745C6C28"/>
    <w:rsid w:val="746C1A7A"/>
    <w:rsid w:val="74730CF0"/>
    <w:rsid w:val="74732A9E"/>
    <w:rsid w:val="74734D61"/>
    <w:rsid w:val="74841829"/>
    <w:rsid w:val="748E3FFB"/>
    <w:rsid w:val="748E6512"/>
    <w:rsid w:val="749C7991"/>
    <w:rsid w:val="74A7075D"/>
    <w:rsid w:val="74AC7D5E"/>
    <w:rsid w:val="74B31F6A"/>
    <w:rsid w:val="74B54B5C"/>
    <w:rsid w:val="74E23A52"/>
    <w:rsid w:val="74E95962"/>
    <w:rsid w:val="74EA36DE"/>
    <w:rsid w:val="74EC3702"/>
    <w:rsid w:val="74F76502"/>
    <w:rsid w:val="74FD64DD"/>
    <w:rsid w:val="74FD7A72"/>
    <w:rsid w:val="750341C8"/>
    <w:rsid w:val="750E27C7"/>
    <w:rsid w:val="752731CB"/>
    <w:rsid w:val="75322959"/>
    <w:rsid w:val="75387844"/>
    <w:rsid w:val="753F3BBC"/>
    <w:rsid w:val="75453B95"/>
    <w:rsid w:val="755B6243"/>
    <w:rsid w:val="75622B13"/>
    <w:rsid w:val="757A60AE"/>
    <w:rsid w:val="758D7C8D"/>
    <w:rsid w:val="75917CED"/>
    <w:rsid w:val="759D2EC8"/>
    <w:rsid w:val="759E5658"/>
    <w:rsid w:val="75B60064"/>
    <w:rsid w:val="75C36D89"/>
    <w:rsid w:val="75D24AD8"/>
    <w:rsid w:val="75D47B3D"/>
    <w:rsid w:val="75DA4F7E"/>
    <w:rsid w:val="75DB3CF5"/>
    <w:rsid w:val="75F9481F"/>
    <w:rsid w:val="75FA2A11"/>
    <w:rsid w:val="760473B5"/>
    <w:rsid w:val="761F5DFE"/>
    <w:rsid w:val="762674A8"/>
    <w:rsid w:val="764010A6"/>
    <w:rsid w:val="764C24F4"/>
    <w:rsid w:val="7651131A"/>
    <w:rsid w:val="765F282F"/>
    <w:rsid w:val="76636D99"/>
    <w:rsid w:val="76746B04"/>
    <w:rsid w:val="76790726"/>
    <w:rsid w:val="76982692"/>
    <w:rsid w:val="76B14C36"/>
    <w:rsid w:val="76D23D19"/>
    <w:rsid w:val="76DC6BA6"/>
    <w:rsid w:val="76F315DC"/>
    <w:rsid w:val="770D3BB0"/>
    <w:rsid w:val="771340C5"/>
    <w:rsid w:val="77370D3A"/>
    <w:rsid w:val="773A213A"/>
    <w:rsid w:val="773E5F77"/>
    <w:rsid w:val="77446EC8"/>
    <w:rsid w:val="77697F24"/>
    <w:rsid w:val="777803CC"/>
    <w:rsid w:val="77947F44"/>
    <w:rsid w:val="779F0C0B"/>
    <w:rsid w:val="779F1DFC"/>
    <w:rsid w:val="77A842CB"/>
    <w:rsid w:val="77C9446B"/>
    <w:rsid w:val="77E80412"/>
    <w:rsid w:val="780C56FD"/>
    <w:rsid w:val="78207B18"/>
    <w:rsid w:val="78232A2D"/>
    <w:rsid w:val="78266294"/>
    <w:rsid w:val="782D565A"/>
    <w:rsid w:val="7833150D"/>
    <w:rsid w:val="783F0EE9"/>
    <w:rsid w:val="78494C39"/>
    <w:rsid w:val="78566814"/>
    <w:rsid w:val="78574485"/>
    <w:rsid w:val="78647844"/>
    <w:rsid w:val="78650950"/>
    <w:rsid w:val="78670B6C"/>
    <w:rsid w:val="78705D43"/>
    <w:rsid w:val="78725FEB"/>
    <w:rsid w:val="7873341A"/>
    <w:rsid w:val="78854142"/>
    <w:rsid w:val="78867A27"/>
    <w:rsid w:val="788E0568"/>
    <w:rsid w:val="78B74B03"/>
    <w:rsid w:val="78BB22B5"/>
    <w:rsid w:val="78BF18EE"/>
    <w:rsid w:val="78EE6B97"/>
    <w:rsid w:val="79103FB6"/>
    <w:rsid w:val="7919798C"/>
    <w:rsid w:val="791A1A77"/>
    <w:rsid w:val="791A3E30"/>
    <w:rsid w:val="7928524E"/>
    <w:rsid w:val="793A789A"/>
    <w:rsid w:val="79422873"/>
    <w:rsid w:val="794E09B9"/>
    <w:rsid w:val="79894482"/>
    <w:rsid w:val="798E0F86"/>
    <w:rsid w:val="798E4F2A"/>
    <w:rsid w:val="799040F2"/>
    <w:rsid w:val="79982FA7"/>
    <w:rsid w:val="79A8612D"/>
    <w:rsid w:val="79B25E17"/>
    <w:rsid w:val="79C318FE"/>
    <w:rsid w:val="79C3303F"/>
    <w:rsid w:val="79CA0341"/>
    <w:rsid w:val="79E461EC"/>
    <w:rsid w:val="7A0A373D"/>
    <w:rsid w:val="7A2429FB"/>
    <w:rsid w:val="7A254B91"/>
    <w:rsid w:val="7A2C64B0"/>
    <w:rsid w:val="7A3C3932"/>
    <w:rsid w:val="7A48677B"/>
    <w:rsid w:val="7A5E56F0"/>
    <w:rsid w:val="7A821A83"/>
    <w:rsid w:val="7A8B549A"/>
    <w:rsid w:val="7A8F2A29"/>
    <w:rsid w:val="7A952872"/>
    <w:rsid w:val="7A985448"/>
    <w:rsid w:val="7AA66EA1"/>
    <w:rsid w:val="7AA860A4"/>
    <w:rsid w:val="7AB2322F"/>
    <w:rsid w:val="7ABC108B"/>
    <w:rsid w:val="7AC35E02"/>
    <w:rsid w:val="7AD81BA3"/>
    <w:rsid w:val="7ADB7271"/>
    <w:rsid w:val="7ADE3188"/>
    <w:rsid w:val="7AE148F0"/>
    <w:rsid w:val="7AE446F6"/>
    <w:rsid w:val="7AF5052D"/>
    <w:rsid w:val="7AFB5727"/>
    <w:rsid w:val="7B0620A1"/>
    <w:rsid w:val="7B131B6B"/>
    <w:rsid w:val="7B213EF8"/>
    <w:rsid w:val="7B23228F"/>
    <w:rsid w:val="7B292109"/>
    <w:rsid w:val="7B3268F0"/>
    <w:rsid w:val="7B3A1384"/>
    <w:rsid w:val="7B4F0510"/>
    <w:rsid w:val="7B551150"/>
    <w:rsid w:val="7B6708DD"/>
    <w:rsid w:val="7B6770D5"/>
    <w:rsid w:val="7B6F7C96"/>
    <w:rsid w:val="7B8C602F"/>
    <w:rsid w:val="7B8E4662"/>
    <w:rsid w:val="7BA23C69"/>
    <w:rsid w:val="7BA576F0"/>
    <w:rsid w:val="7BB210A1"/>
    <w:rsid w:val="7BC068C3"/>
    <w:rsid w:val="7BC71093"/>
    <w:rsid w:val="7BCC6CC2"/>
    <w:rsid w:val="7BE81FC4"/>
    <w:rsid w:val="7BEE1FD3"/>
    <w:rsid w:val="7BF83C74"/>
    <w:rsid w:val="7BFF7AC7"/>
    <w:rsid w:val="7C043F55"/>
    <w:rsid w:val="7C0B5CB2"/>
    <w:rsid w:val="7C0D3F50"/>
    <w:rsid w:val="7C16667F"/>
    <w:rsid w:val="7C236033"/>
    <w:rsid w:val="7C336FB7"/>
    <w:rsid w:val="7C38749F"/>
    <w:rsid w:val="7C39395E"/>
    <w:rsid w:val="7C4768EC"/>
    <w:rsid w:val="7C477E49"/>
    <w:rsid w:val="7C5A4544"/>
    <w:rsid w:val="7C5E48CB"/>
    <w:rsid w:val="7C5E67C3"/>
    <w:rsid w:val="7C634131"/>
    <w:rsid w:val="7C865339"/>
    <w:rsid w:val="7C95557C"/>
    <w:rsid w:val="7C957E64"/>
    <w:rsid w:val="7CB03AF7"/>
    <w:rsid w:val="7CD74D38"/>
    <w:rsid w:val="7CF20C20"/>
    <w:rsid w:val="7CFE0437"/>
    <w:rsid w:val="7CFE5817"/>
    <w:rsid w:val="7D1E1A15"/>
    <w:rsid w:val="7D20783B"/>
    <w:rsid w:val="7D32101D"/>
    <w:rsid w:val="7D3445B5"/>
    <w:rsid w:val="7D360D4B"/>
    <w:rsid w:val="7D4A1E73"/>
    <w:rsid w:val="7D602F4B"/>
    <w:rsid w:val="7D611AB6"/>
    <w:rsid w:val="7D630AAC"/>
    <w:rsid w:val="7D687022"/>
    <w:rsid w:val="7D7E2E78"/>
    <w:rsid w:val="7D8014BC"/>
    <w:rsid w:val="7D835909"/>
    <w:rsid w:val="7D9A130F"/>
    <w:rsid w:val="7D9A34D5"/>
    <w:rsid w:val="7DA36F1D"/>
    <w:rsid w:val="7DAA5A71"/>
    <w:rsid w:val="7DB270B1"/>
    <w:rsid w:val="7DBD3673"/>
    <w:rsid w:val="7DC26844"/>
    <w:rsid w:val="7DC504EA"/>
    <w:rsid w:val="7DD95ED6"/>
    <w:rsid w:val="7DE01B14"/>
    <w:rsid w:val="7DE27AC9"/>
    <w:rsid w:val="7DED3A81"/>
    <w:rsid w:val="7DF926F3"/>
    <w:rsid w:val="7DF9708E"/>
    <w:rsid w:val="7DFC679A"/>
    <w:rsid w:val="7DFD787D"/>
    <w:rsid w:val="7E1C47C8"/>
    <w:rsid w:val="7E2A6D6A"/>
    <w:rsid w:val="7E307C52"/>
    <w:rsid w:val="7E392DFA"/>
    <w:rsid w:val="7E526465"/>
    <w:rsid w:val="7E53699D"/>
    <w:rsid w:val="7E665422"/>
    <w:rsid w:val="7E696CC0"/>
    <w:rsid w:val="7E6D27DA"/>
    <w:rsid w:val="7E723E4C"/>
    <w:rsid w:val="7E801122"/>
    <w:rsid w:val="7E8B30DA"/>
    <w:rsid w:val="7E910D37"/>
    <w:rsid w:val="7EA06B86"/>
    <w:rsid w:val="7EAA4280"/>
    <w:rsid w:val="7EB50851"/>
    <w:rsid w:val="7EC56453"/>
    <w:rsid w:val="7EC9775F"/>
    <w:rsid w:val="7ED37CF3"/>
    <w:rsid w:val="7ED652AD"/>
    <w:rsid w:val="7EE020A1"/>
    <w:rsid w:val="7EF13444"/>
    <w:rsid w:val="7F036D0C"/>
    <w:rsid w:val="7F076CC6"/>
    <w:rsid w:val="7F0A1D82"/>
    <w:rsid w:val="7F141322"/>
    <w:rsid w:val="7F192F39"/>
    <w:rsid w:val="7F361298"/>
    <w:rsid w:val="7F3B7E0D"/>
    <w:rsid w:val="7F5E19F3"/>
    <w:rsid w:val="7F5E434B"/>
    <w:rsid w:val="7F620831"/>
    <w:rsid w:val="7F9831DF"/>
    <w:rsid w:val="7FC753C2"/>
    <w:rsid w:val="7FC87712"/>
    <w:rsid w:val="7FD64829"/>
    <w:rsid w:val="7FE00C0F"/>
    <w:rsid w:val="7FEA39AA"/>
    <w:rsid w:val="7FF42D25"/>
    <w:rsid w:val="7FFB7D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520" w:lineRule="exact"/>
      <w:ind w:firstLine="720" w:firstLineChars="200"/>
      <w:jc w:val="both"/>
    </w:pPr>
    <w:rPr>
      <w:rFonts w:ascii="minorBidi" w:hAnsi="minorBidi" w:eastAsia="Arial" w:cs="Cambria Math"/>
      <w:kern w:val="2"/>
      <w:sz w:val="24"/>
      <w:lang w:val="en-US" w:eastAsia="zh-CN" w:bidi="ar-SA"/>
    </w:rPr>
  </w:style>
  <w:style w:type="paragraph" w:styleId="3">
    <w:name w:val="heading 1"/>
    <w:next w:val="1"/>
    <w:link w:val="34"/>
    <w:autoRedefine/>
    <w:qFormat/>
    <w:uiPriority w:val="0"/>
    <w:pPr>
      <w:keepNext/>
      <w:tabs>
        <w:tab w:val="left" w:pos="3360"/>
      </w:tabs>
      <w:snapToGrid w:val="0"/>
      <w:spacing w:beforeLines="50" w:afterLines="50" w:line="800" w:lineRule="atLeast"/>
      <w:jc w:val="center"/>
      <w:outlineLvl w:val="0"/>
    </w:pPr>
    <w:rPr>
      <w:rFonts w:ascii="minorBidi" w:hAnsi="minorBidi" w:eastAsia="Calibri" w:cs="Cambria Math"/>
      <w:sz w:val="44"/>
      <w:lang w:val="en-US" w:eastAsia="zh-CN" w:bidi="ar-SA"/>
    </w:rPr>
  </w:style>
  <w:style w:type="paragraph" w:styleId="4">
    <w:name w:val="heading 2"/>
    <w:basedOn w:val="1"/>
    <w:next w:val="1"/>
    <w:link w:val="32"/>
    <w:autoRedefine/>
    <w:qFormat/>
    <w:uiPriority w:val="0"/>
    <w:pPr>
      <w:keepNext/>
      <w:keepLines/>
      <w:adjustRightInd w:val="0"/>
      <w:snapToGrid w:val="0"/>
      <w:spacing w:beforeLines="50" w:afterLines="50" w:line="240" w:lineRule="auto"/>
      <w:outlineLvl w:val="1"/>
    </w:pPr>
    <w:rPr>
      <w:rFonts w:ascii="黑体" w:hAnsi="黑体"/>
      <w:b/>
      <w:kern w:val="0"/>
      <w:sz w:val="28"/>
    </w:rPr>
  </w:style>
  <w:style w:type="paragraph" w:styleId="5">
    <w:name w:val="heading 3"/>
    <w:basedOn w:val="1"/>
    <w:next w:val="1"/>
    <w:autoRedefine/>
    <w:qFormat/>
    <w:uiPriority w:val="0"/>
    <w:pPr>
      <w:keepNext/>
      <w:keepLines/>
      <w:spacing w:before="260" w:after="260" w:line="413" w:lineRule="auto"/>
      <w:jc w:val="center"/>
      <w:outlineLvl w:val="2"/>
    </w:pPr>
    <w:rPr>
      <w:b/>
      <w:sz w:val="44"/>
    </w:rPr>
  </w:style>
  <w:style w:type="paragraph" w:styleId="6">
    <w:name w:val="heading 4"/>
    <w:basedOn w:val="1"/>
    <w:next w:val="1"/>
    <w:autoRedefine/>
    <w:qFormat/>
    <w:uiPriority w:val="0"/>
    <w:pPr>
      <w:keepNext/>
      <w:keepLines/>
      <w:spacing w:before="280" w:after="290" w:line="372" w:lineRule="auto"/>
      <w:outlineLvl w:val="3"/>
    </w:pPr>
    <w:rPr>
      <w:rFonts w:ascii="方正小标宋简体" w:hAnsi="方正小标宋简体"/>
      <w:b/>
      <w:sz w:val="28"/>
    </w:rPr>
  </w:style>
  <w:style w:type="character" w:default="1" w:styleId="25">
    <w:name w:val="Default Paragraph Font"/>
    <w:autoRedefine/>
    <w:unhideWhenUsed/>
    <w:qFormat/>
    <w:uiPriority w:val="1"/>
  </w:style>
  <w:style w:type="table" w:default="1" w:styleId="23">
    <w:name w:val="Normal Table"/>
    <w:autoRedefine/>
    <w:unhideWhenUsed/>
    <w:qFormat/>
    <w:uiPriority w:val="99"/>
    <w:tblPr>
      <w:tblCellMar>
        <w:top w:w="0" w:type="dxa"/>
        <w:left w:w="108" w:type="dxa"/>
        <w:bottom w:w="0" w:type="dxa"/>
        <w:right w:w="108" w:type="dxa"/>
      </w:tblCellMar>
    </w:tblPr>
  </w:style>
  <w:style w:type="paragraph" w:styleId="2">
    <w:name w:val="Balloon Text"/>
    <w:basedOn w:val="1"/>
    <w:link w:val="33"/>
    <w:autoRedefine/>
    <w:qFormat/>
    <w:uiPriority w:val="0"/>
    <w:pPr>
      <w:spacing w:line="240" w:lineRule="auto"/>
      <w:ind w:firstLine="1440"/>
    </w:pPr>
    <w:rPr>
      <w:rFonts w:eastAsia="黑体" w:cs="Times New Roman"/>
      <w:sz w:val="18"/>
      <w:szCs w:val="18"/>
    </w:rPr>
  </w:style>
  <w:style w:type="paragraph" w:styleId="7">
    <w:name w:val="List 3"/>
    <w:basedOn w:val="1"/>
    <w:next w:val="1"/>
    <w:autoRedefine/>
    <w:qFormat/>
    <w:uiPriority w:val="0"/>
    <w:pPr>
      <w:adjustRightInd w:val="0"/>
      <w:snapToGrid w:val="0"/>
      <w:spacing w:line="360" w:lineRule="auto"/>
      <w:ind w:left="100" w:leftChars="400" w:hanging="200" w:hangingChars="200"/>
    </w:pPr>
  </w:style>
  <w:style w:type="paragraph" w:styleId="8">
    <w:name w:val="annotation text"/>
    <w:basedOn w:val="1"/>
    <w:next w:val="9"/>
    <w:link w:val="39"/>
    <w:autoRedefine/>
    <w:qFormat/>
    <w:uiPriority w:val="0"/>
    <w:pPr>
      <w:jc w:val="left"/>
    </w:pPr>
  </w:style>
  <w:style w:type="paragraph" w:styleId="9">
    <w:name w:val="annotation subject"/>
    <w:next w:val="8"/>
    <w:link w:val="40"/>
    <w:autoRedefine/>
    <w:qFormat/>
    <w:uiPriority w:val="0"/>
    <w:pPr>
      <w:widowControl w:val="0"/>
    </w:pPr>
    <w:rPr>
      <w:rFonts w:ascii="Cambria Math" w:hAnsi="Cambria Math" w:eastAsia="黑体" w:cs="Cambria Math"/>
      <w:b/>
      <w:sz w:val="21"/>
      <w:lang w:val="en-US" w:eastAsia="zh-CN" w:bidi="ar-SA"/>
    </w:rPr>
  </w:style>
  <w:style w:type="paragraph" w:styleId="10">
    <w:name w:val="Body Text"/>
    <w:basedOn w:val="1"/>
    <w:next w:val="1"/>
    <w:link w:val="38"/>
    <w:autoRedefine/>
    <w:qFormat/>
    <w:uiPriority w:val="0"/>
    <w:pPr>
      <w:spacing w:after="120"/>
    </w:pPr>
  </w:style>
  <w:style w:type="paragraph" w:styleId="11">
    <w:name w:val="Body Text Indent"/>
    <w:basedOn w:val="1"/>
    <w:autoRedefine/>
    <w:qFormat/>
    <w:uiPriority w:val="0"/>
    <w:pPr>
      <w:spacing w:after="120"/>
      <w:ind w:left="420" w:leftChars="200"/>
    </w:pPr>
  </w:style>
  <w:style w:type="paragraph" w:styleId="12">
    <w:name w:val="toc 3"/>
    <w:basedOn w:val="1"/>
    <w:next w:val="1"/>
    <w:autoRedefine/>
    <w:qFormat/>
    <w:uiPriority w:val="0"/>
    <w:pPr>
      <w:ind w:left="840" w:leftChars="400"/>
    </w:pPr>
  </w:style>
  <w:style w:type="paragraph" w:styleId="13">
    <w:name w:val="Plain Text"/>
    <w:basedOn w:val="1"/>
    <w:next w:val="1"/>
    <w:autoRedefine/>
    <w:qFormat/>
    <w:uiPriority w:val="0"/>
    <w:pPr>
      <w:adjustRightInd w:val="0"/>
      <w:snapToGrid w:val="0"/>
      <w:spacing w:line="360" w:lineRule="auto"/>
    </w:pPr>
    <w:rPr>
      <w:rFonts w:ascii="宋体" w:hAnsi="Courier New" w:eastAsia="宋体" w:cs="Times New Roman"/>
      <w:sz w:val="21"/>
    </w:rPr>
  </w:style>
  <w:style w:type="paragraph" w:styleId="14">
    <w:name w:val="Date"/>
    <w:basedOn w:val="1"/>
    <w:next w:val="1"/>
    <w:link w:val="37"/>
    <w:autoRedefine/>
    <w:qFormat/>
    <w:uiPriority w:val="0"/>
  </w:style>
  <w:style w:type="paragraph" w:styleId="15">
    <w:name w:val="footer"/>
    <w:basedOn w:val="1"/>
    <w:autoRedefine/>
    <w:qFormat/>
    <w:uiPriority w:val="0"/>
    <w:pPr>
      <w:tabs>
        <w:tab w:val="center" w:pos="4153"/>
        <w:tab w:val="right" w:pos="8306"/>
      </w:tabs>
      <w:snapToGrid w:val="0"/>
      <w:jc w:val="left"/>
    </w:pPr>
    <w:rPr>
      <w:sz w:val="18"/>
    </w:rPr>
  </w:style>
  <w:style w:type="paragraph" w:styleId="16">
    <w:name w:val="header"/>
    <w:autoRedefine/>
    <w:qFormat/>
    <w:uiPriority w:val="99"/>
    <w:pPr>
      <w:pBdr>
        <w:bottom w:val="single" w:color="auto" w:sz="6" w:space="1"/>
      </w:pBdr>
      <w:tabs>
        <w:tab w:val="center" w:pos="4153"/>
        <w:tab w:val="right" w:pos="8306"/>
      </w:tabs>
      <w:snapToGrid w:val="0"/>
      <w:jc w:val="center"/>
    </w:pPr>
    <w:rPr>
      <w:rFonts w:ascii="minorBidi" w:hAnsi="minorBidi" w:eastAsia="Arial" w:cs="Cambria Math"/>
      <w:sz w:val="18"/>
      <w:lang w:val="en-US" w:eastAsia="zh-CN" w:bidi="ar-SA"/>
    </w:rPr>
  </w:style>
  <w:style w:type="paragraph" w:styleId="17">
    <w:name w:val="toc 1"/>
    <w:basedOn w:val="1"/>
    <w:next w:val="1"/>
    <w:autoRedefine/>
    <w:qFormat/>
    <w:uiPriority w:val="39"/>
    <w:pPr>
      <w:spacing w:before="120" w:after="120"/>
      <w:jc w:val="left"/>
    </w:pPr>
    <w:rPr>
      <w:b/>
      <w:bCs/>
      <w:caps/>
      <w:sz w:val="20"/>
    </w:rPr>
  </w:style>
  <w:style w:type="paragraph" w:styleId="18">
    <w:name w:val="footnote text"/>
    <w:basedOn w:val="1"/>
    <w:link w:val="31"/>
    <w:autoRedefine/>
    <w:qFormat/>
    <w:uiPriority w:val="0"/>
    <w:pPr>
      <w:snapToGrid w:val="0"/>
      <w:jc w:val="left"/>
    </w:pPr>
    <w:rPr>
      <w:rFonts w:hint="eastAsia" w:ascii="黑体" w:hAnsi="黑体" w:eastAsia="黑体" w:cs="Times New Roman"/>
      <w:sz w:val="18"/>
      <w:szCs w:val="22"/>
    </w:rPr>
  </w:style>
  <w:style w:type="paragraph" w:styleId="19">
    <w:name w:val="toc 2"/>
    <w:basedOn w:val="1"/>
    <w:next w:val="1"/>
    <w:autoRedefine/>
    <w:qFormat/>
    <w:uiPriority w:val="39"/>
    <w:pPr>
      <w:ind w:left="280"/>
      <w:jc w:val="left"/>
    </w:pPr>
    <w:rPr>
      <w:smallCaps/>
      <w:sz w:val="20"/>
    </w:rPr>
  </w:style>
  <w:style w:type="paragraph" w:styleId="20">
    <w:name w:val="Normal (Web)"/>
    <w:basedOn w:val="1"/>
    <w:autoRedefine/>
    <w:qFormat/>
    <w:uiPriority w:val="0"/>
    <w:rPr>
      <w:rFonts w:ascii="Cambria Math" w:hAnsi="Cambria Math"/>
      <w:szCs w:val="24"/>
    </w:rPr>
  </w:style>
  <w:style w:type="paragraph" w:styleId="21">
    <w:name w:val="Body Text First Indent"/>
    <w:basedOn w:val="10"/>
    <w:next w:val="7"/>
    <w:autoRedefine/>
    <w:qFormat/>
    <w:uiPriority w:val="0"/>
    <w:pPr>
      <w:ind w:firstLine="420" w:firstLineChars="100"/>
    </w:pPr>
    <w:rPr>
      <w:sz w:val="21"/>
      <w:szCs w:val="22"/>
    </w:rPr>
  </w:style>
  <w:style w:type="paragraph" w:styleId="22">
    <w:name w:val="Body Text First Indent 2"/>
    <w:basedOn w:val="11"/>
    <w:autoRedefine/>
    <w:qFormat/>
    <w:uiPriority w:val="0"/>
    <w:pPr>
      <w:ind w:firstLine="420"/>
    </w:pPr>
  </w:style>
  <w:style w:type="table" w:styleId="24">
    <w:name w:val="Table Grid"/>
    <w:basedOn w:val="2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page number"/>
    <w:autoRedefine/>
    <w:qFormat/>
    <w:uiPriority w:val="0"/>
    <w:rPr>
      <w:rFonts w:ascii="Cambria Math" w:hAnsi="Cambria Math" w:eastAsia="Arial"/>
    </w:rPr>
  </w:style>
  <w:style w:type="character" w:styleId="27">
    <w:name w:val="FollowedHyperlink"/>
    <w:autoRedefine/>
    <w:qFormat/>
    <w:uiPriority w:val="0"/>
    <w:rPr>
      <w:color w:val="800080"/>
      <w:u w:val="single"/>
    </w:rPr>
  </w:style>
  <w:style w:type="character" w:styleId="28">
    <w:name w:val="Hyperlink"/>
    <w:autoRedefine/>
    <w:qFormat/>
    <w:uiPriority w:val="99"/>
    <w:rPr>
      <w:color w:val="0563C1"/>
      <w:u w:val="single"/>
    </w:rPr>
  </w:style>
  <w:style w:type="character" w:styleId="29">
    <w:name w:val="annotation reference"/>
    <w:autoRedefine/>
    <w:qFormat/>
    <w:uiPriority w:val="0"/>
    <w:rPr>
      <w:rFonts w:ascii="Cambria Math" w:hAnsi="Cambria Math" w:eastAsia="Arial"/>
      <w:sz w:val="21"/>
    </w:rPr>
  </w:style>
  <w:style w:type="character" w:styleId="30">
    <w:name w:val="footnote reference"/>
    <w:autoRedefine/>
    <w:qFormat/>
    <w:uiPriority w:val="0"/>
    <w:rPr>
      <w:rFonts w:ascii="Cambria Math" w:hAnsi="Cambria Math" w:eastAsia="Arial"/>
      <w:vertAlign w:val="superscript"/>
    </w:rPr>
  </w:style>
  <w:style w:type="character" w:customStyle="1" w:styleId="31">
    <w:name w:val="脚注文本 Char"/>
    <w:link w:val="18"/>
    <w:autoRedefine/>
    <w:qFormat/>
    <w:uiPriority w:val="0"/>
    <w:rPr>
      <w:rFonts w:hint="eastAsia" w:ascii="黑体" w:hAnsi="黑体" w:eastAsia="黑体" w:cs="黑体"/>
      <w:kern w:val="2"/>
      <w:sz w:val="18"/>
      <w:szCs w:val="22"/>
    </w:rPr>
  </w:style>
  <w:style w:type="character" w:customStyle="1" w:styleId="32">
    <w:name w:val="标题 2 Char"/>
    <w:link w:val="4"/>
    <w:autoRedefine/>
    <w:qFormat/>
    <w:uiPriority w:val="0"/>
    <w:rPr>
      <w:rFonts w:hint="eastAsia" w:ascii="黑体" w:hAnsi="黑体" w:eastAsia="Arial" w:cs="黑体"/>
      <w:b/>
      <w:kern w:val="2"/>
      <w:sz w:val="28"/>
    </w:rPr>
  </w:style>
  <w:style w:type="character" w:customStyle="1" w:styleId="33">
    <w:name w:val="批注框文本 Char"/>
    <w:link w:val="2"/>
    <w:autoRedefine/>
    <w:qFormat/>
    <w:uiPriority w:val="0"/>
    <w:rPr>
      <w:rFonts w:hint="default" w:ascii="minorBidi" w:hAnsi="minorBidi" w:cs="minorBidi"/>
      <w:kern w:val="2"/>
      <w:sz w:val="18"/>
      <w:szCs w:val="18"/>
    </w:rPr>
  </w:style>
  <w:style w:type="character" w:customStyle="1" w:styleId="34">
    <w:name w:val="标题 1 Char"/>
    <w:link w:val="3"/>
    <w:autoRedefine/>
    <w:qFormat/>
    <w:uiPriority w:val="0"/>
    <w:rPr>
      <w:rFonts w:ascii="minorBidi" w:hAnsi="minorBidi" w:eastAsia="Calibri"/>
      <w:sz w:val="44"/>
      <w:lang w:val="en-US" w:eastAsia="zh-CN" w:bidi="ar-SA"/>
    </w:rPr>
  </w:style>
  <w:style w:type="character" w:customStyle="1" w:styleId="35">
    <w:name w:val="未处理的提及1"/>
    <w:autoRedefine/>
    <w:unhideWhenUsed/>
    <w:qFormat/>
    <w:uiPriority w:val="99"/>
    <w:rPr>
      <w:color w:val="605E5C"/>
      <w:shd w:val="clear" w:color="auto" w:fill="E1DFDD"/>
    </w:rPr>
  </w:style>
  <w:style w:type="character" w:customStyle="1" w:styleId="36">
    <w:name w:val="标题 2 字符"/>
    <w:autoRedefine/>
    <w:qFormat/>
    <w:uiPriority w:val="0"/>
    <w:rPr>
      <w:rFonts w:ascii="黑体" w:hAnsi="黑体" w:eastAsia="黑体"/>
      <w:b/>
      <w:sz w:val="28"/>
    </w:rPr>
  </w:style>
  <w:style w:type="character" w:customStyle="1" w:styleId="37">
    <w:name w:val="日期 Char"/>
    <w:link w:val="14"/>
    <w:autoRedefine/>
    <w:qFormat/>
    <w:uiPriority w:val="0"/>
    <w:rPr>
      <w:rFonts w:ascii="minorBidi" w:hAnsi="minorBidi"/>
      <w:kern w:val="2"/>
      <w:sz w:val="24"/>
    </w:rPr>
  </w:style>
  <w:style w:type="character" w:customStyle="1" w:styleId="38">
    <w:name w:val="正文文本 Char"/>
    <w:link w:val="10"/>
    <w:autoRedefine/>
    <w:qFormat/>
    <w:uiPriority w:val="0"/>
    <w:rPr>
      <w:rFonts w:hint="eastAsia" w:ascii="黑体" w:hAnsi="黑体" w:eastAsia="黑体" w:cs="黑体"/>
      <w:kern w:val="2"/>
      <w:sz w:val="21"/>
      <w:szCs w:val="22"/>
    </w:rPr>
  </w:style>
  <w:style w:type="character" w:customStyle="1" w:styleId="39">
    <w:name w:val="批注文字 Char"/>
    <w:link w:val="8"/>
    <w:autoRedefine/>
    <w:qFormat/>
    <w:uiPriority w:val="0"/>
    <w:rPr>
      <w:rFonts w:ascii="minorBidi" w:hAnsi="minorBidi" w:eastAsia="Arial"/>
      <w:kern w:val="2"/>
      <w:sz w:val="24"/>
    </w:rPr>
  </w:style>
  <w:style w:type="character" w:customStyle="1" w:styleId="40">
    <w:name w:val="批注主题 Char"/>
    <w:link w:val="9"/>
    <w:autoRedefine/>
    <w:qFormat/>
    <w:uiPriority w:val="0"/>
    <w:rPr>
      <w:b/>
      <w:sz w:val="21"/>
    </w:rPr>
  </w:style>
  <w:style w:type="table" w:customStyle="1" w:styleId="41">
    <w:name w:val="网格型1"/>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2">
    <w:name w:val="4方正仿宋gbk"/>
    <w:basedOn w:val="1"/>
    <w:link w:val="43"/>
    <w:autoRedefine/>
    <w:qFormat/>
    <w:uiPriority w:val="0"/>
    <w:pPr>
      <w:spacing w:line="560" w:lineRule="exact"/>
      <w:ind w:firstLine="420"/>
    </w:pPr>
    <w:rPr>
      <w:rFonts w:ascii="Times New Roman" w:hAnsi="Times New Roman" w:eastAsia="方正仿宋_GBK"/>
      <w:sz w:val="32"/>
    </w:rPr>
  </w:style>
  <w:style w:type="character" w:customStyle="1" w:styleId="43">
    <w:name w:val="4方正仿宋gbk Char"/>
    <w:link w:val="42"/>
    <w:autoRedefine/>
    <w:qFormat/>
    <w:uiPriority w:val="0"/>
    <w:rPr>
      <w:rFonts w:ascii="Times New Roman" w:hAnsi="Times New Roman" w:eastAsia="方正仿宋_GBK"/>
      <w:sz w:val="32"/>
    </w:rPr>
  </w:style>
  <w:style w:type="paragraph" w:customStyle="1" w:styleId="44">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B6E1BD"/>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DE2C09-8D09-4A43-B866-63EB5593B63A}">
  <ds:schemaRefs/>
</ds:datastoreItem>
</file>

<file path=docProps/app.xml><?xml version="1.0" encoding="utf-8"?>
<Properties xmlns="http://schemas.openxmlformats.org/officeDocument/2006/extended-properties" xmlns:vt="http://schemas.openxmlformats.org/officeDocument/2006/docPropsVTypes">
  <Template>Normal</Template>
  <Company>巴南区行政服务中心</Company>
  <Pages>66</Pages>
  <Words>33020</Words>
  <Characters>36035</Characters>
  <Lines>263</Lines>
  <Paragraphs>74</Paragraphs>
  <TotalTime>14</TotalTime>
  <ScaleCrop>false</ScaleCrop>
  <LinksUpToDate>false</LinksUpToDate>
  <CharactersWithSpaces>37021</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2022-09-30T03:08:00Z</dcterms:created>
  <dc:creator>Administrator</dc:creator>
  <cp:lastModifiedBy>微信用户</cp:lastModifiedBy>
  <cp:lastPrinted>2022-05-25T07:54:00Z</cp:lastPrinted>
  <dcterms:modified xsi:type="dcterms:W3CDTF">2024-05-07T07:34:28Z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5578BB4677174EF6A305F18E4A5FF7FE</vt:lpwstr>
  </property>
</Properties>
</file>