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ind w:firstLine="640" w:firstLineChars="200"/>
        <w:textAlignment w:val="auto"/>
        <w:outlineLvl w:val="9"/>
        <w:rPr>
          <w:rFonts w:ascii="Times New Roman" w:hAnsi="Times New Roman" w:eastAsia="方正黑体_GBK"/>
          <w:color w:val="auto"/>
          <w:kern w:val="0"/>
          <w:sz w:val="32"/>
          <w:szCs w:val="32"/>
        </w:rPr>
      </w:pPr>
      <w:bookmarkStart w:id="0" w:name="_GoBack"/>
      <w:bookmarkEnd w:id="0"/>
      <w:r>
        <w:rPr>
          <w:rFonts w:ascii="Times New Roman" w:hAnsi="Times New Roman" w:eastAsia="方正黑体_GBK"/>
          <w:color w:val="auto"/>
          <w:kern w:val="0"/>
          <w:sz w:val="32"/>
          <w:szCs w:val="32"/>
        </w:rPr>
        <w:t>附件2</w:t>
      </w:r>
    </w:p>
    <w:p>
      <w:pPr>
        <w:spacing w:line="580" w:lineRule="exact"/>
        <w:jc w:val="center"/>
        <w:textAlignment w:val="baseline"/>
        <w:outlineLvl w:val="0"/>
        <w:rPr>
          <w:rFonts w:ascii="Times New Roman" w:hAnsi="Times New Roman" w:eastAsia="方正小标宋_GBK"/>
          <w:color w:val="auto"/>
          <w:kern w:val="0"/>
          <w:sz w:val="44"/>
          <w:szCs w:val="44"/>
        </w:rPr>
      </w:pPr>
    </w:p>
    <w:p>
      <w:pPr>
        <w:spacing w:line="580" w:lineRule="exact"/>
        <w:jc w:val="center"/>
        <w:textAlignment w:val="baseline"/>
        <w:outlineLvl w:val="0"/>
        <w:rPr>
          <w:rFonts w:ascii="Times New Roman" w:hAnsi="Times New Roman" w:eastAsia="方正小标宋_GBK"/>
          <w:color w:val="auto"/>
          <w:kern w:val="0"/>
          <w:sz w:val="44"/>
          <w:szCs w:val="44"/>
        </w:rPr>
      </w:pPr>
      <w:r>
        <w:rPr>
          <w:rFonts w:ascii="Times New Roman" w:hAnsi="Times New Roman" w:eastAsia="方正小标宋_GBK"/>
          <w:color w:val="auto"/>
          <w:kern w:val="0"/>
          <w:sz w:val="44"/>
          <w:szCs w:val="44"/>
        </w:rPr>
        <w:t>专家评审打分表</w:t>
      </w:r>
    </w:p>
    <w:p>
      <w:pPr>
        <w:spacing w:line="340" w:lineRule="exact"/>
        <w:ind w:firstLine="560" w:firstLineChars="200"/>
        <w:jc w:val="left"/>
        <w:textAlignment w:val="baseline"/>
        <w:rPr>
          <w:rFonts w:ascii="Times New Roman" w:hAnsi="Times New Roman" w:eastAsia="方正黑体_GBK"/>
          <w:color w:val="auto"/>
          <w:kern w:val="0"/>
          <w:sz w:val="28"/>
          <w:szCs w:val="28"/>
        </w:rPr>
      </w:pPr>
    </w:p>
    <w:p>
      <w:pPr>
        <w:spacing w:line="340" w:lineRule="exact"/>
        <w:ind w:firstLine="560" w:firstLineChars="200"/>
        <w:jc w:val="left"/>
        <w:textAlignment w:val="baseline"/>
        <w:outlineLvl w:val="0"/>
        <w:rPr>
          <w:rFonts w:ascii="Times New Roman" w:hAnsi="Times New Roman" w:eastAsia="方正黑体_GBK"/>
          <w:color w:val="auto"/>
          <w:kern w:val="0"/>
          <w:sz w:val="28"/>
          <w:szCs w:val="28"/>
        </w:rPr>
      </w:pPr>
      <w:r>
        <w:rPr>
          <w:rFonts w:ascii="Times New Roman" w:hAnsi="Times New Roman" w:eastAsia="方正黑体_GBK"/>
          <w:color w:val="auto"/>
          <w:kern w:val="0"/>
          <w:sz w:val="28"/>
          <w:szCs w:val="28"/>
        </w:rPr>
        <w:t>一、资格评审</w:t>
      </w:r>
    </w:p>
    <w:tbl>
      <w:tblPr>
        <w:tblStyle w:val="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4497"/>
        <w:gridCol w:w="1511"/>
        <w:gridCol w:w="1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0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textAlignment w:val="baseline"/>
              <w:rPr>
                <w:rFonts w:ascii="Times New Roman" w:hAnsi="Times New Roman" w:eastAsia="方正黑体_GBK"/>
                <w:color w:val="auto"/>
                <w:kern w:val="0"/>
                <w:sz w:val="22"/>
                <w:szCs w:val="22"/>
              </w:rPr>
            </w:pPr>
            <w:r>
              <w:rPr>
                <w:rFonts w:ascii="Times New Roman" w:hAnsi="Times New Roman" w:eastAsia="方正黑体_GBK"/>
                <w:color w:val="auto"/>
                <w:kern w:val="0"/>
                <w:sz w:val="22"/>
                <w:szCs w:val="22"/>
              </w:rPr>
              <w:t>评审内容</w:t>
            </w:r>
          </w:p>
        </w:tc>
        <w:tc>
          <w:tcPr>
            <w:tcW w:w="303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textAlignment w:val="baseline"/>
              <w:rPr>
                <w:rFonts w:ascii="Times New Roman" w:hAnsi="Times New Roman" w:eastAsia="方正黑体_GBK"/>
                <w:color w:val="auto"/>
                <w:kern w:val="0"/>
                <w:sz w:val="22"/>
                <w:szCs w:val="22"/>
              </w:rPr>
            </w:pPr>
            <w:r>
              <w:rPr>
                <w:rFonts w:ascii="Times New Roman" w:hAnsi="Times New Roman" w:eastAsia="方正黑体_GBK"/>
                <w:color w:val="auto"/>
                <w:kern w:val="0"/>
                <w:sz w:val="22"/>
                <w:szCs w:val="22"/>
              </w:rPr>
              <w:t>是否提交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5" w:type="dxa"/>
            <w:vMerge w:val="restart"/>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资格要求</w:t>
            </w:r>
          </w:p>
        </w:tc>
        <w:tc>
          <w:tcPr>
            <w:tcW w:w="4497"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1.营业执照（副本）</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是□</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5"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p>
        </w:tc>
        <w:tc>
          <w:tcPr>
            <w:tcW w:w="4497"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2.真实性承诺书</w:t>
            </w:r>
          </w:p>
        </w:tc>
        <w:tc>
          <w:tcPr>
            <w:tcW w:w="1511"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是□</w:t>
            </w:r>
          </w:p>
        </w:tc>
        <w:tc>
          <w:tcPr>
            <w:tcW w:w="1527"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before="0" w:beforeAutospacing="0" w:after="0" w:afterAutospacing="0"/>
              <w:jc w:val="both"/>
              <w:rPr>
                <w:rFonts w:ascii="Times New Roman" w:hAnsi="Times New Roman" w:eastAsia="方正仿宋_GBK" w:cs="Times New Roman"/>
                <w:color w:val="auto"/>
                <w:kern w:val="0"/>
                <w:sz w:val="22"/>
                <w:szCs w:val="22"/>
                <w:lang w:val="en-US" w:eastAsia="zh-CN" w:bidi="ar-SA"/>
              </w:rPr>
            </w:pPr>
            <w:r>
              <w:rPr>
                <w:rFonts w:ascii="Times New Roman" w:hAnsi="Times New Roman" w:eastAsia="方正仿宋_GBK" w:cs="Times New Roman"/>
                <w:color w:val="auto"/>
                <w:kern w:val="0"/>
                <w:sz w:val="22"/>
                <w:szCs w:val="22"/>
                <w:lang w:val="en-US" w:eastAsia="zh-CN" w:bidi="ar-SA"/>
              </w:rPr>
              <w:t>否□</w:t>
            </w:r>
          </w:p>
        </w:tc>
      </w:tr>
    </w:tbl>
    <w:p>
      <w:pPr>
        <w:spacing w:line="340" w:lineRule="exact"/>
        <w:ind w:firstLine="560" w:firstLineChars="200"/>
        <w:jc w:val="left"/>
        <w:textAlignment w:val="baseline"/>
        <w:rPr>
          <w:rFonts w:ascii="Times New Roman" w:hAnsi="Times New Roman" w:eastAsia="方正黑体_GBK"/>
          <w:color w:val="auto"/>
          <w:kern w:val="0"/>
          <w:sz w:val="28"/>
          <w:szCs w:val="28"/>
        </w:rPr>
      </w:pPr>
    </w:p>
    <w:p>
      <w:pPr>
        <w:spacing w:line="340" w:lineRule="exact"/>
        <w:ind w:firstLine="560" w:firstLineChars="200"/>
        <w:jc w:val="left"/>
        <w:textAlignment w:val="baseline"/>
        <w:outlineLvl w:val="0"/>
        <w:rPr>
          <w:rFonts w:ascii="Times New Roman" w:hAnsi="Times New Roman" w:eastAsia="方正黑体_GBK"/>
          <w:color w:val="auto"/>
          <w:kern w:val="0"/>
          <w:sz w:val="28"/>
          <w:szCs w:val="28"/>
        </w:rPr>
      </w:pPr>
      <w:r>
        <w:rPr>
          <w:rFonts w:ascii="Times New Roman" w:hAnsi="Times New Roman" w:eastAsia="方正黑体_GBK"/>
          <w:color w:val="auto"/>
          <w:kern w:val="0"/>
          <w:sz w:val="28"/>
          <w:szCs w:val="28"/>
        </w:rPr>
        <w:t>二、商务及技术方案评审</w:t>
      </w:r>
    </w:p>
    <w:tbl>
      <w:tblPr>
        <w:tblStyle w:val="3"/>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95"/>
        <w:gridCol w:w="6814"/>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宋体" w:cs="Times New Roman"/>
                <w:color w:val="auto"/>
                <w:kern w:val="0"/>
                <w:sz w:val="28"/>
                <w:szCs w:val="28"/>
                <w:highlight w:val="none"/>
                <w:lang w:val="en-US" w:eastAsia="zh-CN" w:bidi="ar-SA"/>
              </w:rPr>
            </w:pPr>
            <w:r>
              <w:rPr>
                <w:rFonts w:ascii="Times New Roman" w:hAnsi="Times New Roman" w:eastAsia="方正黑体_GBK" w:cs="Times New Roman"/>
                <w:color w:val="auto"/>
                <w:kern w:val="0"/>
                <w:sz w:val="28"/>
                <w:szCs w:val="28"/>
                <w:highlight w:val="none"/>
                <w:lang w:val="en-US" w:eastAsia="zh-CN" w:bidi="ar-SA"/>
              </w:rPr>
              <w:t>序号</w:t>
            </w: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宋体" w:cs="Times New Roman"/>
                <w:color w:val="auto"/>
                <w:kern w:val="0"/>
                <w:sz w:val="28"/>
                <w:szCs w:val="28"/>
                <w:highlight w:val="none"/>
                <w:lang w:val="en-US" w:eastAsia="zh-CN" w:bidi="ar-SA"/>
              </w:rPr>
            </w:pPr>
            <w:r>
              <w:rPr>
                <w:rFonts w:ascii="Times New Roman" w:hAnsi="Times New Roman" w:eastAsia="方正黑体_GBK" w:cs="Times New Roman"/>
                <w:color w:val="auto"/>
                <w:kern w:val="0"/>
                <w:sz w:val="28"/>
                <w:szCs w:val="28"/>
                <w:highlight w:val="none"/>
                <w:lang w:val="en-US" w:eastAsia="zh-CN" w:bidi="ar-SA"/>
              </w:rPr>
              <w:t>评审内容</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方正黑体_GBK" w:cs="Times New Roman"/>
                <w:color w:val="auto"/>
                <w:kern w:val="0"/>
                <w:sz w:val="28"/>
                <w:szCs w:val="28"/>
                <w:highlight w:val="none"/>
                <w:lang w:val="en-US" w:eastAsia="zh-CN" w:bidi="ar-SA"/>
              </w:rPr>
            </w:pPr>
            <w:r>
              <w:rPr>
                <w:rFonts w:ascii="Times New Roman" w:hAnsi="Times New Roman" w:eastAsia="方正黑体_GBK" w:cs="Times New Roman"/>
                <w:color w:val="auto"/>
                <w:kern w:val="0"/>
                <w:sz w:val="28"/>
                <w:szCs w:val="28"/>
                <w:highlight w:val="none"/>
                <w:lang w:val="en-US" w:eastAsia="zh-CN" w:bidi="ar-SA"/>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方正仿宋_GBK" w:cs="Times New Roman"/>
                <w:b/>
                <w:bCs/>
                <w:color w:val="auto"/>
                <w:kern w:val="0"/>
                <w:sz w:val="24"/>
                <w:szCs w:val="28"/>
                <w:highlight w:val="none"/>
                <w:lang w:val="en-US" w:eastAsia="zh-CN" w:bidi="ar-SA"/>
              </w:rPr>
            </w:pPr>
            <w:r>
              <w:rPr>
                <w:rFonts w:ascii="Times New Roman" w:hAnsi="Times New Roman" w:eastAsia="方正仿宋_GBK" w:cs="Times New Roman"/>
                <w:b/>
                <w:bCs/>
                <w:color w:val="auto"/>
                <w:kern w:val="0"/>
                <w:sz w:val="24"/>
                <w:szCs w:val="28"/>
                <w:highlight w:val="none"/>
                <w:lang w:val="en-US" w:eastAsia="zh-CN" w:bidi="ar-SA"/>
              </w:rPr>
              <w:t>报价部分</w:t>
            </w:r>
          </w:p>
          <w:p>
            <w:pPr>
              <w:widowControl w:val="0"/>
              <w:snapToGrid w:val="0"/>
              <w:spacing w:before="0" w:beforeAutospacing="0" w:after="0" w:afterAutospacing="0"/>
              <w:jc w:val="center"/>
              <w:rPr>
                <w:rFonts w:ascii="Times New Roman" w:hAnsi="Times New Roman" w:eastAsia="方正黑体_GBK" w:cs="Times New Roman"/>
                <w:color w:val="auto"/>
                <w:kern w:val="0"/>
                <w:sz w:val="28"/>
                <w:szCs w:val="28"/>
                <w:highlight w:val="none"/>
                <w:lang w:val="en-US" w:eastAsia="zh-CN" w:bidi="ar-SA"/>
              </w:rPr>
            </w:pPr>
            <w:r>
              <w:rPr>
                <w:rFonts w:ascii="Times New Roman" w:hAnsi="Times New Roman" w:eastAsia="方正仿宋_GBK" w:cs="Times New Roman"/>
                <w:b/>
                <w:bCs/>
                <w:color w:val="auto"/>
                <w:kern w:val="0"/>
                <w:sz w:val="24"/>
                <w:szCs w:val="28"/>
                <w:highlight w:val="none"/>
                <w:lang w:val="en-US" w:eastAsia="zh-CN" w:bidi="ar-SA"/>
              </w:rPr>
              <w:t>（20分）</w:t>
            </w: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黑体_GBK" w:cs="Times New Roman"/>
                <w:color w:val="auto"/>
                <w:kern w:val="0"/>
                <w:sz w:val="28"/>
                <w:szCs w:val="28"/>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以参选单位有效投标报价的平均报价为基准，低于平均报价的为满分；实际报价高于平均报价的，投标报价得分＝（评标基准价/投标报价）×权值（20分），保留1位小数。报价需罗列预计支出明细，未列明细的不得分。</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黑体_GBK" w:cs="Times New Roman"/>
                <w:color w:val="auto"/>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98" w:hRule="atLeast"/>
          <w:jc w:val="center"/>
        </w:trPr>
        <w:tc>
          <w:tcPr>
            <w:tcW w:w="1395" w:type="dxa"/>
            <w:vMerge w:val="restart"/>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方正楷体_GBK" w:cs="Times New Roman"/>
                <w:color w:val="auto"/>
                <w:kern w:val="0"/>
                <w:sz w:val="28"/>
                <w:szCs w:val="28"/>
                <w:highlight w:val="none"/>
                <w:lang w:val="en-US" w:eastAsia="zh-CN" w:bidi="ar-SA"/>
              </w:rPr>
            </w:pPr>
            <w:r>
              <w:rPr>
                <w:rFonts w:ascii="Times New Roman" w:hAnsi="Times New Roman" w:eastAsia="方正仿宋_GBK" w:cs="Times New Roman"/>
                <w:b/>
                <w:bCs/>
                <w:color w:val="auto"/>
                <w:kern w:val="0"/>
                <w:sz w:val="24"/>
                <w:szCs w:val="28"/>
                <w:highlight w:val="none"/>
                <w:lang w:val="en-US" w:eastAsia="zh-CN" w:bidi="ar-SA"/>
              </w:rPr>
              <w:t>商务部分（30分）</w:t>
            </w: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1.人员要求（15分）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（1）项目的负责人：具有高级</w:t>
            </w:r>
            <w:r>
              <w:rPr>
                <w:rFonts w:hint="default" w:ascii="Times New Roman" w:hAnsi="Times New Roman" w:eastAsia="方正仿宋_GBK" w:cs="Times New Roman"/>
                <w:color w:val="auto"/>
                <w:kern w:val="0"/>
                <w:sz w:val="24"/>
                <w:szCs w:val="24"/>
                <w:highlight w:val="none"/>
                <w:lang w:val="en-US" w:eastAsia="zh-CN" w:bidi="ar-SA"/>
              </w:rPr>
              <w:t>及以上</w:t>
            </w:r>
            <w:r>
              <w:rPr>
                <w:rFonts w:ascii="Times New Roman" w:hAnsi="Times New Roman" w:eastAsia="方正仿宋_GBK" w:cs="Times New Roman"/>
                <w:color w:val="auto"/>
                <w:kern w:val="0"/>
                <w:sz w:val="24"/>
                <w:szCs w:val="24"/>
                <w:highlight w:val="none"/>
                <w:lang w:val="en-US" w:eastAsia="zh-CN" w:bidi="ar-SA"/>
              </w:rPr>
              <w:t>职称的得</w:t>
            </w:r>
            <w:r>
              <w:rPr>
                <w:rFonts w:hint="default" w:ascii="Times New Roman" w:hAnsi="Times New Roman" w:eastAsia="方正仿宋_GBK" w:cs="Times New Roman"/>
                <w:color w:val="auto"/>
                <w:kern w:val="0"/>
                <w:sz w:val="24"/>
                <w:szCs w:val="24"/>
                <w:highlight w:val="none"/>
                <w:lang w:val="en-US" w:eastAsia="zh-CN" w:bidi="ar-SA"/>
              </w:rPr>
              <w:t>3</w:t>
            </w:r>
            <w:r>
              <w:rPr>
                <w:rFonts w:ascii="Times New Roman" w:hAnsi="Times New Roman" w:eastAsia="方正仿宋_GBK" w:cs="Times New Roman"/>
                <w:color w:val="auto"/>
                <w:kern w:val="0"/>
                <w:sz w:val="24"/>
                <w:szCs w:val="24"/>
                <w:highlight w:val="none"/>
                <w:lang w:val="en-US" w:eastAsia="zh-CN" w:bidi="ar-SA"/>
              </w:rPr>
              <w:t>分，没有的得0分；具有生态建设和环境工程专业咨询工程师资格证书得5分，没有的得0分。本项最多得</w:t>
            </w:r>
            <w:r>
              <w:rPr>
                <w:rFonts w:hint="default" w:ascii="Times New Roman" w:hAnsi="Times New Roman" w:eastAsia="方正仿宋_GBK" w:cs="Times New Roman"/>
                <w:color w:val="auto"/>
                <w:kern w:val="0"/>
                <w:sz w:val="24"/>
                <w:szCs w:val="24"/>
                <w:highlight w:val="none"/>
                <w:lang w:val="en-US" w:eastAsia="zh-CN" w:bidi="ar-SA"/>
              </w:rPr>
              <w:t>8</w:t>
            </w:r>
            <w:r>
              <w:rPr>
                <w:rFonts w:ascii="Times New Roman" w:hAnsi="Times New Roman" w:eastAsia="方正仿宋_GBK" w:cs="Times New Roman"/>
                <w:color w:val="auto"/>
                <w:kern w:val="0"/>
                <w:sz w:val="24"/>
                <w:szCs w:val="24"/>
                <w:highlight w:val="none"/>
                <w:lang w:val="en-US" w:eastAsia="zh-CN" w:bidi="ar-SA"/>
              </w:rPr>
              <w:t>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（2）项目团队成员（不含负责人）中具有高级及以上职称的，每有1人得1分，本项最多得</w:t>
            </w:r>
            <w:r>
              <w:rPr>
                <w:rFonts w:hint="default" w:ascii="Times New Roman" w:hAnsi="Times New Roman" w:eastAsia="方正仿宋_GBK" w:cs="Times New Roman"/>
                <w:color w:val="auto"/>
                <w:kern w:val="0"/>
                <w:sz w:val="24"/>
                <w:szCs w:val="24"/>
                <w:highlight w:val="none"/>
                <w:lang w:val="en-US" w:eastAsia="zh-CN" w:bidi="ar-SA"/>
              </w:rPr>
              <w:t>4</w:t>
            </w:r>
            <w:r>
              <w:rPr>
                <w:rFonts w:ascii="Times New Roman" w:hAnsi="Times New Roman" w:eastAsia="方正仿宋_GBK" w:cs="Times New Roman"/>
                <w:color w:val="auto"/>
                <w:kern w:val="0"/>
                <w:sz w:val="24"/>
                <w:szCs w:val="24"/>
                <w:highlight w:val="none"/>
                <w:lang w:val="en-US" w:eastAsia="zh-CN" w:bidi="ar-SA"/>
              </w:rPr>
              <w:t>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（3）项目团队成员（不含负责人）中具有生态建设和环境工程专业咨询工程师资格证书，每有1人得1分，本项最多得3分。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（需提供职称证书复印件。）</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黑体_GBK" w:cs="Times New Roman"/>
                <w:color w:val="auto"/>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vMerge w:val="continue"/>
            <w:tcMar>
              <w:top w:w="0" w:type="dxa"/>
              <w:left w:w="105" w:type="dxa"/>
              <w:bottom w:w="0" w:type="dxa"/>
              <w:right w:w="105" w:type="dxa"/>
            </w:tcMar>
            <w:vAlign w:val="center"/>
          </w:tcPr>
          <w:p>
            <w:pPr>
              <w:snapToGrid w:val="0"/>
              <w:jc w:val="center"/>
              <w:rPr>
                <w:rFonts w:ascii="Times New Roman" w:hAnsi="Times New Roman" w:eastAsia="方正楷体_GBK"/>
                <w:color w:val="auto"/>
                <w:sz w:val="28"/>
                <w:szCs w:val="28"/>
                <w:highlight w:val="none"/>
              </w:rPr>
            </w:pP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2.业绩要求（15分）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hint="default" w:ascii="Times New Roman" w:hAnsi="Times New Roman" w:eastAsia="方正仿宋_GBK" w:cs="Times New Roman"/>
                <w:color w:val="auto"/>
                <w:kern w:val="0"/>
                <w:sz w:val="24"/>
                <w:szCs w:val="24"/>
                <w:highlight w:val="none"/>
                <w:lang w:val="en-US" w:eastAsia="zh-CN" w:bidi="ar-SA"/>
              </w:rPr>
              <w:t>供应商承担过污水处理相关规划方案、课题、节能降碳咨询等业绩的，每项3分，本项最多得15分。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（需提</w:t>
            </w:r>
            <w:r>
              <w:rPr>
                <w:rFonts w:hint="default" w:ascii="Times New Roman" w:hAnsi="Times New Roman" w:eastAsia="方正仿宋_GBK" w:cs="Times New Roman"/>
                <w:color w:val="auto"/>
                <w:kern w:val="0"/>
                <w:sz w:val="24"/>
                <w:szCs w:val="24"/>
                <w:highlight w:val="none"/>
                <w:lang w:val="en-US" w:eastAsia="zh-CN" w:bidi="ar-SA"/>
              </w:rPr>
              <w:t>供委托函或合同</w:t>
            </w:r>
            <w:r>
              <w:rPr>
                <w:rFonts w:ascii="Times New Roman" w:hAnsi="Times New Roman" w:eastAsia="方正仿宋_GBK" w:cs="Times New Roman"/>
                <w:color w:val="auto"/>
                <w:kern w:val="0"/>
                <w:sz w:val="24"/>
                <w:szCs w:val="24"/>
                <w:highlight w:val="none"/>
                <w:lang w:val="en-US" w:eastAsia="zh-CN" w:bidi="ar-SA"/>
              </w:rPr>
              <w:t>复印件并加盖供应商鲜章，同一项目不重复计分。）</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黑体_GBK" w:cs="Times New Roman"/>
                <w:color w:val="auto"/>
                <w:kern w:val="0"/>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vMerge w:val="restart"/>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方正楷体_GBK" w:cs="Times New Roman"/>
                <w:color w:val="auto"/>
                <w:kern w:val="0"/>
                <w:sz w:val="28"/>
                <w:szCs w:val="28"/>
                <w:highlight w:val="none"/>
                <w:lang w:val="en-US" w:eastAsia="zh-CN" w:bidi="ar-SA"/>
              </w:rPr>
            </w:pPr>
            <w:r>
              <w:rPr>
                <w:rFonts w:ascii="Times New Roman" w:hAnsi="Times New Roman" w:eastAsia="方正仿宋_GBK" w:cs="Times New Roman"/>
                <w:b/>
                <w:bCs/>
                <w:color w:val="auto"/>
                <w:kern w:val="0"/>
                <w:sz w:val="24"/>
                <w:szCs w:val="28"/>
                <w:highlight w:val="none"/>
                <w:lang w:val="en-US" w:eastAsia="zh-CN" w:bidi="ar-SA"/>
              </w:rPr>
              <w:t>技术部分（50分）</w:t>
            </w: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1.工作方案结构（10分）</w:t>
            </w:r>
          </w:p>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对方案结构的科学性、全面性、合理性等情况进行打分。优秀得10分，良好得8分，较好得6分，一般得4分，大部分不合理得2分，完全不合理或未提供不得分。</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vMerge w:val="continue"/>
            <w:tcMar>
              <w:top w:w="0" w:type="dxa"/>
              <w:left w:w="105" w:type="dxa"/>
              <w:bottom w:w="0" w:type="dxa"/>
              <w:right w:w="105" w:type="dxa"/>
            </w:tcMar>
            <w:vAlign w:val="center"/>
          </w:tcPr>
          <w:p>
            <w:pPr>
              <w:snapToGrid w:val="0"/>
              <w:jc w:val="center"/>
              <w:rPr>
                <w:rFonts w:ascii="Times New Roman" w:hAnsi="Times New Roman" w:eastAsia="方正楷体_GBK"/>
                <w:color w:val="auto"/>
                <w:sz w:val="28"/>
                <w:szCs w:val="28"/>
                <w:highlight w:val="none"/>
              </w:rPr>
            </w:pP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2.工作理解及思路（15分）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对工作任务的认识理解、开展工作的思路举措清晰合理等情况进行打分。优秀得15分，良好得12分，较好得9分，一般得6分，大部分不合理得3分，完全不合理或未提供不得分。</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vMerge w:val="continue"/>
            <w:tcMar>
              <w:top w:w="0" w:type="dxa"/>
              <w:left w:w="105" w:type="dxa"/>
              <w:bottom w:w="0" w:type="dxa"/>
              <w:right w:w="105" w:type="dxa"/>
            </w:tcMar>
            <w:vAlign w:val="center"/>
          </w:tcPr>
          <w:p>
            <w:pPr>
              <w:snapToGrid w:val="0"/>
              <w:jc w:val="center"/>
              <w:rPr>
                <w:rFonts w:ascii="Times New Roman" w:hAnsi="Times New Roman" w:eastAsia="方正楷体_GBK"/>
                <w:color w:val="auto"/>
                <w:sz w:val="28"/>
                <w:szCs w:val="28"/>
                <w:highlight w:val="none"/>
              </w:rPr>
            </w:pP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3.项目进度计划及组织措施（15分）</w:t>
            </w:r>
          </w:p>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对在要求的时间阶段内对项目各阶段时间周期及各阶段完成的项目内容有详尽的描述，且人员等配置安排情况进行打分。优秀得15分，良好得12分，较好得9分，一般得6分，大部分不合理得3分，完全不合理或未提供不得分。</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95" w:type="dxa"/>
            <w:vMerge w:val="continue"/>
            <w:tcMar>
              <w:top w:w="0" w:type="dxa"/>
              <w:left w:w="105" w:type="dxa"/>
              <w:bottom w:w="0" w:type="dxa"/>
              <w:right w:w="105" w:type="dxa"/>
            </w:tcMar>
            <w:vAlign w:val="center"/>
          </w:tcPr>
          <w:p>
            <w:pPr>
              <w:snapToGrid w:val="0"/>
              <w:jc w:val="center"/>
              <w:rPr>
                <w:rFonts w:ascii="Times New Roman" w:hAnsi="Times New Roman" w:eastAsia="方正楷体_GBK"/>
                <w:color w:val="auto"/>
                <w:sz w:val="28"/>
                <w:szCs w:val="28"/>
                <w:highlight w:val="none"/>
              </w:rPr>
            </w:pPr>
          </w:p>
        </w:tc>
        <w:tc>
          <w:tcPr>
            <w:tcW w:w="6814"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宋体"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4.申报资料质量（10分）</w:t>
            </w:r>
          </w:p>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color w:val="auto"/>
                <w:kern w:val="0"/>
                <w:sz w:val="24"/>
                <w:szCs w:val="24"/>
                <w:highlight w:val="none"/>
                <w:lang w:val="en-US" w:eastAsia="zh-CN" w:bidi="ar-SA"/>
              </w:rPr>
              <w:t>对申报资料的完整、齐备性等进行打分。优秀得10分，良好得8分，较好得6分，一般得4分，大部分不合理得2分，完全不合理或未提供不得分。</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0" w:hRule="atLeast"/>
          <w:jc w:val="center"/>
        </w:trPr>
        <w:tc>
          <w:tcPr>
            <w:tcW w:w="8209" w:type="dxa"/>
            <w:gridSpan w:val="2"/>
            <w:tcMar>
              <w:top w:w="0" w:type="dxa"/>
              <w:left w:w="105" w:type="dxa"/>
              <w:bottom w:w="0" w:type="dxa"/>
              <w:right w:w="105" w:type="dxa"/>
            </w:tcMar>
            <w:vAlign w:val="center"/>
          </w:tcPr>
          <w:p>
            <w:pPr>
              <w:widowControl w:val="0"/>
              <w:snapToGrid w:val="0"/>
              <w:spacing w:before="0" w:beforeAutospacing="0" w:after="0" w:afterAutospacing="0"/>
              <w:jc w:val="center"/>
              <w:rPr>
                <w:rFonts w:ascii="Times New Roman" w:hAnsi="Times New Roman" w:eastAsia="方正仿宋_GBK" w:cs="Times New Roman"/>
                <w:color w:val="auto"/>
                <w:kern w:val="0"/>
                <w:sz w:val="24"/>
                <w:szCs w:val="24"/>
                <w:highlight w:val="none"/>
                <w:lang w:val="en-US" w:eastAsia="zh-CN" w:bidi="ar-SA"/>
              </w:rPr>
            </w:pPr>
            <w:r>
              <w:rPr>
                <w:rFonts w:ascii="Times New Roman" w:hAnsi="Times New Roman" w:eastAsia="方正仿宋_GBK" w:cs="Times New Roman"/>
                <w:b/>
                <w:bCs/>
                <w:color w:val="auto"/>
                <w:kern w:val="0"/>
                <w:sz w:val="28"/>
                <w:szCs w:val="28"/>
                <w:highlight w:val="none"/>
                <w:lang w:val="en-US" w:eastAsia="zh-CN" w:bidi="ar-SA"/>
              </w:rPr>
              <w:t>合计得分</w:t>
            </w:r>
            <w:r>
              <w:rPr>
                <w:rFonts w:hint="eastAsia" w:ascii="Times New Roman" w:hAnsi="Times New Roman" w:eastAsia="方正仿宋_GBK" w:cs="Times New Roman"/>
                <w:b/>
                <w:bCs/>
                <w:color w:val="auto"/>
                <w:kern w:val="0"/>
                <w:sz w:val="28"/>
                <w:szCs w:val="28"/>
                <w:highlight w:val="none"/>
                <w:lang w:val="en-US" w:eastAsia="zh-CN" w:bidi="ar-SA"/>
              </w:rPr>
              <w:t>（</w:t>
            </w:r>
            <w:r>
              <w:rPr>
                <w:rFonts w:ascii="Times New Roman" w:hAnsi="Times New Roman" w:eastAsia="方正仿宋_GBK" w:cs="Times New Roman"/>
                <w:b/>
                <w:bCs/>
                <w:color w:val="auto"/>
                <w:kern w:val="0"/>
                <w:sz w:val="28"/>
                <w:szCs w:val="28"/>
                <w:highlight w:val="none"/>
                <w:lang w:val="en-US" w:eastAsia="zh-CN" w:bidi="ar-SA"/>
              </w:rPr>
              <w:t>100分</w:t>
            </w:r>
            <w:r>
              <w:rPr>
                <w:rFonts w:hint="eastAsia" w:ascii="Times New Roman" w:hAnsi="Times New Roman" w:eastAsia="方正仿宋_GBK" w:cs="Times New Roman"/>
                <w:b/>
                <w:bCs/>
                <w:color w:val="auto"/>
                <w:kern w:val="0"/>
                <w:sz w:val="28"/>
                <w:szCs w:val="28"/>
                <w:highlight w:val="none"/>
                <w:lang w:val="en-US" w:eastAsia="zh-CN" w:bidi="ar-SA"/>
              </w:rPr>
              <w:t>）</w:t>
            </w:r>
          </w:p>
        </w:tc>
        <w:tc>
          <w:tcPr>
            <w:tcW w:w="840" w:type="dxa"/>
            <w:tcMar>
              <w:top w:w="0" w:type="dxa"/>
              <w:left w:w="105" w:type="dxa"/>
              <w:bottom w:w="0" w:type="dxa"/>
              <w:right w:w="105" w:type="dxa"/>
            </w:tcMar>
            <w:vAlign w:val="center"/>
          </w:tcPr>
          <w:p>
            <w:pPr>
              <w:widowControl w:val="0"/>
              <w:snapToGrid w:val="0"/>
              <w:spacing w:before="0" w:beforeAutospacing="0" w:after="0" w:afterAutospacing="0"/>
              <w:jc w:val="both"/>
              <w:rPr>
                <w:rFonts w:ascii="Times New Roman" w:hAnsi="Times New Roman" w:eastAsia="方正仿宋_GBK" w:cs="Times New Roman"/>
                <w:color w:val="auto"/>
                <w:kern w:val="0"/>
                <w:sz w:val="24"/>
                <w:szCs w:val="24"/>
                <w:highlight w:val="none"/>
                <w:lang w:val="en-US" w:eastAsia="zh-CN" w:bidi="ar-SA"/>
              </w:rPr>
            </w:pPr>
          </w:p>
        </w:tc>
      </w:tr>
    </w:tbl>
    <w:p>
      <w:pPr>
        <w:jc w:val="left"/>
        <w:textAlignment w:val="baseline"/>
        <w:outlineLvl w:val="0"/>
        <w:rPr>
          <w:rFonts w:ascii="Times New Roman" w:hAnsi="Times New Roman" w:eastAsia="方正黑体_GBK"/>
          <w:color w:val="auto"/>
          <w:kern w:val="0"/>
          <w:sz w:val="28"/>
          <w:szCs w:val="28"/>
        </w:rPr>
      </w:pPr>
      <w:r>
        <w:rPr>
          <w:rFonts w:ascii="Times New Roman" w:hAnsi="Times New Roman" w:eastAsia="方正仿宋_GBK"/>
          <w:b/>
          <w:color w:val="auto"/>
          <w:kern w:val="0"/>
          <w:sz w:val="30"/>
          <w:szCs w:val="30"/>
        </w:rPr>
        <w:t>评审专家签字：</w:t>
      </w:r>
    </w:p>
    <w:p>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olor w:val="auto"/>
          <w:sz w:val="32"/>
          <w:szCs w:val="32"/>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1326F"/>
    <w:rsid w:val="02A5785B"/>
    <w:rsid w:val="04321E9E"/>
    <w:rsid w:val="05E04BBF"/>
    <w:rsid w:val="0678440F"/>
    <w:rsid w:val="07302C25"/>
    <w:rsid w:val="08F917E7"/>
    <w:rsid w:val="09402850"/>
    <w:rsid w:val="09CB7D01"/>
    <w:rsid w:val="0A3D31B8"/>
    <w:rsid w:val="0A603689"/>
    <w:rsid w:val="0CCD0B9D"/>
    <w:rsid w:val="0D1A2C8F"/>
    <w:rsid w:val="0DFF07E6"/>
    <w:rsid w:val="109E638E"/>
    <w:rsid w:val="120F666C"/>
    <w:rsid w:val="1475366E"/>
    <w:rsid w:val="14CF38D2"/>
    <w:rsid w:val="16276B65"/>
    <w:rsid w:val="17DE0FF4"/>
    <w:rsid w:val="1914615A"/>
    <w:rsid w:val="1A87543F"/>
    <w:rsid w:val="1AD87B86"/>
    <w:rsid w:val="1C9017A9"/>
    <w:rsid w:val="1D9644F4"/>
    <w:rsid w:val="1EDB4E3E"/>
    <w:rsid w:val="21265AE4"/>
    <w:rsid w:val="22894133"/>
    <w:rsid w:val="22970DE3"/>
    <w:rsid w:val="22E73BF5"/>
    <w:rsid w:val="24EC0C0E"/>
    <w:rsid w:val="25AB4CFD"/>
    <w:rsid w:val="26B01F54"/>
    <w:rsid w:val="26DD2E70"/>
    <w:rsid w:val="270576F2"/>
    <w:rsid w:val="292D6A94"/>
    <w:rsid w:val="2B3253BE"/>
    <w:rsid w:val="2C9F66DC"/>
    <w:rsid w:val="2D675FB3"/>
    <w:rsid w:val="2E413661"/>
    <w:rsid w:val="2E455683"/>
    <w:rsid w:val="2E543786"/>
    <w:rsid w:val="2F4F7FC3"/>
    <w:rsid w:val="308704C1"/>
    <w:rsid w:val="30A33D2A"/>
    <w:rsid w:val="30A3799E"/>
    <w:rsid w:val="32643A0C"/>
    <w:rsid w:val="333636C5"/>
    <w:rsid w:val="34BC16E6"/>
    <w:rsid w:val="380E1D58"/>
    <w:rsid w:val="39220E6D"/>
    <w:rsid w:val="3ACE0FA2"/>
    <w:rsid w:val="3B5D0D3F"/>
    <w:rsid w:val="3C200854"/>
    <w:rsid w:val="3CF7222A"/>
    <w:rsid w:val="411B0A6F"/>
    <w:rsid w:val="43FF4A39"/>
    <w:rsid w:val="44016D60"/>
    <w:rsid w:val="448F1A77"/>
    <w:rsid w:val="44F52E41"/>
    <w:rsid w:val="456D5284"/>
    <w:rsid w:val="45D1326F"/>
    <w:rsid w:val="460F0AE2"/>
    <w:rsid w:val="46F347D1"/>
    <w:rsid w:val="476A6ADE"/>
    <w:rsid w:val="47FE6BF4"/>
    <w:rsid w:val="488E6ACE"/>
    <w:rsid w:val="497B37C9"/>
    <w:rsid w:val="4B220086"/>
    <w:rsid w:val="4B2404CD"/>
    <w:rsid w:val="4B2663BA"/>
    <w:rsid w:val="4C544C61"/>
    <w:rsid w:val="4CE43630"/>
    <w:rsid w:val="4D1371EA"/>
    <w:rsid w:val="4D7F7D2D"/>
    <w:rsid w:val="4DE80D1A"/>
    <w:rsid w:val="528E4D45"/>
    <w:rsid w:val="552B3507"/>
    <w:rsid w:val="55FB1E42"/>
    <w:rsid w:val="5630171D"/>
    <w:rsid w:val="56730279"/>
    <w:rsid w:val="579C0B21"/>
    <w:rsid w:val="59060833"/>
    <w:rsid w:val="59A84BE2"/>
    <w:rsid w:val="5B975823"/>
    <w:rsid w:val="5C893C47"/>
    <w:rsid w:val="5D781DA1"/>
    <w:rsid w:val="5F3E1384"/>
    <w:rsid w:val="5F7C26B6"/>
    <w:rsid w:val="603B3FD3"/>
    <w:rsid w:val="60B61BB4"/>
    <w:rsid w:val="62A32859"/>
    <w:rsid w:val="62F3326E"/>
    <w:rsid w:val="645E2DF3"/>
    <w:rsid w:val="65236A7D"/>
    <w:rsid w:val="657D2312"/>
    <w:rsid w:val="65D20263"/>
    <w:rsid w:val="66184B4E"/>
    <w:rsid w:val="66C03E55"/>
    <w:rsid w:val="66D97175"/>
    <w:rsid w:val="699D3AD1"/>
    <w:rsid w:val="6A3E7C8D"/>
    <w:rsid w:val="6ABF0B6B"/>
    <w:rsid w:val="6C1B2A27"/>
    <w:rsid w:val="6C6C0C0B"/>
    <w:rsid w:val="6D1A1CA8"/>
    <w:rsid w:val="6D515920"/>
    <w:rsid w:val="6E536D04"/>
    <w:rsid w:val="6ECE59FA"/>
    <w:rsid w:val="70252D21"/>
    <w:rsid w:val="70714ACC"/>
    <w:rsid w:val="7094446A"/>
    <w:rsid w:val="71687EFC"/>
    <w:rsid w:val="7188710F"/>
    <w:rsid w:val="71A31A49"/>
    <w:rsid w:val="72D066A1"/>
    <w:rsid w:val="747538CB"/>
    <w:rsid w:val="76D7777C"/>
    <w:rsid w:val="77BE4B12"/>
    <w:rsid w:val="791D2C5A"/>
    <w:rsid w:val="79B246C1"/>
    <w:rsid w:val="79E30325"/>
    <w:rsid w:val="7AB95243"/>
    <w:rsid w:val="7CEE7E1A"/>
    <w:rsid w:val="7D2F5A9F"/>
    <w:rsid w:val="7DA27021"/>
    <w:rsid w:val="7EBA7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2024-09-09T06:15:00Z</dcterms:created>
  <dc:creator>唐人</dc:creator>
  <cp:lastModifiedBy>周卒</cp:lastModifiedBy>
  <dcterms:modified xsi:type="dcterms:W3CDTF">2024-09-18T02:37:36Z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7EBFA21484E54A2DA4F5A359393B29ED</vt:lpwstr>
  </property>
</Properties>
</file>