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042EE">
      <w:pPr>
        <w:pStyle w:val="2"/>
        <w:keepNext w:val="0"/>
        <w:keepLines w:val="0"/>
        <w:widowControl/>
        <w:suppressLineNumbers w:val="0"/>
        <w:jc w:val="left"/>
        <w:rPr>
          <w:highlight w:val="none"/>
        </w:rPr>
      </w:pPr>
    </w:p>
    <w:p w14:paraId="079DB353">
      <w:pPr>
        <w:pStyle w:val="2"/>
        <w:keepNext w:val="0"/>
        <w:keepLines w:val="0"/>
        <w:widowControl/>
        <w:suppressLineNumbers w:val="0"/>
        <w:jc w:val="left"/>
        <w:rPr>
          <w:highlight w:val="none"/>
        </w:rPr>
      </w:pPr>
    </w:p>
    <w:p w14:paraId="747566D3">
      <w:pPr>
        <w:pStyle w:val="2"/>
        <w:keepNext w:val="0"/>
        <w:keepLines w:val="0"/>
        <w:widowControl/>
        <w:suppressLineNumbers w:val="0"/>
        <w:jc w:val="center"/>
        <w:rPr>
          <w:highlight w:val="none"/>
        </w:rPr>
      </w:pPr>
      <w:r>
        <w:rPr>
          <w:rFonts w:hint="eastAsia" w:ascii="微软雅黑" w:hAnsi="微软雅黑" w:eastAsia="微软雅黑" w:cs="微软雅黑"/>
          <w:sz w:val="28"/>
          <w:szCs w:val="28"/>
          <w:highlight w:val="none"/>
          <w:u w:val="single"/>
          <w:lang w:val="en-US" w:eastAsia="zh-CN"/>
        </w:rPr>
        <w:t xml:space="preserve">  </w:t>
      </w:r>
      <w:r>
        <w:rPr>
          <w:rFonts w:hint="eastAsia" w:ascii="黑体" w:hAnsi="黑体" w:eastAsia="黑体" w:cs="黑体"/>
          <w:b/>
          <w:bCs/>
          <w:sz w:val="44"/>
          <w:szCs w:val="44"/>
          <w:highlight w:val="none"/>
          <w:u w:val="single"/>
          <w:lang w:val="en-US" w:eastAsia="zh-CN"/>
        </w:rPr>
        <w:t>三维植被网</w:t>
      </w:r>
      <w:r>
        <w:rPr>
          <w:rFonts w:hint="eastAsia" w:ascii="微软雅黑" w:hAnsi="微软雅黑" w:eastAsia="微软雅黑" w:cs="微软雅黑"/>
          <w:sz w:val="28"/>
          <w:szCs w:val="28"/>
          <w:highlight w:val="none"/>
          <w:u w:val="single"/>
          <w:lang w:val="en-US" w:eastAsia="zh-CN"/>
        </w:rPr>
        <w:t xml:space="preserve">  </w:t>
      </w:r>
      <w:r>
        <w:rPr>
          <w:rStyle w:val="6"/>
          <w:rFonts w:ascii="黑体" w:hAnsi="宋体" w:eastAsia="黑体" w:cs="黑体"/>
          <w:sz w:val="44"/>
          <w:szCs w:val="44"/>
          <w:highlight w:val="none"/>
        </w:rPr>
        <w:t>采购招标文件</w:t>
      </w:r>
    </w:p>
    <w:p w14:paraId="70C24C91">
      <w:pPr>
        <w:pStyle w:val="2"/>
        <w:keepNext w:val="0"/>
        <w:keepLines w:val="0"/>
        <w:widowControl/>
        <w:suppressLineNumbers w:val="0"/>
        <w:wordWrap w:val="0"/>
        <w:jc w:val="right"/>
        <w:rPr>
          <w:rFonts w:hint="default" w:eastAsia="黑体"/>
          <w:highlight w:val="none"/>
          <w:lang w:val="en-US" w:eastAsia="zh-CN"/>
        </w:rPr>
      </w:pPr>
      <w:r>
        <w:rPr>
          <w:rStyle w:val="6"/>
          <w:rFonts w:hint="eastAsia" w:ascii="黑体" w:hAnsi="宋体" w:eastAsia="黑体" w:cs="黑体"/>
          <w:sz w:val="28"/>
          <w:szCs w:val="28"/>
          <w:highlight w:val="none"/>
        </w:rPr>
        <w:t>招标编号：</w:t>
      </w:r>
      <w:r>
        <w:rPr>
          <w:rStyle w:val="6"/>
          <w:rFonts w:hint="eastAsia" w:ascii="黑体" w:hAnsi="宋体" w:eastAsia="黑体" w:cs="黑体"/>
          <w:sz w:val="28"/>
          <w:szCs w:val="28"/>
          <w:highlight w:val="none"/>
          <w:u w:val="single"/>
          <w:lang w:val="en-US" w:eastAsia="zh-CN"/>
        </w:rPr>
        <w:t>CLZB-202506-00137</w:t>
      </w:r>
    </w:p>
    <w:p w14:paraId="54885A1A">
      <w:pPr>
        <w:pStyle w:val="2"/>
        <w:keepNext w:val="0"/>
        <w:keepLines w:val="0"/>
        <w:widowControl/>
        <w:suppressLineNumbers w:val="0"/>
        <w:ind w:right="-24"/>
        <w:jc w:val="both"/>
        <w:rPr>
          <w:highlight w:val="none"/>
        </w:rPr>
      </w:pPr>
    </w:p>
    <w:p w14:paraId="14A4D81B">
      <w:pPr>
        <w:pStyle w:val="2"/>
        <w:keepNext w:val="0"/>
        <w:keepLines w:val="0"/>
        <w:widowControl/>
        <w:suppressLineNumbers w:val="0"/>
        <w:jc w:val="both"/>
        <w:rPr>
          <w:highlight w:val="none"/>
        </w:rPr>
      </w:pPr>
      <w:r>
        <w:rPr>
          <w:rStyle w:val="6"/>
          <w:rFonts w:hint="eastAsia" w:ascii="宋体" w:hAnsi="宋体" w:eastAsia="宋体" w:cs="宋体"/>
          <w:sz w:val="28"/>
          <w:szCs w:val="28"/>
          <w:highlight w:val="none"/>
        </w:rPr>
        <w:t>单位名称：</w:t>
      </w:r>
      <w:r>
        <w:rPr>
          <w:rFonts w:hint="eastAsia" w:ascii="微软雅黑" w:hAnsi="微软雅黑" w:eastAsia="微软雅黑" w:cs="微软雅黑"/>
          <w:sz w:val="28"/>
          <w:szCs w:val="28"/>
          <w:highlight w:val="none"/>
          <w:u w:val="single"/>
          <w:lang w:val="en-US" w:eastAsia="zh-CN"/>
        </w:rPr>
        <w:t>河北建设集团天阜建筑工程有限公司</w:t>
      </w:r>
    </w:p>
    <w:p w14:paraId="01C61F35">
      <w:pPr>
        <w:pStyle w:val="2"/>
        <w:keepNext w:val="0"/>
        <w:keepLines w:val="0"/>
        <w:widowControl/>
        <w:suppressLineNumbers w:val="0"/>
        <w:jc w:val="both"/>
        <w:rPr>
          <w:highlight w:val="none"/>
        </w:rPr>
      </w:pPr>
    </w:p>
    <w:p w14:paraId="7CCD8413">
      <w:pPr>
        <w:pStyle w:val="2"/>
        <w:keepNext w:val="0"/>
        <w:keepLines w:val="0"/>
        <w:widowControl/>
        <w:suppressLineNumbers w:val="0"/>
        <w:jc w:val="both"/>
        <w:rPr>
          <w:highlight w:val="none"/>
        </w:rPr>
      </w:pPr>
      <w:r>
        <w:rPr>
          <w:rStyle w:val="6"/>
          <w:rFonts w:hint="eastAsia" w:ascii="宋体" w:hAnsi="宋体" w:eastAsia="宋体" w:cs="宋体"/>
          <w:sz w:val="28"/>
          <w:szCs w:val="28"/>
          <w:highlight w:val="none"/>
        </w:rPr>
        <w:t>项目名称：</w:t>
      </w:r>
      <w:r>
        <w:rPr>
          <w:rFonts w:hint="eastAsia" w:ascii="微软雅黑" w:hAnsi="微软雅黑" w:eastAsia="微软雅黑" w:cs="微软雅黑"/>
          <w:sz w:val="28"/>
          <w:szCs w:val="28"/>
          <w:highlight w:val="none"/>
          <w:u w:val="single"/>
        </w:rPr>
        <w:t>阜平县胭脂河治理工程施工</w:t>
      </w:r>
    </w:p>
    <w:p w14:paraId="71B1F61A">
      <w:pPr>
        <w:pStyle w:val="2"/>
        <w:keepNext w:val="0"/>
        <w:keepLines w:val="0"/>
        <w:widowControl/>
        <w:suppressLineNumbers w:val="0"/>
        <w:jc w:val="both"/>
        <w:rPr>
          <w:highlight w:val="none"/>
        </w:rPr>
      </w:pPr>
    </w:p>
    <w:p w14:paraId="4668310F">
      <w:pPr>
        <w:pStyle w:val="2"/>
        <w:keepNext w:val="0"/>
        <w:keepLines w:val="0"/>
        <w:widowControl/>
        <w:suppressLineNumbers w:val="0"/>
        <w:jc w:val="both"/>
        <w:rPr>
          <w:rFonts w:hint="eastAsia" w:ascii="微软雅黑" w:hAnsi="微软雅黑" w:eastAsia="微软雅黑" w:cs="微软雅黑"/>
          <w:sz w:val="28"/>
          <w:szCs w:val="28"/>
          <w:highlight w:val="none"/>
          <w:u w:val="single"/>
          <w:lang w:val="en-US" w:eastAsia="zh-CN"/>
        </w:rPr>
      </w:pPr>
      <w:r>
        <w:rPr>
          <w:rStyle w:val="6"/>
          <w:rFonts w:hint="eastAsia" w:ascii="宋体" w:hAnsi="宋体" w:eastAsia="宋体" w:cs="宋体"/>
          <w:sz w:val="28"/>
          <w:szCs w:val="28"/>
          <w:highlight w:val="none"/>
        </w:rPr>
        <w:t>招标编号：</w:t>
      </w:r>
      <w:r>
        <w:rPr>
          <w:rFonts w:hint="eastAsia" w:ascii="微软雅黑" w:hAnsi="微软雅黑" w:eastAsia="微软雅黑" w:cs="微软雅黑"/>
          <w:sz w:val="28"/>
          <w:szCs w:val="28"/>
          <w:highlight w:val="none"/>
          <w:u w:val="single"/>
          <w:lang w:val="en-US" w:eastAsia="zh-CN"/>
        </w:rPr>
        <w:t>CLZB-202506-00137</w:t>
      </w:r>
    </w:p>
    <w:p w14:paraId="5D2EBC3B">
      <w:pPr>
        <w:pStyle w:val="2"/>
        <w:keepNext w:val="0"/>
        <w:keepLines w:val="0"/>
        <w:widowControl/>
        <w:suppressLineNumbers w:val="0"/>
        <w:jc w:val="both"/>
        <w:rPr>
          <w:rFonts w:hint="eastAsia" w:ascii="微软雅黑" w:hAnsi="微软雅黑" w:eastAsia="微软雅黑" w:cs="微软雅黑"/>
          <w:sz w:val="28"/>
          <w:szCs w:val="28"/>
          <w:highlight w:val="none"/>
          <w:u w:val="single"/>
          <w:lang w:val="en-US" w:eastAsia="zh-CN"/>
        </w:rPr>
      </w:pPr>
    </w:p>
    <w:p w14:paraId="5978B9D8">
      <w:pPr>
        <w:pStyle w:val="2"/>
        <w:keepNext w:val="0"/>
        <w:keepLines w:val="0"/>
        <w:widowControl/>
        <w:suppressLineNumbers w:val="0"/>
        <w:jc w:val="both"/>
        <w:rPr>
          <w:rFonts w:hint="eastAsia" w:ascii="微软雅黑" w:hAnsi="微软雅黑" w:eastAsia="微软雅黑" w:cs="微软雅黑"/>
          <w:sz w:val="28"/>
          <w:szCs w:val="28"/>
          <w:highlight w:val="none"/>
          <w:u w:val="single"/>
          <w:lang w:val="en-US" w:eastAsia="zh-CN"/>
        </w:rPr>
      </w:pPr>
      <w:r>
        <w:rPr>
          <w:rStyle w:val="6"/>
          <w:rFonts w:hint="eastAsia" w:ascii="宋体" w:hAnsi="宋体" w:eastAsia="宋体" w:cs="宋体"/>
          <w:sz w:val="28"/>
          <w:szCs w:val="28"/>
          <w:highlight w:val="none"/>
        </w:rPr>
        <w:t>联系人：</w:t>
      </w:r>
      <w:r>
        <w:rPr>
          <w:rFonts w:hint="eastAsia" w:ascii="微软雅黑" w:hAnsi="微软雅黑" w:eastAsia="微软雅黑" w:cs="微软雅黑"/>
          <w:sz w:val="28"/>
          <w:szCs w:val="28"/>
          <w:highlight w:val="none"/>
          <w:u w:val="single"/>
          <w:lang w:val="en-US" w:eastAsia="zh-CN"/>
        </w:rPr>
        <w:t>薛超群</w:t>
      </w:r>
    </w:p>
    <w:p w14:paraId="4D8FFA74">
      <w:pPr>
        <w:pStyle w:val="2"/>
        <w:keepNext w:val="0"/>
        <w:keepLines w:val="0"/>
        <w:widowControl/>
        <w:suppressLineNumbers w:val="0"/>
        <w:jc w:val="both"/>
        <w:rPr>
          <w:rFonts w:hint="eastAsia" w:ascii="微软雅黑" w:hAnsi="微软雅黑" w:eastAsia="微软雅黑" w:cs="微软雅黑"/>
          <w:sz w:val="28"/>
          <w:szCs w:val="28"/>
          <w:highlight w:val="none"/>
          <w:u w:val="single"/>
          <w:lang w:val="en-US" w:eastAsia="zh-CN"/>
        </w:rPr>
      </w:pPr>
    </w:p>
    <w:p w14:paraId="520FDFD7">
      <w:pPr>
        <w:rPr>
          <w:rFonts w:hint="default"/>
          <w:sz w:val="28"/>
          <w:highlight w:val="none"/>
          <w:lang w:val="en-US"/>
        </w:rPr>
      </w:pPr>
      <w:r>
        <w:rPr>
          <w:rStyle w:val="6"/>
          <w:rFonts w:hint="eastAsia" w:ascii="宋体" w:hAnsi="宋体" w:eastAsia="宋体" w:cs="宋体"/>
          <w:sz w:val="28"/>
          <w:szCs w:val="28"/>
          <w:highlight w:val="none"/>
        </w:rPr>
        <w:t>电</w:t>
      </w:r>
      <w:r>
        <w:rPr>
          <w:rStyle w:val="6"/>
          <w:sz w:val="21"/>
          <w:szCs w:val="21"/>
          <w:highlight w:val="none"/>
        </w:rPr>
        <w:t xml:space="preserve"> </w:t>
      </w:r>
      <w:r>
        <w:rPr>
          <w:rStyle w:val="6"/>
          <w:rFonts w:hint="eastAsia" w:ascii="宋体" w:hAnsi="宋体" w:eastAsia="宋体" w:cs="宋体"/>
          <w:sz w:val="28"/>
          <w:szCs w:val="28"/>
          <w:highlight w:val="none"/>
        </w:rPr>
        <w:t>话：</w:t>
      </w:r>
      <w:r>
        <w:rPr>
          <w:rFonts w:hint="eastAsia" w:ascii="微软雅黑" w:hAnsi="微软雅黑" w:eastAsia="微软雅黑" w:cs="微软雅黑"/>
          <w:kern w:val="0"/>
          <w:sz w:val="28"/>
          <w:szCs w:val="28"/>
          <w:highlight w:val="none"/>
          <w:u w:val="single"/>
          <w:lang w:val="en-US" w:eastAsia="zh-CN" w:bidi="ar"/>
        </w:rPr>
        <w:t>13292207802</w:t>
      </w:r>
    </w:p>
    <w:p w14:paraId="57B30A4A">
      <w:pPr>
        <w:pStyle w:val="2"/>
        <w:keepNext w:val="0"/>
        <w:keepLines w:val="0"/>
        <w:widowControl/>
        <w:suppressLineNumbers w:val="0"/>
        <w:jc w:val="both"/>
        <w:rPr>
          <w:highlight w:val="none"/>
        </w:rPr>
      </w:pPr>
    </w:p>
    <w:p w14:paraId="1EC10704">
      <w:pPr>
        <w:pStyle w:val="2"/>
        <w:keepNext w:val="0"/>
        <w:keepLines w:val="0"/>
        <w:widowControl/>
        <w:suppressLineNumbers w:val="0"/>
        <w:jc w:val="both"/>
        <w:rPr>
          <w:highlight w:val="none"/>
        </w:rPr>
      </w:pPr>
    </w:p>
    <w:p w14:paraId="10086A21">
      <w:pPr>
        <w:jc w:val="center"/>
        <w:rPr>
          <w:rFonts w:hint="default" w:eastAsia="宋体"/>
          <w:sz w:val="28"/>
          <w:highlight w:val="none"/>
          <w:lang w:val="en-US" w:eastAsia="zh-CN"/>
        </w:rPr>
      </w:pPr>
      <w:r>
        <w:rPr>
          <w:rFonts w:hint="eastAsia"/>
          <w:sz w:val="28"/>
          <w:highlight w:val="none"/>
          <w:lang w:val="en-US" w:eastAsia="zh-CN"/>
        </w:rPr>
        <w:t xml:space="preserve">                           </w:t>
      </w:r>
      <w:r>
        <w:rPr>
          <w:rFonts w:hint="eastAsia" w:ascii="微软雅黑" w:hAnsi="微软雅黑" w:eastAsia="微软雅黑" w:cs="微软雅黑"/>
          <w:sz w:val="28"/>
          <w:szCs w:val="28"/>
          <w:highlight w:val="none"/>
          <w:u w:val="single"/>
          <w:lang w:val="en-US" w:eastAsia="zh-CN"/>
        </w:rPr>
        <w:t>河北建设集团天阜建筑工程有限公司</w:t>
      </w:r>
    </w:p>
    <w:p w14:paraId="5CDFCC58">
      <w:pPr>
        <w:pStyle w:val="2"/>
        <w:keepNext w:val="0"/>
        <w:keepLines w:val="0"/>
        <w:widowControl/>
        <w:suppressLineNumbers w:val="0"/>
        <w:jc w:val="right"/>
        <w:rPr>
          <w:highlight w:val="none"/>
        </w:rPr>
      </w:pPr>
      <w:r>
        <w:rPr>
          <w:sz w:val="28"/>
          <w:szCs w:val="28"/>
          <w:highlight w:val="none"/>
          <w:u w:val="single"/>
        </w:rPr>
        <w:t xml:space="preserve"> </w:t>
      </w:r>
      <w:r>
        <w:rPr>
          <w:rFonts w:hint="eastAsia" w:ascii="微软雅黑" w:hAnsi="微软雅黑" w:eastAsia="微软雅黑" w:cs="微软雅黑"/>
          <w:sz w:val="28"/>
          <w:szCs w:val="28"/>
          <w:highlight w:val="none"/>
          <w:u w:val="single"/>
          <w:lang w:val="en-US" w:eastAsia="zh-CN"/>
        </w:rPr>
        <w:t>2025年06月05日</w:t>
      </w:r>
      <w:r>
        <w:rPr>
          <w:sz w:val="21"/>
          <w:szCs w:val="21"/>
          <w:highlight w:val="none"/>
        </w:rPr>
        <w:t xml:space="preserve"> </w:t>
      </w:r>
    </w:p>
    <w:p w14:paraId="6AAB7674">
      <w:pPr>
        <w:pStyle w:val="2"/>
        <w:keepNext w:val="0"/>
        <w:keepLines w:val="0"/>
        <w:widowControl/>
        <w:suppressLineNumbers w:val="0"/>
        <w:rPr>
          <w:highlight w:val="none"/>
        </w:rPr>
      </w:pPr>
    </w:p>
    <w:p w14:paraId="213C50C7">
      <w:pPr>
        <w:pStyle w:val="2"/>
        <w:keepNext w:val="0"/>
        <w:keepLines w:val="0"/>
        <w:widowControl/>
        <w:suppressLineNumbers w:val="0"/>
        <w:jc w:val="left"/>
        <w:rPr>
          <w:highlight w:val="none"/>
        </w:rPr>
      </w:pPr>
    </w:p>
    <w:p w14:paraId="42DEFE4F">
      <w:pPr>
        <w:pStyle w:val="2"/>
        <w:keepNext w:val="0"/>
        <w:keepLines w:val="0"/>
        <w:widowControl/>
        <w:suppressLineNumbers w:val="0"/>
        <w:jc w:val="both"/>
        <w:rPr>
          <w:highlight w:val="none"/>
        </w:rPr>
      </w:pPr>
    </w:p>
    <w:p w14:paraId="323FBB46">
      <w:pPr>
        <w:pStyle w:val="2"/>
        <w:keepNext w:val="0"/>
        <w:keepLines w:val="0"/>
        <w:widowControl/>
        <w:suppressLineNumbers w:val="0"/>
        <w:jc w:val="center"/>
        <w:rPr>
          <w:highlight w:val="none"/>
        </w:rPr>
      </w:pPr>
      <w:r>
        <w:rPr>
          <w:rStyle w:val="6"/>
          <w:rFonts w:hint="eastAsia" w:ascii="宋体" w:hAnsi="宋体" w:eastAsia="宋体" w:cs="宋体"/>
          <w:color w:val="000000"/>
          <w:sz w:val="36"/>
          <w:szCs w:val="36"/>
          <w:highlight w:val="none"/>
          <w:shd w:val="clear" w:fill="FFFFFF"/>
        </w:rPr>
        <w:t>招标文件</w:t>
      </w:r>
    </w:p>
    <w:p w14:paraId="2DF25E01">
      <w:pPr>
        <w:pStyle w:val="2"/>
        <w:keepNext w:val="0"/>
        <w:keepLines w:val="0"/>
        <w:widowControl/>
        <w:suppressLineNumbers w:val="0"/>
        <w:rPr>
          <w:highlight w:val="none"/>
        </w:rPr>
      </w:pPr>
    </w:p>
    <w:p w14:paraId="67C1D974">
      <w:pPr>
        <w:pStyle w:val="2"/>
        <w:keepNext w:val="0"/>
        <w:keepLines w:val="0"/>
        <w:widowControl/>
        <w:suppressLineNumbers w:val="0"/>
        <w:rPr>
          <w:highlight w:val="none"/>
        </w:rPr>
      </w:pPr>
    </w:p>
    <w:p w14:paraId="38D56E62">
      <w:pPr>
        <w:pStyle w:val="2"/>
        <w:keepNext w:val="0"/>
        <w:keepLines w:val="0"/>
        <w:widowControl/>
        <w:suppressLineNumbers w:val="0"/>
        <w:jc w:val="both"/>
        <w:rPr>
          <w:highlight w:val="none"/>
        </w:rPr>
      </w:pPr>
    </w:p>
    <w:p w14:paraId="1F9E572C">
      <w:pPr>
        <w:pStyle w:val="2"/>
        <w:keepNext w:val="0"/>
        <w:keepLines w:val="0"/>
        <w:widowControl/>
        <w:suppressLineNumbers w:val="0"/>
        <w:jc w:val="both"/>
        <w:rPr>
          <w:highlight w:val="none"/>
        </w:rPr>
      </w:pPr>
      <w:r>
        <w:rPr>
          <w:rStyle w:val="6"/>
          <w:rFonts w:hint="eastAsia" w:ascii="宋体" w:hAnsi="宋体" w:eastAsia="宋体" w:cs="宋体"/>
          <w:sz w:val="24"/>
          <w:szCs w:val="24"/>
          <w:highlight w:val="none"/>
        </w:rPr>
        <w:t>第一条： 工程概况</w:t>
      </w:r>
    </w:p>
    <w:p w14:paraId="64C72BD8">
      <w:pPr>
        <w:pStyle w:val="2"/>
        <w:keepNext w:val="0"/>
        <w:keepLines w:val="0"/>
        <w:widowControl/>
        <w:suppressLineNumbers w:val="0"/>
        <w:ind w:left="480"/>
        <w:jc w:val="both"/>
        <w:rPr>
          <w:rFonts w:hint="default" w:eastAsia="仿宋"/>
          <w:highlight w:val="none"/>
          <w:lang w:val="en-US" w:eastAsia="zh-CN"/>
        </w:rPr>
      </w:pPr>
      <w:r>
        <w:rPr>
          <w:rStyle w:val="6"/>
          <w:rFonts w:ascii="仿宋" w:hAnsi="仿宋" w:eastAsia="仿宋" w:cs="仿宋"/>
          <w:sz w:val="24"/>
          <w:szCs w:val="24"/>
          <w:highlight w:val="none"/>
        </w:rPr>
        <w:t>1、工程名称：</w:t>
      </w:r>
      <w:r>
        <w:rPr>
          <w:rFonts w:hint="eastAsia" w:ascii="微软雅黑" w:hAnsi="微软雅黑" w:eastAsia="微软雅黑" w:cs="微软雅黑"/>
          <w:sz w:val="21"/>
          <w:szCs w:val="21"/>
          <w:highlight w:val="none"/>
          <w:u w:val="single"/>
        </w:rPr>
        <w:t>阜平县胭脂河治理工程施工</w:t>
      </w:r>
    </w:p>
    <w:p w14:paraId="07540F48">
      <w:pPr>
        <w:pStyle w:val="2"/>
        <w:keepNext w:val="0"/>
        <w:keepLines w:val="0"/>
        <w:widowControl/>
        <w:suppressLineNumbers w:val="0"/>
        <w:ind w:left="480"/>
        <w:jc w:val="both"/>
        <w:rPr>
          <w:rFonts w:hint="eastAsia" w:ascii="微软雅黑" w:hAnsi="微软雅黑" w:eastAsia="微软雅黑" w:cs="微软雅黑"/>
          <w:sz w:val="21"/>
          <w:szCs w:val="21"/>
          <w:highlight w:val="none"/>
          <w:u w:val="single"/>
          <w:lang w:val="en-US" w:eastAsia="zh-CN"/>
        </w:rPr>
      </w:pPr>
      <w:r>
        <w:rPr>
          <w:rStyle w:val="6"/>
          <w:rFonts w:hint="eastAsia" w:ascii="仿宋" w:hAnsi="仿宋" w:eastAsia="仿宋" w:cs="仿宋"/>
          <w:sz w:val="24"/>
          <w:szCs w:val="24"/>
          <w:highlight w:val="none"/>
        </w:rPr>
        <w:t>2、工程地点：</w:t>
      </w:r>
      <w:r>
        <w:rPr>
          <w:rFonts w:hint="eastAsia" w:ascii="微软雅黑" w:hAnsi="微软雅黑" w:eastAsia="微软雅黑" w:cs="微软雅黑"/>
          <w:sz w:val="21"/>
          <w:szCs w:val="21"/>
          <w:highlight w:val="none"/>
          <w:u w:val="single"/>
        </w:rPr>
        <w:t>保定市阜平县</w:t>
      </w:r>
      <w:r>
        <w:rPr>
          <w:rFonts w:hint="eastAsia" w:ascii="微软雅黑" w:hAnsi="微软雅黑" w:eastAsia="微软雅黑" w:cs="微软雅黑"/>
          <w:sz w:val="21"/>
          <w:szCs w:val="21"/>
          <w:highlight w:val="none"/>
          <w:u w:val="single"/>
          <w:lang w:val="en-US" w:eastAsia="zh-CN"/>
        </w:rPr>
        <w:t>胭脂河段</w:t>
      </w:r>
    </w:p>
    <w:p w14:paraId="3F924465">
      <w:pPr>
        <w:pStyle w:val="2"/>
        <w:keepNext w:val="0"/>
        <w:keepLines w:val="0"/>
        <w:widowControl/>
        <w:suppressLineNumbers w:val="0"/>
        <w:ind w:left="480"/>
        <w:jc w:val="both"/>
        <w:rPr>
          <w:rFonts w:hint="eastAsia" w:ascii="微软雅黑" w:hAnsi="微软雅黑" w:eastAsia="微软雅黑" w:cs="微软雅黑"/>
          <w:sz w:val="21"/>
          <w:szCs w:val="21"/>
          <w:highlight w:val="none"/>
          <w:u w:val="single"/>
        </w:rPr>
      </w:pPr>
      <w:r>
        <w:rPr>
          <w:rStyle w:val="6"/>
          <w:rFonts w:hint="eastAsia" w:ascii="仿宋" w:hAnsi="仿宋" w:eastAsia="仿宋" w:cs="仿宋"/>
          <w:sz w:val="24"/>
          <w:szCs w:val="24"/>
          <w:highlight w:val="none"/>
        </w:rPr>
        <w:t>3、建设单位：</w:t>
      </w:r>
      <w:r>
        <w:rPr>
          <w:rFonts w:hint="eastAsia" w:ascii="微软雅黑" w:hAnsi="微软雅黑" w:eastAsia="微软雅黑" w:cs="微软雅黑"/>
          <w:sz w:val="21"/>
          <w:szCs w:val="21"/>
          <w:highlight w:val="none"/>
          <w:u w:val="single"/>
        </w:rPr>
        <w:t>阜平县农业农村和水利局</w:t>
      </w:r>
    </w:p>
    <w:p w14:paraId="52D10DD6">
      <w:pPr>
        <w:pStyle w:val="2"/>
        <w:keepNext w:val="0"/>
        <w:keepLines w:val="0"/>
        <w:widowControl/>
        <w:suppressLineNumbers w:val="0"/>
        <w:ind w:left="480" w:right="199" w:rightChars="95"/>
        <w:jc w:val="both"/>
        <w:rPr>
          <w:rStyle w:val="6"/>
          <w:rFonts w:hint="default" w:ascii="仿宋" w:hAnsi="仿宋" w:eastAsia="仿宋" w:cs="仿宋"/>
          <w:sz w:val="21"/>
          <w:szCs w:val="21"/>
          <w:highlight w:val="none"/>
          <w:u w:val="single"/>
          <w:lang w:val="en-US" w:eastAsia="zh-CN"/>
        </w:rPr>
      </w:pPr>
      <w:r>
        <w:rPr>
          <w:rStyle w:val="6"/>
          <w:rFonts w:hint="eastAsia" w:ascii="仿宋" w:hAnsi="仿宋" w:eastAsia="仿宋" w:cs="仿宋"/>
          <w:sz w:val="24"/>
          <w:szCs w:val="24"/>
          <w:highlight w:val="none"/>
        </w:rPr>
        <w:t>4、工程概况：</w:t>
      </w:r>
      <w:r>
        <w:rPr>
          <w:rFonts w:ascii="微软雅黑" w:hAnsi="微软雅黑" w:eastAsia="微软雅黑" w:cs="微软雅黑"/>
          <w:color w:val="000000"/>
          <w:sz w:val="21"/>
          <w:szCs w:val="21"/>
          <w:highlight w:val="none"/>
          <w:u w:val="single"/>
        </w:rPr>
        <w:t>治理长度</w:t>
      </w:r>
      <w:r>
        <w:rPr>
          <w:rFonts w:hint="eastAsia" w:ascii="微软雅黑" w:hAnsi="微软雅黑" w:eastAsia="微软雅黑" w:cs="微软雅黑"/>
          <w:color w:val="000000"/>
          <w:sz w:val="21"/>
          <w:szCs w:val="21"/>
          <w:highlight w:val="none"/>
          <w:u w:val="single"/>
        </w:rPr>
        <w:t>51km，包括河道清淤疏浚、新建及改建堤防、岸坡防护等工程。其中水毁修复段位于城南庄镇共计770m。</w:t>
      </w:r>
    </w:p>
    <w:p w14:paraId="17EEF934">
      <w:pPr>
        <w:pStyle w:val="2"/>
        <w:keepNext w:val="0"/>
        <w:keepLines w:val="0"/>
        <w:widowControl/>
        <w:suppressLineNumbers w:val="0"/>
        <w:jc w:val="both"/>
        <w:rPr>
          <w:highlight w:val="none"/>
        </w:rPr>
      </w:pPr>
      <w:r>
        <w:rPr>
          <w:rStyle w:val="6"/>
          <w:rFonts w:hint="eastAsia" w:ascii="宋体" w:hAnsi="宋体" w:eastAsia="宋体" w:cs="宋体"/>
          <w:sz w:val="24"/>
          <w:szCs w:val="24"/>
          <w:highlight w:val="none"/>
        </w:rPr>
        <w:t>第二条： 招标要求</w:t>
      </w:r>
    </w:p>
    <w:p w14:paraId="672FF94E">
      <w:pPr>
        <w:pStyle w:val="2"/>
        <w:keepNext w:val="0"/>
        <w:keepLines w:val="0"/>
        <w:widowControl/>
        <w:suppressLineNumbers w:val="0"/>
        <w:ind w:firstLine="482" w:firstLineChars="200"/>
        <w:jc w:val="both"/>
        <w:rPr>
          <w:rFonts w:hint="default" w:eastAsia="仿宋"/>
          <w:sz w:val="21"/>
          <w:szCs w:val="21"/>
          <w:highlight w:val="none"/>
          <w:lang w:val="en-US" w:eastAsia="zh-CN"/>
        </w:rPr>
      </w:pPr>
      <w:r>
        <w:rPr>
          <w:rStyle w:val="6"/>
          <w:rFonts w:hint="eastAsia" w:ascii="仿宋" w:hAnsi="仿宋" w:eastAsia="仿宋" w:cs="仿宋"/>
          <w:sz w:val="24"/>
          <w:szCs w:val="24"/>
          <w:highlight w:val="none"/>
        </w:rPr>
        <w:t>1、招标方式：</w:t>
      </w:r>
      <w:r>
        <w:rPr>
          <w:rFonts w:hint="eastAsia" w:ascii="仿宋" w:hAnsi="仿宋" w:eastAsia="仿宋" w:cs="仿宋"/>
          <w:b/>
          <w:bCs/>
          <w:sz w:val="21"/>
          <w:szCs w:val="21"/>
          <w:highlight w:val="none"/>
          <w:u w:val="single"/>
        </w:rPr>
        <w:t>公开</w:t>
      </w:r>
      <w:r>
        <w:rPr>
          <w:rStyle w:val="6"/>
          <w:rFonts w:hint="eastAsia" w:ascii="仿宋" w:hAnsi="仿宋" w:eastAsia="仿宋" w:cs="仿宋"/>
          <w:sz w:val="21"/>
          <w:szCs w:val="21"/>
          <w:highlight w:val="none"/>
          <w:u w:val="single"/>
          <w:lang w:val="en-US" w:eastAsia="zh-CN"/>
        </w:rPr>
        <w:t>。</w:t>
      </w:r>
    </w:p>
    <w:p w14:paraId="079B327A">
      <w:pPr>
        <w:pStyle w:val="2"/>
        <w:keepNext w:val="0"/>
        <w:keepLines w:val="0"/>
        <w:widowControl/>
        <w:suppressLineNumbers w:val="0"/>
        <w:ind w:left="480" w:right="420" w:rightChars="200"/>
        <w:jc w:val="both"/>
        <w:rPr>
          <w:rFonts w:hint="eastAsia" w:ascii="仿宋" w:hAnsi="仿宋" w:eastAsia="仿宋" w:cs="仿宋"/>
          <w:b/>
          <w:bCs/>
          <w:sz w:val="24"/>
          <w:szCs w:val="24"/>
          <w:highlight w:val="none"/>
          <w:u w:val="single"/>
          <w:lang w:val="en-US" w:eastAsia="zh-CN"/>
        </w:rPr>
      </w:pPr>
      <w:r>
        <w:rPr>
          <w:rStyle w:val="6"/>
          <w:rFonts w:hint="eastAsia" w:ascii="仿宋" w:hAnsi="仿宋" w:eastAsia="仿宋" w:cs="仿宋"/>
          <w:sz w:val="24"/>
          <w:szCs w:val="24"/>
          <w:highlight w:val="none"/>
        </w:rPr>
        <w:t>2、质量要求</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u w:val="single"/>
          <w:lang w:eastAsia="zh-CN"/>
        </w:rPr>
        <w:t>三维植被网采用绿色NSS塑料三维土工网，其单位面积质量≥260g/㎡，材料厚度≥12㎜，纵横向拉伸强度≥4KN/m，抗光老化等级应达到Ⅲ级，其他性能指标应符合《公路工程土工合成材料试验规程》JTG E50-2006规定。</w:t>
      </w:r>
    </w:p>
    <w:p w14:paraId="0A4BA4B5">
      <w:pPr>
        <w:pStyle w:val="2"/>
        <w:keepNext w:val="0"/>
        <w:keepLines w:val="0"/>
        <w:widowControl/>
        <w:suppressLineNumbers w:val="0"/>
        <w:ind w:left="480"/>
        <w:jc w:val="both"/>
        <w:rPr>
          <w:rFonts w:hint="default" w:eastAsia="仿宋"/>
          <w:highlight w:val="none"/>
          <w:lang w:val="en-US" w:eastAsia="zh-CN"/>
        </w:rPr>
      </w:pPr>
      <w:r>
        <w:rPr>
          <w:rStyle w:val="6"/>
          <w:rFonts w:hint="eastAsia" w:ascii="仿宋" w:hAnsi="仿宋" w:eastAsia="仿宋" w:cs="仿宋"/>
          <w:sz w:val="24"/>
          <w:szCs w:val="24"/>
          <w:highlight w:val="none"/>
        </w:rPr>
        <w:t>3、交货地点：</w:t>
      </w:r>
      <w:r>
        <w:rPr>
          <w:rStyle w:val="6"/>
          <w:rFonts w:hint="eastAsia" w:ascii="仿宋" w:hAnsi="仿宋" w:eastAsia="仿宋" w:cs="仿宋"/>
          <w:color w:val="000000" w:themeColor="text1"/>
          <w:sz w:val="24"/>
          <w:szCs w:val="24"/>
          <w:highlight w:val="none"/>
          <w:u w:val="single"/>
          <w:lang w:val="en-US" w:eastAsia="zh-CN"/>
          <w14:textFill>
            <w14:solidFill>
              <w14:schemeClr w14:val="tx1"/>
            </w14:solidFill>
          </w14:textFill>
        </w:rPr>
        <w:t>保定市阜平县胭脂河段</w:t>
      </w:r>
      <w:r>
        <w:rPr>
          <w:rStyle w:val="6"/>
          <w:rFonts w:ascii="仿宋" w:hAnsi="仿宋" w:eastAsia="仿宋" w:cs="仿宋"/>
          <w:sz w:val="24"/>
          <w:szCs w:val="24"/>
          <w:highlight w:val="none"/>
          <w:u w:val="single"/>
        </w:rPr>
        <w:t>施工现场甲方指定位置</w:t>
      </w:r>
      <w:r>
        <w:rPr>
          <w:rStyle w:val="6"/>
          <w:rFonts w:hint="eastAsia" w:ascii="仿宋" w:hAnsi="仿宋" w:eastAsia="仿宋" w:cs="仿宋"/>
          <w:sz w:val="24"/>
          <w:szCs w:val="24"/>
          <w:highlight w:val="none"/>
          <w:u w:val="single"/>
          <w:lang w:val="en-US" w:eastAsia="zh-CN"/>
        </w:rPr>
        <w:t>。</w:t>
      </w:r>
    </w:p>
    <w:p w14:paraId="49F56B28">
      <w:pPr>
        <w:pStyle w:val="2"/>
        <w:keepNext w:val="0"/>
        <w:keepLines w:val="0"/>
        <w:widowControl/>
        <w:suppressLineNumbers w:val="0"/>
        <w:ind w:left="480"/>
        <w:jc w:val="both"/>
        <w:rPr>
          <w:rFonts w:hint="default" w:eastAsia="仿宋"/>
          <w:highlight w:val="none"/>
          <w:lang w:val="en-US" w:eastAsia="zh-CN"/>
        </w:rPr>
      </w:pPr>
      <w:r>
        <w:rPr>
          <w:rStyle w:val="6"/>
          <w:rFonts w:hint="eastAsia" w:ascii="仿宋" w:hAnsi="仿宋" w:eastAsia="仿宋" w:cs="仿宋"/>
          <w:sz w:val="24"/>
          <w:szCs w:val="24"/>
          <w:highlight w:val="none"/>
        </w:rPr>
        <w:t>4、交货日期：</w:t>
      </w:r>
      <w:r>
        <w:rPr>
          <w:rStyle w:val="6"/>
          <w:rFonts w:ascii="仿宋" w:hAnsi="仿宋" w:eastAsia="仿宋" w:cs="仿宋"/>
          <w:color w:val="000000"/>
          <w:sz w:val="24"/>
          <w:szCs w:val="24"/>
          <w:highlight w:val="none"/>
          <w:u w:val="single"/>
        </w:rPr>
        <w:t>以项目生产安排为准，产生实际需求前</w:t>
      </w:r>
      <w:r>
        <w:rPr>
          <w:rStyle w:val="6"/>
          <w:rFonts w:hint="eastAsia" w:ascii="仿宋" w:hAnsi="仿宋" w:eastAsia="仿宋" w:cs="仿宋"/>
          <w:color w:val="000000"/>
          <w:sz w:val="24"/>
          <w:szCs w:val="24"/>
          <w:highlight w:val="none"/>
          <w:u w:val="single"/>
          <w:lang w:val="en-US" w:eastAsia="zh-CN"/>
        </w:rPr>
        <w:t>1</w:t>
      </w:r>
      <w:r>
        <w:rPr>
          <w:rStyle w:val="6"/>
          <w:rFonts w:hint="eastAsia" w:ascii="仿宋" w:hAnsi="仿宋" w:eastAsia="仿宋" w:cs="仿宋"/>
          <w:color w:val="000000"/>
          <w:sz w:val="24"/>
          <w:szCs w:val="24"/>
          <w:highlight w:val="none"/>
          <w:u w:val="single"/>
        </w:rPr>
        <w:t>天通知中标单位。</w:t>
      </w:r>
    </w:p>
    <w:p w14:paraId="3F66718A">
      <w:pPr>
        <w:pStyle w:val="2"/>
        <w:keepNext w:val="0"/>
        <w:keepLines w:val="0"/>
        <w:widowControl/>
        <w:suppressLineNumbers w:val="0"/>
        <w:ind w:left="480"/>
        <w:jc w:val="both"/>
        <w:rPr>
          <w:highlight w:val="none"/>
        </w:rPr>
      </w:pPr>
      <w:r>
        <w:rPr>
          <w:rStyle w:val="6"/>
          <w:rFonts w:hint="eastAsia" w:ascii="仿宋" w:hAnsi="仿宋" w:eastAsia="仿宋" w:cs="仿宋"/>
          <w:sz w:val="24"/>
          <w:szCs w:val="24"/>
          <w:highlight w:val="none"/>
        </w:rPr>
        <w:t>5、</w:t>
      </w:r>
      <w:r>
        <w:rPr>
          <w:rStyle w:val="6"/>
          <w:rFonts w:hint="eastAsia" w:ascii="仿宋" w:hAnsi="仿宋" w:eastAsia="仿宋" w:cs="仿宋"/>
          <w:sz w:val="24"/>
          <w:szCs w:val="24"/>
          <w:highlight w:val="none"/>
          <w:lang w:val="en-US" w:eastAsia="zh-CN"/>
        </w:rPr>
        <w:t>货物</w:t>
      </w:r>
      <w:r>
        <w:rPr>
          <w:rStyle w:val="6"/>
          <w:rFonts w:hint="eastAsia" w:ascii="仿宋" w:hAnsi="仿宋" w:eastAsia="仿宋" w:cs="仿宋"/>
          <w:sz w:val="24"/>
          <w:szCs w:val="24"/>
          <w:highlight w:val="none"/>
        </w:rPr>
        <w:t>要求：</w:t>
      </w:r>
      <w:r>
        <w:rPr>
          <w:rStyle w:val="6"/>
          <w:rFonts w:ascii="仿宋" w:hAnsi="仿宋" w:eastAsia="仿宋" w:cs="仿宋"/>
          <w:color w:val="000000"/>
          <w:sz w:val="24"/>
          <w:szCs w:val="24"/>
          <w:highlight w:val="none"/>
          <w:u w:val="single"/>
        </w:rPr>
        <w:t>符合国家标准要求</w:t>
      </w:r>
    </w:p>
    <w:p w14:paraId="4534B342">
      <w:pPr>
        <w:pStyle w:val="2"/>
        <w:keepNext w:val="0"/>
        <w:keepLines w:val="0"/>
        <w:widowControl/>
        <w:suppressLineNumbers w:val="0"/>
        <w:ind w:left="480"/>
        <w:jc w:val="both"/>
        <w:rPr>
          <w:rStyle w:val="6"/>
          <w:rFonts w:hint="eastAsia" w:ascii="仿宋" w:hAnsi="仿宋" w:eastAsia="仿宋" w:cs="仿宋"/>
          <w:color w:val="000000"/>
          <w:sz w:val="24"/>
          <w:szCs w:val="24"/>
          <w:highlight w:val="none"/>
        </w:rPr>
      </w:pPr>
      <w:r>
        <w:rPr>
          <w:rStyle w:val="6"/>
          <w:rFonts w:hint="eastAsia" w:ascii="仿宋" w:hAnsi="仿宋" w:eastAsia="仿宋" w:cs="仿宋"/>
          <w:sz w:val="24"/>
          <w:szCs w:val="24"/>
          <w:highlight w:val="none"/>
        </w:rPr>
        <w:t>6、资料要求：</w:t>
      </w:r>
      <w:r>
        <w:rPr>
          <w:rStyle w:val="6"/>
          <w:rFonts w:hint="eastAsia" w:ascii="仿宋" w:hAnsi="仿宋" w:eastAsia="仿宋" w:cs="仿宋"/>
          <w:color w:val="000000"/>
          <w:sz w:val="24"/>
          <w:szCs w:val="24"/>
          <w:highlight w:val="none"/>
          <w:u w:val="single"/>
        </w:rPr>
        <w:t>提供符合施工要求的材料设备的产品检测报告及相关技术资料。</w:t>
      </w:r>
    </w:p>
    <w:p w14:paraId="4EECFAD6">
      <w:pPr>
        <w:pStyle w:val="2"/>
        <w:keepNext w:val="0"/>
        <w:keepLines w:val="0"/>
        <w:widowControl/>
        <w:suppressLineNumbers w:val="0"/>
        <w:ind w:left="480"/>
        <w:jc w:val="both"/>
        <w:rPr>
          <w:rFonts w:hint="default"/>
          <w:highlight w:val="none"/>
          <w:lang w:val="en-US"/>
        </w:rPr>
      </w:pPr>
      <w:r>
        <w:rPr>
          <w:rStyle w:val="6"/>
          <w:rFonts w:hint="eastAsia" w:ascii="仿宋" w:hAnsi="仿宋" w:eastAsia="仿宋" w:cs="仿宋"/>
          <w:sz w:val="24"/>
          <w:szCs w:val="24"/>
          <w:highlight w:val="none"/>
        </w:rPr>
        <w:t>7、其他要求：</w:t>
      </w:r>
      <w:r>
        <w:rPr>
          <w:rStyle w:val="6"/>
          <w:rFonts w:hint="eastAsia" w:ascii="仿宋" w:hAnsi="仿宋" w:eastAsia="仿宋" w:cs="仿宋"/>
          <w:sz w:val="24"/>
          <w:szCs w:val="24"/>
          <w:highlight w:val="none"/>
          <w:u w:val="single"/>
          <w:lang w:val="en-US" w:eastAsia="zh-CN"/>
        </w:rPr>
        <w:t>中标单位每次货物进场必须按甲方要求的规格数量进场。</w:t>
      </w:r>
      <w:r>
        <w:rPr>
          <w:rStyle w:val="6"/>
          <w:rFonts w:hint="eastAsia" w:ascii="仿宋" w:hAnsi="仿宋" w:eastAsia="仿宋" w:cs="仿宋"/>
          <w:sz w:val="24"/>
          <w:szCs w:val="24"/>
          <w:highlight w:val="none"/>
          <w:u w:val="single"/>
          <w:lang w:val="en-US" w:eastAsia="zh-CN"/>
        </w:rPr>
        <w:t>中标后需签订附件2质量承诺书。</w:t>
      </w:r>
    </w:p>
    <w:p w14:paraId="1E00AC40">
      <w:pPr>
        <w:pStyle w:val="2"/>
        <w:keepNext w:val="0"/>
        <w:keepLines w:val="0"/>
        <w:widowControl/>
        <w:suppressLineNumbers w:val="0"/>
        <w:ind w:left="480"/>
        <w:jc w:val="both"/>
        <w:rPr>
          <w:highlight w:val="none"/>
        </w:rPr>
      </w:pPr>
      <w:r>
        <w:rPr>
          <w:rStyle w:val="6"/>
          <w:rFonts w:hint="eastAsia" w:ascii="仿宋" w:hAnsi="仿宋" w:eastAsia="仿宋" w:cs="仿宋"/>
          <w:sz w:val="24"/>
          <w:szCs w:val="24"/>
          <w:highlight w:val="none"/>
        </w:rPr>
        <w:t>8、评标方法：</w:t>
      </w:r>
      <w:r>
        <w:rPr>
          <w:rFonts w:ascii="仿宋" w:hAnsi="仿宋" w:eastAsia="仿宋" w:cs="仿宋"/>
          <w:b/>
          <w:bCs/>
          <w:color w:val="000000"/>
          <w:sz w:val="24"/>
          <w:szCs w:val="24"/>
          <w:highlight w:val="none"/>
          <w:u w:val="single"/>
        </w:rPr>
        <w:t>合理最低价</w:t>
      </w:r>
      <w:r>
        <w:rPr>
          <w:rStyle w:val="6"/>
          <w:rFonts w:hint="eastAsia" w:ascii="仿宋" w:hAnsi="仿宋" w:eastAsia="仿宋" w:cs="仿宋"/>
          <w:color w:val="000000"/>
          <w:sz w:val="24"/>
          <w:szCs w:val="24"/>
          <w:highlight w:val="none"/>
        </w:rPr>
        <w:t>。</w:t>
      </w:r>
    </w:p>
    <w:p w14:paraId="50F6EACB">
      <w:pPr>
        <w:pStyle w:val="2"/>
        <w:keepNext w:val="0"/>
        <w:keepLines w:val="0"/>
        <w:widowControl/>
        <w:suppressLineNumbers w:val="0"/>
        <w:jc w:val="both"/>
        <w:rPr>
          <w:highlight w:val="none"/>
        </w:rPr>
      </w:pPr>
      <w:r>
        <w:rPr>
          <w:rStyle w:val="6"/>
          <w:rFonts w:hint="eastAsia" w:ascii="宋体" w:hAnsi="宋体" w:eastAsia="宋体" w:cs="宋体"/>
          <w:sz w:val="24"/>
          <w:szCs w:val="24"/>
          <w:highlight w:val="none"/>
        </w:rPr>
        <w:t>第三条： 投标保证金</w:t>
      </w:r>
      <w:r>
        <w:rPr>
          <w:rFonts w:hint="eastAsia" w:ascii="宋体" w:hAnsi="宋体" w:eastAsia="宋体" w:cs="宋体"/>
          <w:sz w:val="24"/>
          <w:szCs w:val="24"/>
          <w:highlight w:val="none"/>
        </w:rPr>
        <w:t>．</w:t>
      </w:r>
    </w:p>
    <w:p w14:paraId="1A412189">
      <w:pPr>
        <w:pStyle w:val="2"/>
        <w:keepNext w:val="0"/>
        <w:keepLines w:val="0"/>
        <w:widowControl/>
        <w:suppressLineNumbers w:val="0"/>
        <w:ind w:left="480"/>
        <w:jc w:val="both"/>
        <w:rPr>
          <w:highlight w:val="none"/>
        </w:rPr>
      </w:pPr>
      <w:r>
        <w:rPr>
          <w:rStyle w:val="6"/>
          <w:rFonts w:hint="eastAsia" w:ascii="仿宋" w:hAnsi="仿宋" w:eastAsia="仿宋" w:cs="仿宋"/>
          <w:sz w:val="24"/>
          <w:szCs w:val="24"/>
          <w:highlight w:val="none"/>
        </w:rPr>
        <w:t>1、缴纳单位：</w:t>
      </w:r>
      <w:r>
        <w:rPr>
          <w:rFonts w:hint="eastAsia" w:ascii="仿宋" w:hAnsi="仿宋" w:eastAsia="仿宋" w:cs="仿宋"/>
          <w:b/>
          <w:bCs/>
          <w:sz w:val="24"/>
          <w:szCs w:val="24"/>
          <w:highlight w:val="none"/>
          <w:u w:val="single"/>
        </w:rPr>
        <w:t>合格级</w:t>
      </w:r>
      <w:r>
        <w:rPr>
          <w:rStyle w:val="6"/>
          <w:rFonts w:hint="eastAsia" w:ascii="仿宋" w:hAnsi="仿宋" w:eastAsia="仿宋" w:cs="仿宋"/>
          <w:sz w:val="24"/>
          <w:szCs w:val="24"/>
          <w:highlight w:val="none"/>
        </w:rPr>
        <w:t>。</w:t>
      </w:r>
    </w:p>
    <w:p w14:paraId="6B8F3114">
      <w:pPr>
        <w:pStyle w:val="2"/>
        <w:keepNext w:val="0"/>
        <w:keepLines w:val="0"/>
        <w:widowControl/>
        <w:suppressLineNumbers w:val="0"/>
        <w:ind w:left="480"/>
        <w:jc w:val="both"/>
        <w:rPr>
          <w:highlight w:val="none"/>
        </w:rPr>
      </w:pPr>
      <w:r>
        <w:rPr>
          <w:rStyle w:val="6"/>
          <w:rFonts w:hint="eastAsia" w:ascii="仿宋" w:hAnsi="仿宋" w:eastAsia="仿宋" w:cs="仿宋"/>
          <w:sz w:val="24"/>
          <w:szCs w:val="24"/>
          <w:highlight w:val="none"/>
        </w:rPr>
        <w:t>2、缴纳金额：</w:t>
      </w:r>
      <w:r>
        <w:rPr>
          <w:rStyle w:val="6"/>
          <w:rFonts w:hint="eastAsia" w:ascii="仿宋" w:hAnsi="仿宋" w:eastAsia="仿宋" w:cs="仿宋"/>
          <w:sz w:val="24"/>
          <w:szCs w:val="24"/>
          <w:highlight w:val="none"/>
          <w:u w:val="single"/>
          <w:lang w:val="en-US" w:eastAsia="zh-CN"/>
        </w:rPr>
        <w:t xml:space="preserve">   /   </w:t>
      </w:r>
      <w:r>
        <w:rPr>
          <w:rStyle w:val="6"/>
          <w:rFonts w:hint="eastAsia" w:ascii="仿宋" w:hAnsi="仿宋" w:eastAsia="仿宋" w:cs="仿宋"/>
          <w:sz w:val="24"/>
          <w:szCs w:val="24"/>
          <w:highlight w:val="none"/>
        </w:rPr>
        <w:t>。</w:t>
      </w:r>
    </w:p>
    <w:p w14:paraId="311AADB1">
      <w:pPr>
        <w:pStyle w:val="2"/>
        <w:keepNext w:val="0"/>
        <w:keepLines w:val="0"/>
        <w:widowControl/>
        <w:suppressLineNumbers w:val="0"/>
        <w:ind w:left="480"/>
        <w:jc w:val="both"/>
        <w:rPr>
          <w:highlight w:val="none"/>
        </w:rPr>
      </w:pPr>
      <w:r>
        <w:rPr>
          <w:rStyle w:val="6"/>
          <w:rFonts w:hint="eastAsia" w:ascii="仿宋" w:hAnsi="仿宋" w:eastAsia="仿宋" w:cs="仿宋"/>
          <w:sz w:val="24"/>
          <w:szCs w:val="24"/>
          <w:highlight w:val="none"/>
        </w:rPr>
        <w:t>3、返还条款：</w:t>
      </w:r>
      <w:r>
        <w:rPr>
          <w:rStyle w:val="6"/>
          <w:rFonts w:hint="eastAsia" w:ascii="仿宋" w:hAnsi="仿宋" w:eastAsia="仿宋" w:cs="仿宋"/>
          <w:sz w:val="24"/>
          <w:szCs w:val="24"/>
          <w:highlight w:val="none"/>
          <w:u w:val="single"/>
        </w:rPr>
        <w:t>招标结束后，未中标供应商所缴纳的保证金在结果公示后五个工作日内返还；中标供应商所缴纳的保证金在合同签订后五个工作日内返还。</w:t>
      </w:r>
    </w:p>
    <w:p w14:paraId="2C3DD7C4">
      <w:pPr>
        <w:pStyle w:val="2"/>
        <w:keepNext w:val="0"/>
        <w:keepLines w:val="0"/>
        <w:widowControl/>
        <w:suppressLineNumbers w:val="0"/>
        <w:jc w:val="both"/>
        <w:rPr>
          <w:highlight w:val="none"/>
        </w:rPr>
      </w:pPr>
      <w:r>
        <w:rPr>
          <w:rStyle w:val="6"/>
          <w:rFonts w:hint="eastAsia" w:ascii="宋体" w:hAnsi="宋体" w:eastAsia="宋体" w:cs="宋体"/>
          <w:sz w:val="24"/>
          <w:szCs w:val="24"/>
          <w:highlight w:val="none"/>
        </w:rPr>
        <w:t>第四条： 投标方应具备的条件</w:t>
      </w:r>
      <w:r>
        <w:rPr>
          <w:rFonts w:hint="eastAsia" w:ascii="宋体" w:hAnsi="宋体" w:eastAsia="宋体" w:cs="宋体"/>
          <w:sz w:val="24"/>
          <w:szCs w:val="24"/>
          <w:highlight w:val="none"/>
        </w:rPr>
        <w:t>．</w:t>
      </w:r>
    </w:p>
    <w:p w14:paraId="13699E7F">
      <w:pPr>
        <w:pStyle w:val="2"/>
        <w:keepNext w:val="0"/>
        <w:keepLines w:val="0"/>
        <w:widowControl/>
        <w:suppressLineNumbers w:val="0"/>
        <w:ind w:left="480"/>
        <w:jc w:val="both"/>
        <w:rPr>
          <w:highlight w:val="none"/>
        </w:rPr>
      </w:pPr>
      <w:r>
        <w:rPr>
          <w:rStyle w:val="6"/>
          <w:rFonts w:hint="eastAsia" w:ascii="仿宋" w:hAnsi="仿宋" w:eastAsia="仿宋" w:cs="仿宋"/>
          <w:sz w:val="24"/>
          <w:szCs w:val="24"/>
          <w:highlight w:val="none"/>
        </w:rPr>
        <w:t>1、注册资金要求：</w:t>
      </w:r>
      <w:r>
        <w:rPr>
          <w:rStyle w:val="6"/>
          <w:rFonts w:hint="eastAsia" w:ascii="仿宋" w:hAnsi="仿宋" w:eastAsia="仿宋" w:cs="仿宋"/>
          <w:sz w:val="24"/>
          <w:szCs w:val="24"/>
          <w:highlight w:val="none"/>
          <w:u w:val="single"/>
          <w:lang w:val="en-US" w:eastAsia="zh-CN"/>
        </w:rPr>
        <w:t xml:space="preserve">   /   </w:t>
      </w:r>
      <w:r>
        <w:rPr>
          <w:rStyle w:val="6"/>
          <w:rFonts w:hint="eastAsia" w:ascii="仿宋" w:hAnsi="仿宋" w:eastAsia="仿宋" w:cs="仿宋"/>
          <w:sz w:val="24"/>
          <w:szCs w:val="24"/>
          <w:highlight w:val="none"/>
        </w:rPr>
        <w:t>。</w:t>
      </w:r>
    </w:p>
    <w:p w14:paraId="2B8B5DE1">
      <w:pPr>
        <w:pStyle w:val="2"/>
        <w:keepNext w:val="0"/>
        <w:keepLines w:val="0"/>
        <w:widowControl/>
        <w:suppressLineNumbers w:val="0"/>
        <w:ind w:left="480"/>
        <w:jc w:val="both"/>
        <w:rPr>
          <w:highlight w:val="none"/>
        </w:rPr>
      </w:pPr>
      <w:r>
        <w:rPr>
          <w:rStyle w:val="6"/>
          <w:rFonts w:hint="eastAsia" w:ascii="仿宋" w:hAnsi="仿宋" w:eastAsia="仿宋" w:cs="仿宋"/>
          <w:sz w:val="24"/>
          <w:szCs w:val="24"/>
          <w:highlight w:val="none"/>
        </w:rPr>
        <w:t>2、纳税资格要求：</w:t>
      </w:r>
      <w:r>
        <w:rPr>
          <w:rStyle w:val="6"/>
          <w:rFonts w:hint="eastAsia" w:ascii="仿宋" w:hAnsi="仿宋" w:eastAsia="仿宋" w:cs="仿宋"/>
          <w:sz w:val="24"/>
          <w:szCs w:val="24"/>
          <w:highlight w:val="none"/>
          <w:u w:val="single"/>
          <w:lang w:val="en-US" w:eastAsia="zh-CN"/>
        </w:rPr>
        <w:t>一般纳税人</w:t>
      </w:r>
      <w:r>
        <w:rPr>
          <w:rStyle w:val="6"/>
          <w:rFonts w:hint="eastAsia" w:ascii="仿宋" w:hAnsi="仿宋" w:eastAsia="仿宋" w:cs="仿宋"/>
          <w:sz w:val="24"/>
          <w:szCs w:val="24"/>
          <w:highlight w:val="none"/>
        </w:rPr>
        <w:t>。</w:t>
      </w:r>
    </w:p>
    <w:p w14:paraId="47E3335E">
      <w:pPr>
        <w:pStyle w:val="2"/>
        <w:keepNext w:val="0"/>
        <w:keepLines w:val="0"/>
        <w:widowControl/>
        <w:suppressLineNumbers w:val="0"/>
        <w:ind w:left="480"/>
        <w:jc w:val="both"/>
        <w:rPr>
          <w:highlight w:val="none"/>
        </w:rPr>
      </w:pPr>
      <w:r>
        <w:rPr>
          <w:rStyle w:val="6"/>
          <w:rFonts w:hint="eastAsia" w:ascii="仿宋" w:hAnsi="仿宋" w:eastAsia="仿宋" w:cs="仿宋"/>
          <w:sz w:val="24"/>
          <w:szCs w:val="24"/>
          <w:highlight w:val="none"/>
        </w:rPr>
        <w:t>3、发票要求：</w:t>
      </w:r>
      <w:r>
        <w:rPr>
          <w:rStyle w:val="6"/>
          <w:rFonts w:ascii="仿宋" w:hAnsi="仿宋" w:eastAsia="仿宋" w:cs="仿宋"/>
          <w:color w:val="000000"/>
          <w:sz w:val="24"/>
          <w:szCs w:val="24"/>
          <w:highlight w:val="none"/>
          <w:u w:val="single"/>
        </w:rPr>
        <w:t>投标单位需提供真实、有效的增值税发票，并做到四流一致，“发票流、资金流、合同流、货物流”</w:t>
      </w:r>
      <w:r>
        <w:rPr>
          <w:rStyle w:val="6"/>
          <w:rFonts w:hint="eastAsia" w:ascii="仿宋" w:hAnsi="仿宋" w:eastAsia="仿宋" w:cs="仿宋"/>
          <w:sz w:val="24"/>
          <w:szCs w:val="24"/>
          <w:highlight w:val="none"/>
        </w:rPr>
        <w:t>。</w:t>
      </w:r>
    </w:p>
    <w:p w14:paraId="2646A957">
      <w:pPr>
        <w:pStyle w:val="2"/>
        <w:keepNext w:val="0"/>
        <w:keepLines w:val="0"/>
        <w:widowControl/>
        <w:suppressLineNumbers w:val="0"/>
        <w:ind w:left="480"/>
        <w:jc w:val="both"/>
        <w:rPr>
          <w:highlight w:val="none"/>
        </w:rPr>
      </w:pPr>
      <w:r>
        <w:rPr>
          <w:rStyle w:val="6"/>
          <w:rFonts w:hint="eastAsia" w:ascii="仿宋" w:hAnsi="仿宋" w:eastAsia="仿宋" w:cs="仿宋"/>
          <w:sz w:val="24"/>
          <w:szCs w:val="24"/>
          <w:highlight w:val="none"/>
        </w:rPr>
        <w:t>4、投标单位非招标方黑名单企业。</w:t>
      </w:r>
    </w:p>
    <w:p w14:paraId="27B77298">
      <w:pPr>
        <w:pStyle w:val="2"/>
        <w:keepNext w:val="0"/>
        <w:keepLines w:val="0"/>
        <w:widowControl/>
        <w:suppressLineNumbers w:val="0"/>
        <w:jc w:val="both"/>
        <w:rPr>
          <w:highlight w:val="none"/>
        </w:rPr>
      </w:pPr>
      <w:r>
        <w:rPr>
          <w:rStyle w:val="6"/>
          <w:rFonts w:hint="eastAsia" w:ascii="宋体" w:hAnsi="宋体" w:eastAsia="宋体" w:cs="宋体"/>
          <w:sz w:val="24"/>
          <w:szCs w:val="24"/>
          <w:highlight w:val="none"/>
        </w:rPr>
        <w:t>第五条： 报价要求</w:t>
      </w:r>
    </w:p>
    <w:p w14:paraId="227449B7">
      <w:pPr>
        <w:pStyle w:val="2"/>
        <w:keepNext w:val="0"/>
        <w:keepLines w:val="0"/>
        <w:widowControl/>
        <w:suppressLineNumbers w:val="0"/>
        <w:ind w:left="480"/>
        <w:jc w:val="both"/>
        <w:rPr>
          <w:rFonts w:hint="eastAsia" w:eastAsia="仿宋"/>
          <w:highlight w:val="none"/>
          <w:lang w:val="en-US" w:eastAsia="zh-CN"/>
        </w:rPr>
      </w:pPr>
      <w:r>
        <w:rPr>
          <w:rStyle w:val="6"/>
          <w:rFonts w:hint="eastAsia" w:ascii="仿宋" w:hAnsi="仿宋" w:eastAsia="仿宋" w:cs="仿宋"/>
          <w:sz w:val="24"/>
          <w:szCs w:val="24"/>
          <w:highlight w:val="none"/>
        </w:rPr>
        <w:t>1、本次招标总量：</w:t>
      </w:r>
      <w:r>
        <w:rPr>
          <w:rStyle w:val="6"/>
          <w:rFonts w:hint="eastAsia" w:ascii="仿宋" w:hAnsi="仿宋" w:eastAsia="仿宋" w:cs="仿宋"/>
          <w:sz w:val="24"/>
          <w:szCs w:val="24"/>
          <w:highlight w:val="none"/>
          <w:u w:val="single"/>
          <w:lang w:val="en-US" w:eastAsia="zh-CN"/>
        </w:rPr>
        <w:t xml:space="preserve">   22600㎡  </w:t>
      </w:r>
      <w:r>
        <w:rPr>
          <w:rStyle w:val="6"/>
          <w:rFonts w:hint="eastAsia" w:ascii="仿宋" w:hAnsi="仿宋" w:eastAsia="仿宋" w:cs="仿宋"/>
          <w:sz w:val="24"/>
          <w:szCs w:val="24"/>
          <w:highlight w:val="none"/>
        </w:rPr>
        <w:t>。</w:t>
      </w:r>
    </w:p>
    <w:p w14:paraId="15EF532B">
      <w:pPr>
        <w:pStyle w:val="2"/>
        <w:keepNext w:val="0"/>
        <w:keepLines w:val="0"/>
        <w:widowControl/>
        <w:suppressLineNumbers w:val="0"/>
        <w:ind w:left="480"/>
        <w:jc w:val="both"/>
        <w:rPr>
          <w:highlight w:val="none"/>
        </w:rPr>
      </w:pPr>
      <w:r>
        <w:rPr>
          <w:rStyle w:val="6"/>
          <w:rFonts w:hint="eastAsia" w:ascii="仿宋" w:hAnsi="仿宋" w:eastAsia="仿宋" w:cs="仿宋"/>
          <w:sz w:val="24"/>
          <w:szCs w:val="24"/>
          <w:highlight w:val="none"/>
        </w:rPr>
        <w:t>2、品牌/厂家要求：</w:t>
      </w:r>
      <w:r>
        <w:rPr>
          <w:rStyle w:val="6"/>
          <w:rFonts w:hint="eastAsia" w:ascii="仿宋" w:hAnsi="仿宋" w:eastAsia="仿宋" w:cs="仿宋"/>
          <w:sz w:val="24"/>
          <w:szCs w:val="24"/>
          <w:highlight w:val="none"/>
          <w:u w:val="single"/>
          <w:lang w:val="en-US" w:eastAsia="zh-CN"/>
        </w:rPr>
        <w:t xml:space="preserve">   /   </w:t>
      </w:r>
      <w:r>
        <w:rPr>
          <w:rStyle w:val="6"/>
          <w:rFonts w:hint="eastAsia" w:ascii="仿宋" w:hAnsi="仿宋" w:eastAsia="仿宋" w:cs="仿宋"/>
          <w:sz w:val="24"/>
          <w:szCs w:val="24"/>
          <w:highlight w:val="none"/>
        </w:rPr>
        <w:t>。</w:t>
      </w:r>
    </w:p>
    <w:p w14:paraId="2291563A">
      <w:pPr>
        <w:pStyle w:val="2"/>
        <w:keepNext w:val="0"/>
        <w:keepLines w:val="0"/>
        <w:widowControl/>
        <w:suppressLineNumbers w:val="0"/>
        <w:ind w:left="480"/>
        <w:jc w:val="both"/>
        <w:rPr>
          <w:rFonts w:hint="default" w:eastAsia="仿宋"/>
          <w:highlight w:val="none"/>
          <w:lang w:val="en-US" w:eastAsia="zh-CN"/>
        </w:rPr>
      </w:pPr>
      <w:r>
        <w:rPr>
          <w:rStyle w:val="6"/>
          <w:rFonts w:hint="eastAsia" w:ascii="仿宋" w:hAnsi="仿宋" w:eastAsia="仿宋" w:cs="仿宋"/>
          <w:sz w:val="24"/>
          <w:szCs w:val="24"/>
          <w:highlight w:val="none"/>
        </w:rPr>
        <w:t>3、报价内容：所报价格为含增值税一票制价格，包含</w:t>
      </w:r>
      <w:r>
        <w:rPr>
          <w:rStyle w:val="6"/>
          <w:rFonts w:ascii="仿宋" w:hAnsi="仿宋" w:eastAsia="仿宋" w:cs="仿宋"/>
          <w:color w:val="000000"/>
          <w:sz w:val="24"/>
          <w:szCs w:val="24"/>
          <w:highlight w:val="none"/>
          <w:u w:val="single"/>
        </w:rPr>
        <w:t>所报价格为含增值税一票制价格，包含运费、</w:t>
      </w:r>
      <w:r>
        <w:rPr>
          <w:rStyle w:val="6"/>
          <w:rFonts w:hint="eastAsia" w:ascii="仿宋" w:hAnsi="仿宋" w:eastAsia="仿宋" w:cs="仿宋"/>
          <w:color w:val="000000"/>
          <w:sz w:val="24"/>
          <w:szCs w:val="24"/>
          <w:highlight w:val="none"/>
          <w:u w:val="single"/>
          <w:lang w:val="en-US" w:eastAsia="zh-CN"/>
        </w:rPr>
        <w:t>装卸费</w:t>
      </w:r>
      <w:r>
        <w:rPr>
          <w:rStyle w:val="6"/>
          <w:rFonts w:ascii="仿宋" w:hAnsi="仿宋" w:eastAsia="仿宋" w:cs="仿宋"/>
          <w:color w:val="000000"/>
          <w:sz w:val="24"/>
          <w:szCs w:val="24"/>
          <w:highlight w:val="none"/>
          <w:u w:val="single"/>
        </w:rPr>
        <w:t>、增值税专用发票（</w:t>
      </w:r>
      <w:r>
        <w:rPr>
          <w:rStyle w:val="6"/>
          <w:rFonts w:hint="eastAsia" w:ascii="仿宋" w:hAnsi="仿宋" w:eastAsia="仿宋" w:cs="仿宋"/>
          <w:color w:val="000000"/>
          <w:sz w:val="24"/>
          <w:szCs w:val="24"/>
          <w:highlight w:val="none"/>
          <w:u w:val="single"/>
          <w:lang w:val="en-US" w:eastAsia="zh-CN"/>
        </w:rPr>
        <w:t>1</w:t>
      </w:r>
      <w:r>
        <w:rPr>
          <w:rStyle w:val="6"/>
          <w:rFonts w:hint="eastAsia" w:ascii="仿宋" w:hAnsi="仿宋" w:eastAsia="仿宋" w:cs="仿宋"/>
          <w:color w:val="000000"/>
          <w:sz w:val="24"/>
          <w:szCs w:val="24"/>
          <w:highlight w:val="none"/>
          <w:u w:val="single"/>
        </w:rPr>
        <w:t>3%）</w:t>
      </w:r>
      <w:r>
        <w:rPr>
          <w:rStyle w:val="6"/>
          <w:rFonts w:hint="eastAsia" w:ascii="仿宋" w:hAnsi="仿宋" w:eastAsia="仿宋" w:cs="仿宋"/>
          <w:color w:val="000000"/>
          <w:sz w:val="24"/>
          <w:szCs w:val="24"/>
          <w:highlight w:val="none"/>
        </w:rPr>
        <w:t>。</w:t>
      </w:r>
    </w:p>
    <w:p w14:paraId="2C8524DF">
      <w:pPr>
        <w:pStyle w:val="2"/>
        <w:keepNext w:val="0"/>
        <w:keepLines w:val="0"/>
        <w:widowControl/>
        <w:suppressLineNumbers w:val="0"/>
        <w:jc w:val="both"/>
        <w:rPr>
          <w:highlight w:val="none"/>
        </w:rPr>
      </w:pPr>
      <w:r>
        <w:rPr>
          <w:rStyle w:val="6"/>
          <w:rFonts w:hint="eastAsia" w:ascii="宋体" w:hAnsi="宋体" w:eastAsia="宋体" w:cs="宋体"/>
          <w:sz w:val="24"/>
          <w:szCs w:val="24"/>
          <w:highlight w:val="none"/>
        </w:rPr>
        <w:t>第六条： 结算方式</w:t>
      </w:r>
    </w:p>
    <w:p w14:paraId="7CADF17D">
      <w:pPr>
        <w:pStyle w:val="2"/>
        <w:keepNext w:val="0"/>
        <w:keepLines w:val="0"/>
        <w:widowControl/>
        <w:suppressLineNumbers w:val="0"/>
        <w:ind w:left="480"/>
        <w:jc w:val="both"/>
        <w:rPr>
          <w:highlight w:val="none"/>
        </w:rPr>
      </w:pPr>
      <w:r>
        <w:rPr>
          <w:rFonts w:hint="eastAsia" w:ascii="仿宋" w:hAnsi="仿宋" w:eastAsia="仿宋" w:cs="仿宋"/>
          <w:sz w:val="24"/>
          <w:szCs w:val="24"/>
          <w:highlight w:val="none"/>
        </w:rPr>
        <w:t>1、</w:t>
      </w:r>
      <w:r>
        <w:rPr>
          <w:rFonts w:hint="eastAsia" w:ascii="仿宋" w:hAnsi="仿宋" w:eastAsia="仿宋" w:cs="仿宋"/>
          <w:b/>
          <w:bCs/>
          <w:sz w:val="24"/>
          <w:szCs w:val="24"/>
          <w:highlight w:val="none"/>
          <w:u w:val="single"/>
        </w:rPr>
        <w:t>货物运输至甲方指定地点后，双方对物资品种、型号、规格、数量、相关单证进行验收</w:t>
      </w:r>
      <w:r>
        <w:rPr>
          <w:rFonts w:hint="eastAsia" w:ascii="仿宋" w:hAnsi="仿宋" w:eastAsia="仿宋" w:cs="仿宋"/>
          <w:b/>
          <w:bCs/>
          <w:sz w:val="24"/>
          <w:szCs w:val="24"/>
          <w:highlight w:val="none"/>
          <w:u w:val="single"/>
          <w:lang w:val="en-US" w:eastAsia="zh-CN"/>
        </w:rPr>
        <w:t>并现场取样送实验室检测</w:t>
      </w:r>
      <w:r>
        <w:rPr>
          <w:rFonts w:hint="eastAsia" w:ascii="仿宋" w:hAnsi="仿宋" w:eastAsia="仿宋" w:cs="仿宋"/>
          <w:b/>
          <w:bCs/>
          <w:sz w:val="24"/>
          <w:szCs w:val="24"/>
          <w:highlight w:val="none"/>
          <w:u w:val="single"/>
        </w:rPr>
        <w:t>。如品种、型号、规格、相关单证</w:t>
      </w:r>
      <w:r>
        <w:rPr>
          <w:rFonts w:hint="eastAsia" w:ascii="仿宋" w:hAnsi="仿宋" w:eastAsia="仿宋" w:cs="仿宋"/>
          <w:b/>
          <w:bCs/>
          <w:sz w:val="24"/>
          <w:szCs w:val="24"/>
          <w:highlight w:val="none"/>
          <w:u w:val="single"/>
          <w:lang w:val="en-US" w:eastAsia="zh-CN"/>
        </w:rPr>
        <w:t>及复检报告</w:t>
      </w:r>
      <w:r>
        <w:rPr>
          <w:rFonts w:hint="eastAsia" w:ascii="仿宋" w:hAnsi="仿宋" w:eastAsia="仿宋" w:cs="仿宋"/>
          <w:b/>
          <w:bCs/>
          <w:sz w:val="24"/>
          <w:szCs w:val="24"/>
          <w:highlight w:val="none"/>
          <w:u w:val="single"/>
        </w:rPr>
        <w:t>不符合</w:t>
      </w:r>
      <w:r>
        <w:rPr>
          <w:rFonts w:hint="eastAsia" w:ascii="仿宋" w:hAnsi="仿宋" w:eastAsia="仿宋" w:cs="仿宋"/>
          <w:b/>
          <w:bCs/>
          <w:sz w:val="24"/>
          <w:szCs w:val="24"/>
          <w:highlight w:val="none"/>
          <w:u w:val="single"/>
          <w:lang w:val="en-US" w:eastAsia="zh-CN"/>
        </w:rPr>
        <w:t>图纸及规范</w:t>
      </w:r>
      <w:r>
        <w:rPr>
          <w:rFonts w:hint="eastAsia" w:ascii="仿宋" w:hAnsi="仿宋" w:eastAsia="仿宋" w:cs="仿宋"/>
          <w:b/>
          <w:bCs/>
          <w:sz w:val="24"/>
          <w:szCs w:val="24"/>
          <w:highlight w:val="none"/>
          <w:u w:val="single"/>
        </w:rPr>
        <w:t>要求的。乙方应按照甲方要求退货或予以更换处理，由此发生的费用和损失由乙方承担。</w:t>
      </w:r>
    </w:p>
    <w:p w14:paraId="2CFFD57F">
      <w:pPr>
        <w:pStyle w:val="2"/>
        <w:keepNext w:val="0"/>
        <w:keepLines w:val="0"/>
        <w:widowControl/>
        <w:suppressLineNumbers w:val="0"/>
        <w:ind w:left="480"/>
        <w:jc w:val="both"/>
        <w:rPr>
          <w:highlight w:val="none"/>
        </w:rPr>
      </w:pPr>
      <w:r>
        <w:rPr>
          <w:rFonts w:hint="eastAsia" w:ascii="仿宋" w:hAnsi="仿宋" w:eastAsia="仿宋" w:cs="仿宋"/>
          <w:sz w:val="24"/>
          <w:szCs w:val="24"/>
          <w:highlight w:val="none"/>
        </w:rPr>
        <w:t>2、</w:t>
      </w:r>
      <w:r>
        <w:rPr>
          <w:rFonts w:hint="eastAsia" w:ascii="仿宋" w:hAnsi="仿宋" w:eastAsia="仿宋" w:cs="仿宋"/>
          <w:b/>
          <w:bCs/>
          <w:sz w:val="24"/>
          <w:szCs w:val="24"/>
          <w:highlight w:val="none"/>
          <w:u w:val="single"/>
        </w:rPr>
        <w:t>根据甲方检验合格及双方共同签认的送货单作为双方结算的依据，除此之外任何证明、收条、欠条、信函等文件，都不得作为结算依据。</w:t>
      </w:r>
    </w:p>
    <w:p w14:paraId="1A5342CD">
      <w:pPr>
        <w:pStyle w:val="2"/>
        <w:keepNext w:val="0"/>
        <w:keepLines w:val="0"/>
        <w:widowControl/>
        <w:suppressLineNumbers w:val="0"/>
        <w:jc w:val="both"/>
        <w:rPr>
          <w:highlight w:val="none"/>
        </w:rPr>
      </w:pPr>
      <w:r>
        <w:rPr>
          <w:rStyle w:val="6"/>
          <w:rFonts w:hint="eastAsia" w:ascii="宋体" w:hAnsi="宋体" w:eastAsia="宋体" w:cs="宋体"/>
          <w:sz w:val="24"/>
          <w:szCs w:val="24"/>
          <w:highlight w:val="none"/>
        </w:rPr>
        <w:t>第七条： 付款方式</w:t>
      </w:r>
    </w:p>
    <w:p w14:paraId="48CD54A7">
      <w:pPr>
        <w:pStyle w:val="2"/>
        <w:keepNext w:val="0"/>
        <w:keepLines w:val="0"/>
        <w:widowControl/>
        <w:suppressLineNumbers w:val="0"/>
        <w:ind w:left="480"/>
        <w:jc w:val="both"/>
        <w:rPr>
          <w:rFonts w:hint="default" w:eastAsia="仿宋"/>
          <w:highlight w:val="none"/>
          <w:lang w:val="en-US" w:eastAsia="zh-CN"/>
        </w:rPr>
      </w:pPr>
      <w:r>
        <w:rPr>
          <w:rStyle w:val="6"/>
          <w:rFonts w:hint="eastAsia" w:ascii="仿宋" w:hAnsi="仿宋" w:eastAsia="仿宋" w:cs="仿宋"/>
          <w:sz w:val="24"/>
          <w:szCs w:val="24"/>
          <w:highlight w:val="none"/>
        </w:rPr>
        <w:t>1</w:t>
      </w:r>
      <w:r>
        <w:rPr>
          <w:rStyle w:val="6"/>
          <w:rFonts w:hint="eastAsia" w:ascii="仿宋" w:hAnsi="仿宋" w:eastAsia="仿宋" w:cs="仿宋"/>
          <w:b w:val="0"/>
          <w:bCs/>
          <w:sz w:val="24"/>
          <w:szCs w:val="24"/>
          <w:highlight w:val="none"/>
        </w:rPr>
        <w:t>、</w:t>
      </w:r>
      <w:r>
        <w:rPr>
          <w:rFonts w:hint="eastAsia" w:ascii="仿宋" w:hAnsi="仿宋" w:eastAsia="仿宋" w:cs="仿宋"/>
          <w:b/>
          <w:bCs w:val="0"/>
          <w:sz w:val="28"/>
          <w:szCs w:val="28"/>
          <w:highlight w:val="none"/>
        </w:rPr>
        <w:t>支付方式</w:t>
      </w:r>
      <w:r>
        <w:rPr>
          <w:rFonts w:hint="eastAsia" w:ascii="仿宋" w:hAnsi="仿宋" w:eastAsia="仿宋" w:cs="仿宋"/>
          <w:sz w:val="28"/>
          <w:szCs w:val="28"/>
          <w:highlight w:val="none"/>
        </w:rPr>
        <w:t>：</w:t>
      </w:r>
      <w:r>
        <w:rPr>
          <w:rFonts w:hint="eastAsia" w:ascii="仿宋" w:hAnsi="仿宋" w:eastAsia="仿宋" w:cs="仿宋"/>
          <w:b/>
          <w:bCs/>
          <w:color w:val="000000"/>
          <w:sz w:val="24"/>
          <w:szCs w:val="24"/>
          <w:highlight w:val="none"/>
          <w:u w:val="single"/>
        </w:rPr>
        <w:t>甲方采用电汇、供应链、商票方式付款，付款比例不得超过与甲方签订施工合同付款比例。</w:t>
      </w:r>
    </w:p>
    <w:p w14:paraId="32369908">
      <w:pPr>
        <w:pStyle w:val="2"/>
        <w:keepNext w:val="0"/>
        <w:keepLines w:val="0"/>
        <w:widowControl/>
        <w:suppressLineNumbers w:val="0"/>
        <w:ind w:firstLine="482" w:firstLineChars="200"/>
        <w:jc w:val="both"/>
        <w:rPr>
          <w:rFonts w:hint="eastAsia" w:ascii="仿宋" w:hAnsi="仿宋" w:eastAsia="仿宋" w:cs="仿宋"/>
          <w:b/>
          <w:bCs/>
          <w:sz w:val="32"/>
          <w:szCs w:val="32"/>
          <w:highlight w:val="none"/>
          <w:u w:val="single"/>
        </w:rPr>
      </w:pPr>
      <w:r>
        <w:rPr>
          <w:rStyle w:val="6"/>
          <w:rFonts w:hint="eastAsia" w:ascii="仿宋" w:hAnsi="仿宋" w:eastAsia="仿宋" w:cs="仿宋"/>
          <w:sz w:val="24"/>
          <w:szCs w:val="24"/>
          <w:highlight w:val="none"/>
        </w:rPr>
        <w:t>2、</w:t>
      </w:r>
      <w:r>
        <w:rPr>
          <w:rFonts w:hint="eastAsia" w:ascii="仿宋" w:hAnsi="仿宋" w:eastAsia="仿宋" w:cs="仿宋"/>
          <w:b/>
          <w:bCs/>
          <w:sz w:val="24"/>
          <w:szCs w:val="24"/>
          <w:highlight w:val="none"/>
        </w:rPr>
        <w:t>支付时间：</w:t>
      </w:r>
      <w:r>
        <w:rPr>
          <w:rFonts w:hint="eastAsia" w:ascii="仿宋" w:hAnsi="仿宋" w:eastAsia="仿宋" w:cs="仿宋"/>
          <w:b/>
          <w:bCs/>
          <w:sz w:val="28"/>
          <w:szCs w:val="28"/>
          <w:highlight w:val="none"/>
          <w:u w:val="single"/>
          <w:lang w:eastAsia="zh-CN"/>
        </w:rPr>
        <w:t>货物到场复检合格后</w:t>
      </w:r>
      <w:r>
        <w:rPr>
          <w:rFonts w:hint="eastAsia" w:ascii="仿宋" w:hAnsi="仿宋" w:eastAsia="仿宋" w:cs="仿宋"/>
          <w:b/>
          <w:bCs/>
          <w:sz w:val="28"/>
          <w:szCs w:val="28"/>
          <w:highlight w:val="none"/>
          <w:u w:val="single"/>
          <w:lang w:val="en-US" w:eastAsia="zh-CN"/>
        </w:rPr>
        <w:t>15天内100%支付到场货款</w:t>
      </w:r>
      <w:r>
        <w:rPr>
          <w:rFonts w:hint="eastAsia" w:ascii="仿宋" w:hAnsi="仿宋" w:eastAsia="仿宋" w:cs="仿宋"/>
          <w:b/>
          <w:bCs/>
          <w:sz w:val="28"/>
          <w:szCs w:val="28"/>
          <w:highlight w:val="none"/>
          <w:u w:val="single"/>
          <w:lang w:eastAsia="zh-CN"/>
        </w:rPr>
        <w:t>（乙方必须开具合格等额发票）</w:t>
      </w:r>
      <w:r>
        <w:rPr>
          <w:rFonts w:hint="eastAsia" w:ascii="仿宋" w:hAnsi="仿宋" w:eastAsia="仿宋" w:cs="仿宋"/>
          <w:b/>
          <w:bCs/>
          <w:sz w:val="28"/>
          <w:szCs w:val="28"/>
          <w:highlight w:val="none"/>
          <w:u w:val="single"/>
        </w:rPr>
        <w:t>。</w:t>
      </w:r>
    </w:p>
    <w:p w14:paraId="694C95B3">
      <w:pPr>
        <w:pStyle w:val="2"/>
        <w:keepNext w:val="0"/>
        <w:keepLines w:val="0"/>
        <w:widowControl/>
        <w:suppressLineNumbers w:val="0"/>
        <w:jc w:val="both"/>
        <w:rPr>
          <w:highlight w:val="none"/>
        </w:rPr>
      </w:pPr>
      <w:r>
        <w:rPr>
          <w:rStyle w:val="6"/>
          <w:rFonts w:hint="eastAsia" w:ascii="宋体" w:hAnsi="宋体" w:eastAsia="宋体" w:cs="宋体"/>
          <w:sz w:val="24"/>
          <w:szCs w:val="24"/>
          <w:highlight w:val="none"/>
        </w:rPr>
        <w:t>第八条： 投标须知</w:t>
      </w:r>
    </w:p>
    <w:p w14:paraId="53E20BC7">
      <w:pPr>
        <w:pStyle w:val="2"/>
        <w:keepNext w:val="0"/>
        <w:keepLines w:val="0"/>
        <w:widowControl/>
        <w:suppressLineNumbers w:val="0"/>
        <w:ind w:left="480"/>
        <w:jc w:val="both"/>
        <w:rPr>
          <w:sz w:val="24"/>
          <w:szCs w:val="24"/>
          <w:highlight w:val="none"/>
        </w:rPr>
      </w:pPr>
      <w:r>
        <w:rPr>
          <w:rStyle w:val="6"/>
          <w:rFonts w:hint="eastAsia" w:ascii="仿宋" w:hAnsi="仿宋" w:eastAsia="仿宋" w:cs="仿宋"/>
          <w:sz w:val="24"/>
          <w:szCs w:val="24"/>
          <w:highlight w:val="none"/>
        </w:rPr>
        <w:t>1、</w:t>
      </w:r>
      <w:r>
        <w:rPr>
          <w:rFonts w:hint="eastAsia" w:ascii="仿宋" w:hAnsi="仿宋" w:eastAsia="仿宋" w:cs="仿宋"/>
          <w:b/>
          <w:bCs/>
          <w:sz w:val="24"/>
          <w:szCs w:val="24"/>
          <w:highlight w:val="none"/>
        </w:rPr>
        <w:t>投标网址：施工云采网（http://www.zgsgycw.com/）</w:t>
      </w:r>
    </w:p>
    <w:p w14:paraId="31F44496">
      <w:pPr>
        <w:pStyle w:val="2"/>
        <w:keepNext w:val="0"/>
        <w:keepLines w:val="0"/>
        <w:widowControl/>
        <w:suppressLineNumbers w:val="0"/>
        <w:ind w:left="480"/>
        <w:jc w:val="both"/>
        <w:rPr>
          <w:sz w:val="24"/>
          <w:szCs w:val="24"/>
          <w:highlight w:val="none"/>
        </w:rPr>
      </w:pPr>
      <w:r>
        <w:rPr>
          <w:rStyle w:val="6"/>
          <w:rFonts w:hint="eastAsia" w:ascii="仿宋" w:hAnsi="仿宋" w:eastAsia="仿宋" w:cs="仿宋"/>
          <w:sz w:val="24"/>
          <w:szCs w:val="24"/>
          <w:highlight w:val="none"/>
        </w:rPr>
        <w:t>2、投标人在投标前须在施工云采网完成注册（自行注册）并录入河北建设集团《集采供应商名录》后方可参与报价。</w:t>
      </w:r>
    </w:p>
    <w:p w14:paraId="5B2E443C">
      <w:pPr>
        <w:pStyle w:val="2"/>
        <w:keepNext w:val="0"/>
        <w:keepLines w:val="0"/>
        <w:widowControl/>
        <w:suppressLineNumbers w:val="0"/>
        <w:ind w:left="480"/>
        <w:jc w:val="both"/>
        <w:rPr>
          <w:b/>
          <w:bCs/>
          <w:sz w:val="24"/>
          <w:szCs w:val="24"/>
          <w:highlight w:val="none"/>
        </w:rPr>
      </w:pPr>
      <w:r>
        <w:rPr>
          <w:rStyle w:val="6"/>
          <w:rFonts w:hint="eastAsia" w:ascii="仿宋" w:hAnsi="仿宋" w:eastAsia="仿宋" w:cs="仿宋"/>
          <w:sz w:val="24"/>
          <w:szCs w:val="24"/>
          <w:highlight w:val="none"/>
        </w:rPr>
        <w:t>3、</w:t>
      </w:r>
      <w:r>
        <w:rPr>
          <w:rFonts w:hint="eastAsia" w:ascii="仿宋" w:hAnsi="仿宋" w:eastAsia="仿宋" w:cs="仿宋"/>
          <w:b/>
          <w:bCs/>
          <w:sz w:val="24"/>
          <w:szCs w:val="24"/>
          <w:highlight w:val="none"/>
        </w:rPr>
        <w:t>有下列情况之一的，投标书视为无效标。</w:t>
      </w:r>
    </w:p>
    <w:p w14:paraId="2BF07919">
      <w:pPr>
        <w:pStyle w:val="2"/>
        <w:keepNext w:val="0"/>
        <w:keepLines w:val="0"/>
        <w:widowControl/>
        <w:suppressLineNumbers w:val="0"/>
        <w:ind w:left="480"/>
        <w:jc w:val="both"/>
        <w:rPr>
          <w:b/>
          <w:bCs/>
          <w:sz w:val="24"/>
          <w:szCs w:val="24"/>
          <w:highlight w:val="none"/>
        </w:rPr>
      </w:pPr>
      <w:r>
        <w:rPr>
          <w:rFonts w:hint="eastAsia" w:ascii="仿宋" w:hAnsi="仿宋" w:eastAsia="仿宋" w:cs="仿宋"/>
          <w:b/>
          <w:bCs/>
          <w:sz w:val="24"/>
          <w:szCs w:val="24"/>
          <w:highlight w:val="none"/>
        </w:rPr>
        <w:t>（1）提交的投标文件未对招标文件进行实质性响应的；</w:t>
      </w:r>
    </w:p>
    <w:p w14:paraId="70AE3108">
      <w:pPr>
        <w:pStyle w:val="2"/>
        <w:keepNext w:val="0"/>
        <w:keepLines w:val="0"/>
        <w:widowControl/>
        <w:suppressLineNumbers w:val="0"/>
        <w:ind w:left="480"/>
        <w:jc w:val="both"/>
        <w:rPr>
          <w:b/>
          <w:bCs/>
          <w:sz w:val="24"/>
          <w:szCs w:val="24"/>
          <w:highlight w:val="none"/>
        </w:rPr>
      </w:pPr>
      <w:r>
        <w:rPr>
          <w:rFonts w:hint="eastAsia" w:ascii="仿宋" w:hAnsi="仿宋" w:eastAsia="仿宋" w:cs="仿宋"/>
          <w:b/>
          <w:bCs/>
          <w:sz w:val="24"/>
          <w:szCs w:val="24"/>
          <w:highlight w:val="none"/>
        </w:rPr>
        <w:t>（2）投标人恶意串通投标情形的；</w:t>
      </w:r>
    </w:p>
    <w:p w14:paraId="6F741366">
      <w:pPr>
        <w:pStyle w:val="2"/>
        <w:keepNext w:val="0"/>
        <w:keepLines w:val="0"/>
        <w:widowControl/>
        <w:suppressLineNumbers w:val="0"/>
        <w:ind w:left="480"/>
        <w:jc w:val="both"/>
        <w:rPr>
          <w:b/>
          <w:bCs/>
          <w:sz w:val="24"/>
          <w:szCs w:val="24"/>
          <w:highlight w:val="none"/>
        </w:rPr>
      </w:pPr>
      <w:r>
        <w:rPr>
          <w:rFonts w:hint="eastAsia" w:ascii="仿宋" w:hAnsi="仿宋" w:eastAsia="仿宋" w:cs="仿宋"/>
          <w:b/>
          <w:bCs/>
          <w:sz w:val="24"/>
          <w:szCs w:val="24"/>
          <w:highlight w:val="none"/>
        </w:rPr>
        <w:t>（3）投标人投标报价经评审判定存在明显故意重大不平衡报价或低于成本价的；</w:t>
      </w:r>
    </w:p>
    <w:p w14:paraId="1D9D0486">
      <w:pPr>
        <w:pStyle w:val="2"/>
        <w:keepNext w:val="0"/>
        <w:keepLines w:val="0"/>
        <w:widowControl/>
        <w:suppressLineNumbers w:val="0"/>
        <w:ind w:left="480"/>
        <w:jc w:val="both"/>
        <w:rPr>
          <w:sz w:val="24"/>
          <w:szCs w:val="24"/>
          <w:highlight w:val="none"/>
        </w:rPr>
      </w:pPr>
      <w:r>
        <w:rPr>
          <w:rFonts w:hint="eastAsia" w:ascii="仿宋" w:hAnsi="仿宋" w:eastAsia="仿宋" w:cs="仿宋"/>
          <w:b/>
          <w:bCs/>
          <w:sz w:val="24"/>
          <w:szCs w:val="24"/>
          <w:highlight w:val="none"/>
        </w:rPr>
        <w:t>（4）在招标中，出现影响采购公正的违法、违规行为的。</w:t>
      </w:r>
    </w:p>
    <w:p w14:paraId="1760FAB8">
      <w:pPr>
        <w:pStyle w:val="2"/>
        <w:keepNext w:val="0"/>
        <w:keepLines w:val="0"/>
        <w:widowControl/>
        <w:suppressLineNumbers w:val="0"/>
        <w:jc w:val="both"/>
        <w:rPr>
          <w:highlight w:val="none"/>
        </w:rPr>
      </w:pPr>
      <w:r>
        <w:rPr>
          <w:rStyle w:val="6"/>
          <w:rFonts w:hint="eastAsia" w:ascii="宋体" w:hAnsi="宋体" w:eastAsia="宋体" w:cs="宋体"/>
          <w:sz w:val="24"/>
          <w:szCs w:val="24"/>
          <w:highlight w:val="none"/>
        </w:rPr>
        <w:t>第九条： 时间要求</w:t>
      </w:r>
    </w:p>
    <w:p w14:paraId="1CBE493C">
      <w:pPr>
        <w:pStyle w:val="2"/>
        <w:keepNext w:val="0"/>
        <w:keepLines w:val="0"/>
        <w:widowControl/>
        <w:numPr>
          <w:ilvl w:val="0"/>
          <w:numId w:val="1"/>
        </w:numPr>
        <w:suppressLineNumbers w:val="0"/>
        <w:ind w:left="480"/>
        <w:jc w:val="both"/>
        <w:rPr>
          <w:rFonts w:hint="default" w:ascii="仿宋" w:hAnsi="仿宋" w:eastAsia="仿宋" w:cs="仿宋"/>
          <w:sz w:val="28"/>
          <w:szCs w:val="28"/>
          <w:highlight w:val="none"/>
          <w:u w:val="single"/>
          <w:lang w:val="en-US" w:eastAsia="zh-CN"/>
        </w:rPr>
      </w:pPr>
      <w:r>
        <w:rPr>
          <w:rFonts w:hint="eastAsia" w:ascii="仿宋" w:hAnsi="仿宋" w:eastAsia="仿宋" w:cs="仿宋"/>
          <w:b/>
          <w:bCs/>
          <w:sz w:val="28"/>
          <w:szCs w:val="28"/>
          <w:highlight w:val="none"/>
        </w:rPr>
        <w:t>投标截止时间</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lang w:val="en-US" w:eastAsia="zh-CN"/>
        </w:rPr>
        <w:t>2025-06-08  11:00</w:t>
      </w:r>
    </w:p>
    <w:p w14:paraId="55101AE2">
      <w:pPr>
        <w:pStyle w:val="2"/>
        <w:keepNext w:val="0"/>
        <w:keepLines w:val="0"/>
        <w:widowControl/>
        <w:numPr>
          <w:ilvl w:val="0"/>
          <w:numId w:val="1"/>
        </w:numPr>
        <w:suppressLineNumbers w:val="0"/>
        <w:ind w:left="480"/>
        <w:jc w:val="both"/>
        <w:rPr>
          <w:rFonts w:hint="default" w:ascii="仿宋" w:hAnsi="仿宋" w:eastAsia="仿宋" w:cs="仿宋"/>
          <w:sz w:val="28"/>
          <w:szCs w:val="28"/>
          <w:highlight w:val="none"/>
          <w:u w:val="single"/>
          <w:lang w:val="en-US" w:eastAsia="zh-CN"/>
        </w:rPr>
      </w:pPr>
      <w:r>
        <w:rPr>
          <w:rFonts w:hint="eastAsia" w:ascii="仿宋" w:hAnsi="仿宋" w:eastAsia="仿宋" w:cs="仿宋"/>
          <w:b/>
          <w:bCs/>
          <w:sz w:val="28"/>
          <w:szCs w:val="28"/>
          <w:highlight w:val="none"/>
        </w:rPr>
        <w:t>开标时间</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lang w:val="en-US" w:eastAsia="zh-CN"/>
        </w:rPr>
        <w:t>2025-06-08  13:00</w:t>
      </w:r>
    </w:p>
    <w:p w14:paraId="0245FA3D">
      <w:pPr>
        <w:pStyle w:val="2"/>
        <w:keepNext w:val="0"/>
        <w:keepLines w:val="0"/>
        <w:widowControl/>
        <w:suppressLineNumbers w:val="0"/>
        <w:jc w:val="both"/>
        <w:rPr>
          <w:highlight w:val="none"/>
        </w:rPr>
      </w:pPr>
      <w:r>
        <w:rPr>
          <w:rStyle w:val="6"/>
          <w:rFonts w:hint="eastAsia" w:ascii="宋体" w:hAnsi="宋体" w:eastAsia="宋体" w:cs="宋体"/>
          <w:sz w:val="24"/>
          <w:szCs w:val="24"/>
          <w:highlight w:val="none"/>
        </w:rPr>
        <w:t>第十条： 其它</w:t>
      </w:r>
    </w:p>
    <w:p w14:paraId="33FF6298">
      <w:pPr>
        <w:pStyle w:val="2"/>
        <w:keepNext w:val="0"/>
        <w:keepLines w:val="0"/>
        <w:widowControl/>
        <w:suppressLineNumbers w:val="0"/>
        <w:ind w:left="480"/>
        <w:jc w:val="both"/>
        <w:rPr>
          <w:b/>
          <w:bCs/>
          <w:sz w:val="28"/>
          <w:szCs w:val="28"/>
          <w:highlight w:val="none"/>
        </w:rPr>
      </w:pPr>
      <w:r>
        <w:rPr>
          <w:rStyle w:val="6"/>
          <w:rFonts w:hint="eastAsia" w:ascii="仿宋" w:hAnsi="仿宋" w:eastAsia="仿宋" w:cs="仿宋"/>
          <w:sz w:val="28"/>
          <w:szCs w:val="28"/>
          <w:highlight w:val="none"/>
        </w:rPr>
        <w:t>1、</w:t>
      </w:r>
      <w:r>
        <w:rPr>
          <w:rFonts w:hint="eastAsia" w:ascii="仿宋" w:hAnsi="仿宋" w:eastAsia="仿宋" w:cs="仿宋"/>
          <w:b/>
          <w:bCs/>
          <w:sz w:val="28"/>
          <w:szCs w:val="28"/>
          <w:highlight w:val="none"/>
        </w:rPr>
        <w:t>投标方在货物全部供齐之前，不得因资金问题停止供货，影响正常施工，给招标方造成的一切经济损失，由投标方承担。</w:t>
      </w:r>
    </w:p>
    <w:p w14:paraId="611D7EF5">
      <w:pPr>
        <w:pStyle w:val="2"/>
        <w:keepNext w:val="0"/>
        <w:keepLines w:val="0"/>
        <w:widowControl/>
        <w:suppressLineNumbers w:val="0"/>
        <w:ind w:left="480"/>
        <w:jc w:val="both"/>
        <w:rPr>
          <w:b/>
          <w:bCs/>
          <w:sz w:val="28"/>
          <w:szCs w:val="28"/>
          <w:highlight w:val="none"/>
        </w:rPr>
      </w:pPr>
      <w:r>
        <w:rPr>
          <w:rStyle w:val="6"/>
          <w:rFonts w:hint="eastAsia" w:ascii="仿宋" w:hAnsi="仿宋" w:eastAsia="仿宋" w:cs="仿宋"/>
          <w:b/>
          <w:bCs/>
          <w:sz w:val="28"/>
          <w:szCs w:val="28"/>
          <w:highlight w:val="none"/>
        </w:rPr>
        <w:t>2、</w:t>
      </w:r>
      <w:r>
        <w:rPr>
          <w:rFonts w:hint="eastAsia" w:ascii="仿宋" w:hAnsi="仿宋" w:eastAsia="仿宋" w:cs="仿宋"/>
          <w:b/>
          <w:bCs/>
          <w:sz w:val="28"/>
          <w:szCs w:val="28"/>
          <w:highlight w:val="none"/>
        </w:rPr>
        <w:t>环境、职业健康安全对投标方的要求</w:t>
      </w:r>
    </w:p>
    <w:p w14:paraId="3A92E21D">
      <w:pPr>
        <w:pStyle w:val="2"/>
        <w:keepNext w:val="0"/>
        <w:keepLines w:val="0"/>
        <w:widowControl/>
        <w:suppressLineNumbers w:val="0"/>
        <w:ind w:left="480"/>
        <w:jc w:val="both"/>
        <w:rPr>
          <w:b/>
          <w:bCs/>
          <w:sz w:val="28"/>
          <w:szCs w:val="28"/>
          <w:highlight w:val="none"/>
        </w:rPr>
      </w:pPr>
      <w:r>
        <w:rPr>
          <w:rFonts w:hint="eastAsia" w:ascii="仿宋" w:hAnsi="仿宋" w:eastAsia="仿宋" w:cs="仿宋"/>
          <w:b/>
          <w:bCs/>
          <w:sz w:val="28"/>
          <w:szCs w:val="28"/>
          <w:highlight w:val="none"/>
          <w:u w:val="single"/>
        </w:rPr>
        <w:t>(1) 运输车辆尾气排放符合省、直辖市环保部门要求；</w:t>
      </w:r>
    </w:p>
    <w:p w14:paraId="6600C363">
      <w:pPr>
        <w:pStyle w:val="2"/>
        <w:keepNext w:val="0"/>
        <w:keepLines w:val="0"/>
        <w:widowControl/>
        <w:suppressLineNumbers w:val="0"/>
        <w:ind w:left="480"/>
        <w:jc w:val="both"/>
        <w:rPr>
          <w:b/>
          <w:bCs/>
          <w:sz w:val="28"/>
          <w:szCs w:val="28"/>
          <w:highlight w:val="none"/>
        </w:rPr>
      </w:pPr>
      <w:r>
        <w:rPr>
          <w:rFonts w:hint="eastAsia" w:ascii="仿宋" w:hAnsi="仿宋" w:eastAsia="仿宋" w:cs="仿宋"/>
          <w:b/>
          <w:bCs/>
          <w:sz w:val="28"/>
          <w:szCs w:val="28"/>
          <w:highlight w:val="none"/>
          <w:u w:val="single"/>
        </w:rPr>
        <w:t>(2) 出场车辆整洁，车况保持良好；</w:t>
      </w:r>
    </w:p>
    <w:p w14:paraId="22D64CE2">
      <w:pPr>
        <w:pStyle w:val="2"/>
        <w:keepNext w:val="0"/>
        <w:keepLines w:val="0"/>
        <w:widowControl/>
        <w:suppressLineNumbers w:val="0"/>
        <w:ind w:left="480"/>
        <w:jc w:val="both"/>
        <w:rPr>
          <w:b/>
          <w:bCs/>
          <w:sz w:val="28"/>
          <w:szCs w:val="28"/>
          <w:highlight w:val="none"/>
        </w:rPr>
      </w:pPr>
      <w:r>
        <w:rPr>
          <w:rFonts w:hint="eastAsia" w:ascii="仿宋" w:hAnsi="仿宋" w:eastAsia="仿宋" w:cs="仿宋"/>
          <w:b/>
          <w:bCs/>
          <w:sz w:val="28"/>
          <w:szCs w:val="28"/>
          <w:highlight w:val="none"/>
          <w:u w:val="single"/>
        </w:rPr>
        <w:t>(3) 投标方应严格遵守招标方施工场区内各项环境、职业健康安全管理规定；</w:t>
      </w:r>
    </w:p>
    <w:p w14:paraId="22F7247A">
      <w:pPr>
        <w:pStyle w:val="2"/>
        <w:keepNext w:val="0"/>
        <w:keepLines w:val="0"/>
        <w:widowControl/>
        <w:suppressLineNumbers w:val="0"/>
        <w:ind w:left="480"/>
        <w:jc w:val="both"/>
        <w:rPr>
          <w:b/>
          <w:bCs/>
          <w:sz w:val="28"/>
          <w:szCs w:val="28"/>
          <w:highlight w:val="none"/>
        </w:rPr>
      </w:pPr>
      <w:r>
        <w:rPr>
          <w:rFonts w:hint="eastAsia" w:ascii="仿宋" w:hAnsi="仿宋" w:eastAsia="仿宋" w:cs="仿宋"/>
          <w:b/>
          <w:bCs/>
          <w:sz w:val="28"/>
          <w:szCs w:val="28"/>
          <w:highlight w:val="none"/>
          <w:u w:val="single"/>
        </w:rPr>
        <w:t>(4) 车辆和人员在施工现场内移动，由于车辆和人员原因造成的安全事故，一律由投标方负责；</w:t>
      </w:r>
    </w:p>
    <w:p w14:paraId="0438CDD4">
      <w:pPr>
        <w:pStyle w:val="2"/>
        <w:keepNext w:val="0"/>
        <w:keepLines w:val="0"/>
        <w:widowControl/>
        <w:suppressLineNumbers w:val="0"/>
        <w:ind w:left="480"/>
        <w:jc w:val="both"/>
        <w:rPr>
          <w:rFonts w:hint="eastAsia" w:ascii="仿宋" w:hAnsi="仿宋" w:eastAsia="仿宋" w:cs="仿宋"/>
          <w:b/>
          <w:bCs/>
          <w:sz w:val="28"/>
          <w:szCs w:val="28"/>
          <w:highlight w:val="none"/>
          <w:u w:val="single"/>
        </w:rPr>
      </w:pPr>
      <w:r>
        <w:rPr>
          <w:rStyle w:val="6"/>
          <w:rFonts w:hint="eastAsia" w:ascii="仿宋" w:hAnsi="仿宋" w:eastAsia="仿宋" w:cs="仿宋"/>
          <w:b/>
          <w:bCs/>
          <w:sz w:val="28"/>
          <w:szCs w:val="28"/>
          <w:highlight w:val="none"/>
        </w:rPr>
        <w:t>3、</w:t>
      </w:r>
      <w:r>
        <w:rPr>
          <w:rFonts w:hint="eastAsia" w:ascii="仿宋" w:hAnsi="仿宋" w:eastAsia="仿宋" w:cs="仿宋"/>
          <w:b/>
          <w:bCs/>
          <w:sz w:val="28"/>
          <w:szCs w:val="28"/>
          <w:highlight w:val="none"/>
        </w:rPr>
        <w:t>合同争议的解决方式：</w:t>
      </w:r>
      <w:r>
        <w:rPr>
          <w:rFonts w:hint="eastAsia" w:ascii="仿宋" w:hAnsi="仿宋" w:eastAsia="仿宋" w:cs="仿宋"/>
          <w:b/>
          <w:bCs/>
          <w:sz w:val="28"/>
          <w:szCs w:val="28"/>
          <w:highlight w:val="none"/>
          <w:u w:val="single"/>
        </w:rPr>
        <w:t>在合同履行过程中，如出现争议，须由招、投标双方先行协商解决，协商不成时，可到招标方</w:t>
      </w:r>
      <w:r>
        <w:rPr>
          <w:rFonts w:hint="eastAsia" w:ascii="仿宋" w:hAnsi="仿宋" w:eastAsia="仿宋" w:cs="仿宋"/>
          <w:b/>
          <w:bCs/>
          <w:sz w:val="28"/>
          <w:szCs w:val="28"/>
          <w:highlight w:val="none"/>
          <w:u w:val="single"/>
          <w:lang w:val="en-US" w:eastAsia="zh-CN"/>
        </w:rPr>
        <w:t>指定</w:t>
      </w:r>
      <w:r>
        <w:rPr>
          <w:rFonts w:hint="eastAsia" w:ascii="仿宋" w:hAnsi="仿宋" w:eastAsia="仿宋" w:cs="仿宋"/>
          <w:b/>
          <w:bCs/>
          <w:sz w:val="28"/>
          <w:szCs w:val="28"/>
          <w:highlight w:val="none"/>
          <w:u w:val="single"/>
        </w:rPr>
        <w:t>人民法院起诉。</w:t>
      </w:r>
    </w:p>
    <w:p w14:paraId="6F203CB8">
      <w:pPr>
        <w:pStyle w:val="2"/>
        <w:keepNext w:val="0"/>
        <w:keepLines w:val="0"/>
        <w:widowControl/>
        <w:suppressLineNumbers w:val="0"/>
        <w:ind w:left="480"/>
        <w:jc w:val="both"/>
        <w:rPr>
          <w:rFonts w:hint="eastAsia" w:ascii="仿宋" w:hAnsi="仿宋" w:eastAsia="仿宋" w:cs="仿宋"/>
          <w:sz w:val="28"/>
          <w:szCs w:val="28"/>
          <w:highlight w:val="none"/>
          <w:u w:val="single"/>
        </w:rPr>
      </w:pPr>
    </w:p>
    <w:p w14:paraId="6CA4B721">
      <w:pPr>
        <w:pStyle w:val="2"/>
        <w:keepNext w:val="0"/>
        <w:keepLines w:val="0"/>
        <w:widowControl/>
        <w:suppressLineNumbers w:val="0"/>
        <w:ind w:left="480"/>
        <w:jc w:val="both"/>
        <w:rPr>
          <w:rFonts w:hint="eastAsia" w:ascii="仿宋" w:hAnsi="仿宋" w:eastAsia="仿宋" w:cs="仿宋"/>
          <w:sz w:val="28"/>
          <w:szCs w:val="28"/>
          <w:highlight w:val="none"/>
          <w:u w:val="single"/>
          <w:lang w:val="en-US" w:eastAsia="zh-CN"/>
        </w:rPr>
      </w:pPr>
    </w:p>
    <w:p w14:paraId="29536E8B">
      <w:pPr>
        <w:pStyle w:val="2"/>
        <w:keepNext w:val="0"/>
        <w:keepLines w:val="0"/>
        <w:widowControl/>
        <w:suppressLineNumbers w:val="0"/>
        <w:ind w:left="480"/>
        <w:jc w:val="both"/>
        <w:rPr>
          <w:rFonts w:hint="eastAsia" w:ascii="仿宋" w:hAnsi="仿宋" w:eastAsia="仿宋" w:cs="仿宋"/>
          <w:sz w:val="28"/>
          <w:szCs w:val="28"/>
          <w:highlight w:val="none"/>
          <w:u w:val="single"/>
          <w:lang w:val="en-US" w:eastAsia="zh-CN"/>
        </w:rPr>
      </w:pPr>
    </w:p>
    <w:p w14:paraId="1913A8F8">
      <w:pPr>
        <w:pStyle w:val="2"/>
        <w:keepNext w:val="0"/>
        <w:keepLines w:val="0"/>
        <w:widowControl/>
        <w:suppressLineNumbers w:val="0"/>
        <w:ind w:left="480"/>
        <w:jc w:val="both"/>
        <w:rPr>
          <w:rFonts w:hint="eastAsia" w:ascii="仿宋" w:hAnsi="仿宋" w:eastAsia="仿宋" w:cs="仿宋"/>
          <w:b/>
          <w:bCs/>
          <w:sz w:val="36"/>
          <w:szCs w:val="36"/>
          <w:highlight w:val="none"/>
          <w:u w:val="none"/>
          <w:lang w:val="en-US" w:eastAsia="zh-CN"/>
        </w:rPr>
      </w:pPr>
    </w:p>
    <w:p w14:paraId="71D93168">
      <w:pPr>
        <w:pStyle w:val="2"/>
        <w:keepNext w:val="0"/>
        <w:keepLines w:val="0"/>
        <w:widowControl/>
        <w:suppressLineNumbers w:val="0"/>
        <w:ind w:left="480"/>
        <w:jc w:val="both"/>
        <w:rPr>
          <w:rFonts w:hint="eastAsia" w:ascii="仿宋" w:hAnsi="仿宋" w:eastAsia="仿宋" w:cs="仿宋"/>
          <w:b/>
          <w:bCs/>
          <w:sz w:val="36"/>
          <w:szCs w:val="36"/>
          <w:highlight w:val="none"/>
          <w:u w:val="none"/>
          <w:lang w:val="en-US" w:eastAsia="zh-CN"/>
        </w:rPr>
      </w:pPr>
    </w:p>
    <w:p w14:paraId="0C3DD42D">
      <w:pPr>
        <w:pStyle w:val="2"/>
        <w:keepNext w:val="0"/>
        <w:keepLines w:val="0"/>
        <w:widowControl/>
        <w:suppressLineNumbers w:val="0"/>
        <w:ind w:left="480"/>
        <w:jc w:val="both"/>
        <w:rPr>
          <w:rFonts w:hint="eastAsia" w:ascii="仿宋" w:hAnsi="仿宋" w:eastAsia="仿宋" w:cs="仿宋"/>
          <w:b/>
          <w:bCs/>
          <w:sz w:val="36"/>
          <w:szCs w:val="36"/>
          <w:highlight w:val="none"/>
          <w:u w:val="none"/>
          <w:lang w:val="en-US" w:eastAsia="zh-CN"/>
        </w:rPr>
      </w:pPr>
    </w:p>
    <w:p w14:paraId="1F2064AA">
      <w:pPr>
        <w:pStyle w:val="2"/>
        <w:keepNext w:val="0"/>
        <w:keepLines w:val="0"/>
        <w:widowControl/>
        <w:suppressLineNumbers w:val="0"/>
        <w:ind w:left="480"/>
        <w:jc w:val="both"/>
        <w:rPr>
          <w:rFonts w:hint="eastAsia" w:ascii="仿宋" w:hAnsi="仿宋" w:eastAsia="仿宋" w:cs="仿宋"/>
          <w:b/>
          <w:bCs/>
          <w:sz w:val="36"/>
          <w:szCs w:val="36"/>
          <w:highlight w:val="none"/>
          <w:u w:val="none"/>
          <w:lang w:val="en-US" w:eastAsia="zh-CN"/>
        </w:rPr>
      </w:pPr>
    </w:p>
    <w:p w14:paraId="021DEB83">
      <w:pPr>
        <w:pStyle w:val="2"/>
        <w:keepNext w:val="0"/>
        <w:keepLines w:val="0"/>
        <w:widowControl/>
        <w:suppressLineNumbers w:val="0"/>
        <w:ind w:left="480"/>
        <w:jc w:val="both"/>
        <w:rPr>
          <w:rFonts w:hint="eastAsia" w:ascii="仿宋" w:hAnsi="仿宋" w:eastAsia="仿宋" w:cs="仿宋"/>
          <w:b/>
          <w:bCs/>
          <w:sz w:val="36"/>
          <w:szCs w:val="36"/>
          <w:highlight w:val="none"/>
          <w:u w:val="none"/>
          <w:lang w:val="en-US" w:eastAsia="zh-CN"/>
        </w:rPr>
      </w:pPr>
    </w:p>
    <w:p w14:paraId="598D2C49">
      <w:pPr>
        <w:pStyle w:val="2"/>
        <w:keepNext w:val="0"/>
        <w:keepLines w:val="0"/>
        <w:widowControl/>
        <w:suppressLineNumbers w:val="0"/>
        <w:ind w:left="480"/>
        <w:jc w:val="both"/>
        <w:rPr>
          <w:rFonts w:hint="eastAsia" w:ascii="仿宋" w:hAnsi="仿宋" w:eastAsia="仿宋" w:cs="仿宋"/>
          <w:b/>
          <w:bCs/>
          <w:sz w:val="36"/>
          <w:szCs w:val="36"/>
          <w:highlight w:val="none"/>
          <w:u w:val="none"/>
          <w:lang w:val="en-US" w:eastAsia="zh-CN"/>
        </w:rPr>
      </w:pPr>
    </w:p>
    <w:p w14:paraId="4BB966BB">
      <w:pPr>
        <w:pStyle w:val="2"/>
        <w:keepNext w:val="0"/>
        <w:keepLines w:val="0"/>
        <w:widowControl/>
        <w:suppressLineNumbers w:val="0"/>
        <w:ind w:firstLine="361" w:firstLineChars="100"/>
        <w:jc w:val="both"/>
        <w:rPr>
          <w:rFonts w:hint="default" w:ascii="仿宋" w:hAnsi="仿宋" w:eastAsia="仿宋" w:cs="仿宋"/>
          <w:b/>
          <w:bCs/>
          <w:sz w:val="36"/>
          <w:szCs w:val="36"/>
          <w:highlight w:val="none"/>
          <w:u w:val="none"/>
          <w:lang w:val="en-US" w:eastAsia="zh-CN"/>
        </w:rPr>
      </w:pPr>
      <w:r>
        <w:rPr>
          <w:rFonts w:hint="eastAsia" w:ascii="仿宋" w:hAnsi="仿宋" w:eastAsia="仿宋" w:cs="仿宋"/>
          <w:b/>
          <w:bCs/>
          <w:sz w:val="36"/>
          <w:szCs w:val="36"/>
          <w:highlight w:val="none"/>
          <w:u w:val="none"/>
          <w:lang w:val="en-US" w:eastAsia="zh-CN"/>
        </w:rPr>
        <w:t>附件1：</w:t>
      </w:r>
    </w:p>
    <w:p w14:paraId="0D02E5ED">
      <w:pPr>
        <w:pStyle w:val="2"/>
        <w:keepNext w:val="0"/>
        <w:keepLines w:val="0"/>
        <w:widowControl/>
        <w:suppressLineNumbers w:val="0"/>
        <w:ind w:firstLine="3534" w:firstLineChars="1100"/>
        <w:jc w:val="both"/>
        <w:rPr>
          <w:rFonts w:hint="eastAsia" w:ascii="仿宋" w:hAnsi="仿宋" w:eastAsia="仿宋" w:cs="仿宋"/>
          <w:b/>
          <w:bCs/>
          <w:sz w:val="32"/>
          <w:szCs w:val="32"/>
          <w:highlight w:val="none"/>
          <w:u w:val="none"/>
          <w:lang w:val="en-US" w:eastAsia="zh-CN"/>
        </w:rPr>
      </w:pPr>
      <w:r>
        <w:rPr>
          <w:rFonts w:hint="eastAsia" w:ascii="仿宋" w:hAnsi="仿宋" w:eastAsia="仿宋" w:cs="仿宋"/>
          <w:b/>
          <w:bCs/>
          <w:sz w:val="32"/>
          <w:szCs w:val="32"/>
          <w:highlight w:val="none"/>
          <w:u w:val="none"/>
          <w:lang w:val="en-US" w:eastAsia="zh-CN"/>
        </w:rPr>
        <w:t>材料明细表</w:t>
      </w:r>
    </w:p>
    <w:tbl>
      <w:tblPr>
        <w:tblStyle w:val="4"/>
        <w:tblW w:w="8772"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30"/>
        <w:gridCol w:w="2260"/>
        <w:gridCol w:w="760"/>
        <w:gridCol w:w="1100"/>
        <w:gridCol w:w="815"/>
        <w:gridCol w:w="1005"/>
        <w:gridCol w:w="1232"/>
      </w:tblGrid>
      <w:tr w14:paraId="3E83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574E46FD">
            <w:pPr>
              <w:pStyle w:val="2"/>
              <w:keepNext w:val="0"/>
              <w:keepLines w:val="0"/>
              <w:widowControl/>
              <w:suppressLineNumbers w:val="0"/>
              <w:jc w:val="center"/>
              <w:rPr>
                <w:rFonts w:hint="default" w:ascii="仿宋" w:hAnsi="仿宋" w:eastAsia="仿宋" w:cs="仿宋"/>
                <w:b/>
                <w:bCs/>
                <w:sz w:val="32"/>
                <w:szCs w:val="32"/>
                <w:highlight w:val="none"/>
                <w:u w:val="none"/>
                <w:vertAlign w:val="baseline"/>
                <w:lang w:val="en-US" w:eastAsia="zh-CN"/>
              </w:rPr>
            </w:pPr>
            <w:r>
              <w:rPr>
                <w:rFonts w:hint="eastAsia" w:ascii="仿宋" w:hAnsi="仿宋" w:eastAsia="仿宋" w:cs="仿宋"/>
                <w:b/>
                <w:bCs/>
                <w:sz w:val="32"/>
                <w:szCs w:val="32"/>
                <w:highlight w:val="none"/>
                <w:u w:val="none"/>
                <w:vertAlign w:val="baseline"/>
                <w:lang w:val="en-US" w:eastAsia="zh-CN"/>
              </w:rPr>
              <w:t>序号</w:t>
            </w:r>
          </w:p>
        </w:tc>
        <w:tc>
          <w:tcPr>
            <w:tcW w:w="1030" w:type="dxa"/>
            <w:vAlign w:val="center"/>
          </w:tcPr>
          <w:p w14:paraId="29B00ACE">
            <w:pPr>
              <w:pStyle w:val="2"/>
              <w:keepNext w:val="0"/>
              <w:keepLines w:val="0"/>
              <w:widowControl/>
              <w:suppressLineNumbers w:val="0"/>
              <w:ind w:left="210" w:leftChars="100"/>
              <w:jc w:val="both"/>
              <w:rPr>
                <w:rFonts w:hint="default" w:ascii="仿宋" w:hAnsi="仿宋" w:eastAsia="仿宋" w:cs="仿宋"/>
                <w:b/>
                <w:bCs/>
                <w:sz w:val="32"/>
                <w:szCs w:val="32"/>
                <w:highlight w:val="none"/>
                <w:u w:val="none"/>
                <w:vertAlign w:val="baseline"/>
                <w:lang w:val="en-US" w:eastAsia="zh-CN"/>
              </w:rPr>
            </w:pPr>
            <w:r>
              <w:rPr>
                <w:rFonts w:hint="eastAsia" w:ascii="仿宋" w:hAnsi="仿宋" w:eastAsia="仿宋" w:cs="仿宋"/>
                <w:b/>
                <w:bCs/>
                <w:sz w:val="32"/>
                <w:szCs w:val="32"/>
                <w:highlight w:val="none"/>
                <w:u w:val="none"/>
                <w:vertAlign w:val="baseline"/>
                <w:lang w:val="en-US" w:eastAsia="zh-CN"/>
              </w:rPr>
              <w:t>材料名称</w:t>
            </w:r>
          </w:p>
        </w:tc>
        <w:tc>
          <w:tcPr>
            <w:tcW w:w="2260" w:type="dxa"/>
            <w:vAlign w:val="center"/>
          </w:tcPr>
          <w:p w14:paraId="00DA7193">
            <w:pPr>
              <w:pStyle w:val="2"/>
              <w:keepNext w:val="0"/>
              <w:keepLines w:val="0"/>
              <w:widowControl/>
              <w:suppressLineNumbers w:val="0"/>
              <w:jc w:val="center"/>
              <w:rPr>
                <w:rFonts w:hint="default" w:ascii="仿宋" w:hAnsi="仿宋" w:eastAsia="仿宋" w:cs="仿宋"/>
                <w:b/>
                <w:bCs/>
                <w:sz w:val="32"/>
                <w:szCs w:val="32"/>
                <w:highlight w:val="none"/>
                <w:u w:val="none"/>
                <w:vertAlign w:val="baseline"/>
                <w:lang w:val="en-US" w:eastAsia="zh-CN"/>
              </w:rPr>
            </w:pPr>
            <w:r>
              <w:rPr>
                <w:rFonts w:hint="eastAsia" w:ascii="仿宋" w:hAnsi="仿宋" w:eastAsia="仿宋" w:cs="仿宋"/>
                <w:b/>
                <w:bCs/>
                <w:sz w:val="32"/>
                <w:szCs w:val="32"/>
                <w:highlight w:val="none"/>
                <w:u w:val="none"/>
                <w:vertAlign w:val="baseline"/>
                <w:lang w:val="en-US" w:eastAsia="zh-CN"/>
              </w:rPr>
              <w:t>规格型号</w:t>
            </w:r>
          </w:p>
        </w:tc>
        <w:tc>
          <w:tcPr>
            <w:tcW w:w="760" w:type="dxa"/>
            <w:vAlign w:val="center"/>
          </w:tcPr>
          <w:p w14:paraId="14364057">
            <w:pPr>
              <w:pStyle w:val="2"/>
              <w:keepNext w:val="0"/>
              <w:keepLines w:val="0"/>
              <w:widowControl/>
              <w:suppressLineNumbers w:val="0"/>
              <w:jc w:val="both"/>
              <w:rPr>
                <w:rFonts w:hint="default" w:ascii="仿宋" w:hAnsi="仿宋" w:eastAsia="仿宋" w:cs="仿宋"/>
                <w:b/>
                <w:bCs/>
                <w:sz w:val="32"/>
                <w:szCs w:val="32"/>
                <w:highlight w:val="none"/>
                <w:u w:val="none"/>
                <w:vertAlign w:val="baseline"/>
                <w:lang w:val="en-US" w:eastAsia="zh-CN"/>
              </w:rPr>
            </w:pPr>
            <w:r>
              <w:rPr>
                <w:rFonts w:hint="eastAsia" w:ascii="仿宋" w:hAnsi="仿宋" w:eastAsia="仿宋" w:cs="仿宋"/>
                <w:b/>
                <w:bCs/>
                <w:sz w:val="32"/>
                <w:szCs w:val="32"/>
                <w:highlight w:val="none"/>
                <w:u w:val="none"/>
                <w:vertAlign w:val="baseline"/>
                <w:lang w:val="en-US" w:eastAsia="zh-CN"/>
              </w:rPr>
              <w:t>单位</w:t>
            </w:r>
          </w:p>
        </w:tc>
        <w:tc>
          <w:tcPr>
            <w:tcW w:w="1100" w:type="dxa"/>
            <w:vAlign w:val="center"/>
          </w:tcPr>
          <w:p w14:paraId="353093C0">
            <w:pPr>
              <w:pStyle w:val="2"/>
              <w:keepNext w:val="0"/>
              <w:keepLines w:val="0"/>
              <w:widowControl/>
              <w:suppressLineNumbers w:val="0"/>
              <w:jc w:val="center"/>
              <w:rPr>
                <w:rFonts w:hint="default" w:ascii="仿宋" w:hAnsi="仿宋" w:eastAsia="仿宋" w:cs="仿宋"/>
                <w:b/>
                <w:bCs/>
                <w:sz w:val="32"/>
                <w:szCs w:val="32"/>
                <w:highlight w:val="none"/>
                <w:u w:val="none"/>
                <w:vertAlign w:val="baseline"/>
                <w:lang w:val="en-US" w:eastAsia="zh-CN"/>
              </w:rPr>
            </w:pPr>
            <w:r>
              <w:rPr>
                <w:rFonts w:hint="eastAsia" w:ascii="仿宋" w:hAnsi="仿宋" w:eastAsia="仿宋" w:cs="仿宋"/>
                <w:b/>
                <w:bCs/>
                <w:sz w:val="32"/>
                <w:szCs w:val="32"/>
                <w:highlight w:val="none"/>
                <w:u w:val="none"/>
                <w:vertAlign w:val="baseline"/>
                <w:lang w:val="en-US" w:eastAsia="zh-CN"/>
              </w:rPr>
              <w:t>数量</w:t>
            </w:r>
          </w:p>
        </w:tc>
        <w:tc>
          <w:tcPr>
            <w:tcW w:w="815" w:type="dxa"/>
            <w:vAlign w:val="center"/>
          </w:tcPr>
          <w:p w14:paraId="7912E47C">
            <w:pPr>
              <w:pStyle w:val="2"/>
              <w:keepNext w:val="0"/>
              <w:keepLines w:val="0"/>
              <w:widowControl/>
              <w:suppressLineNumbers w:val="0"/>
              <w:jc w:val="center"/>
              <w:rPr>
                <w:rFonts w:hint="default" w:ascii="仿宋" w:hAnsi="仿宋" w:eastAsia="仿宋" w:cs="仿宋"/>
                <w:b/>
                <w:bCs/>
                <w:sz w:val="32"/>
                <w:szCs w:val="32"/>
                <w:highlight w:val="none"/>
                <w:u w:val="none"/>
                <w:vertAlign w:val="baseline"/>
                <w:lang w:val="en-US" w:eastAsia="zh-CN"/>
              </w:rPr>
            </w:pPr>
            <w:r>
              <w:rPr>
                <w:rFonts w:hint="eastAsia" w:ascii="仿宋" w:hAnsi="仿宋" w:eastAsia="仿宋" w:cs="仿宋"/>
                <w:b/>
                <w:bCs/>
                <w:sz w:val="32"/>
                <w:szCs w:val="32"/>
                <w:highlight w:val="none"/>
                <w:u w:val="none"/>
                <w:vertAlign w:val="baseline"/>
                <w:lang w:val="en-US" w:eastAsia="zh-CN"/>
              </w:rPr>
              <w:t>税率</w:t>
            </w:r>
          </w:p>
        </w:tc>
        <w:tc>
          <w:tcPr>
            <w:tcW w:w="1005" w:type="dxa"/>
            <w:vAlign w:val="center"/>
          </w:tcPr>
          <w:p w14:paraId="2700165E">
            <w:pPr>
              <w:pStyle w:val="2"/>
              <w:keepNext w:val="0"/>
              <w:keepLines w:val="0"/>
              <w:widowControl/>
              <w:suppressLineNumbers w:val="0"/>
              <w:jc w:val="center"/>
              <w:rPr>
                <w:rFonts w:hint="default" w:ascii="仿宋" w:hAnsi="仿宋" w:eastAsia="仿宋" w:cs="仿宋"/>
                <w:b/>
                <w:bCs/>
                <w:sz w:val="32"/>
                <w:szCs w:val="32"/>
                <w:highlight w:val="none"/>
                <w:u w:val="none"/>
                <w:vertAlign w:val="baseline"/>
                <w:lang w:val="en-US" w:eastAsia="zh-CN"/>
              </w:rPr>
            </w:pPr>
            <w:r>
              <w:rPr>
                <w:rFonts w:hint="eastAsia" w:ascii="仿宋" w:hAnsi="仿宋" w:eastAsia="仿宋" w:cs="仿宋"/>
                <w:b/>
                <w:bCs/>
                <w:sz w:val="32"/>
                <w:szCs w:val="32"/>
                <w:highlight w:val="none"/>
                <w:u w:val="none"/>
                <w:vertAlign w:val="baseline"/>
                <w:lang w:val="en-US" w:eastAsia="zh-CN"/>
              </w:rPr>
              <w:t>含税单价</w:t>
            </w:r>
          </w:p>
        </w:tc>
        <w:tc>
          <w:tcPr>
            <w:tcW w:w="1232" w:type="dxa"/>
            <w:vAlign w:val="center"/>
          </w:tcPr>
          <w:p w14:paraId="6D191538">
            <w:pPr>
              <w:pStyle w:val="2"/>
              <w:keepNext w:val="0"/>
              <w:keepLines w:val="0"/>
              <w:widowControl/>
              <w:suppressLineNumbers w:val="0"/>
              <w:jc w:val="center"/>
              <w:rPr>
                <w:rFonts w:hint="default" w:ascii="仿宋" w:hAnsi="仿宋" w:eastAsia="仿宋" w:cs="仿宋"/>
                <w:b/>
                <w:bCs/>
                <w:sz w:val="32"/>
                <w:szCs w:val="32"/>
                <w:highlight w:val="none"/>
                <w:u w:val="none"/>
                <w:vertAlign w:val="baseline"/>
                <w:lang w:val="en-US" w:eastAsia="zh-CN"/>
              </w:rPr>
            </w:pPr>
            <w:r>
              <w:rPr>
                <w:rFonts w:hint="eastAsia" w:ascii="仿宋" w:hAnsi="仿宋" w:eastAsia="仿宋" w:cs="仿宋"/>
                <w:b/>
                <w:bCs/>
                <w:sz w:val="32"/>
                <w:szCs w:val="32"/>
                <w:highlight w:val="none"/>
                <w:u w:val="none"/>
                <w:vertAlign w:val="baseline"/>
                <w:lang w:val="en-US" w:eastAsia="zh-CN"/>
              </w:rPr>
              <w:t>备注</w:t>
            </w:r>
          </w:p>
        </w:tc>
      </w:tr>
      <w:tr w14:paraId="2452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7C2AA07A">
            <w:pPr>
              <w:pStyle w:val="2"/>
              <w:keepNext w:val="0"/>
              <w:keepLines w:val="0"/>
              <w:widowControl/>
              <w:suppressLineNumbers w:val="0"/>
              <w:jc w:val="center"/>
              <w:rPr>
                <w:rFonts w:hint="default" w:ascii="仿宋" w:hAnsi="仿宋" w:eastAsia="仿宋" w:cs="仿宋"/>
                <w:b/>
                <w:bCs/>
                <w:sz w:val="32"/>
                <w:szCs w:val="32"/>
                <w:highlight w:val="none"/>
                <w:u w:val="none"/>
                <w:vertAlign w:val="baseline"/>
                <w:lang w:val="en-US" w:eastAsia="zh-CN"/>
              </w:rPr>
            </w:pPr>
            <w:r>
              <w:rPr>
                <w:rFonts w:hint="eastAsia" w:ascii="仿宋" w:hAnsi="仿宋" w:eastAsia="仿宋" w:cs="仿宋"/>
                <w:b/>
                <w:bCs/>
                <w:sz w:val="32"/>
                <w:szCs w:val="32"/>
                <w:highlight w:val="none"/>
                <w:u w:val="none"/>
                <w:vertAlign w:val="baseline"/>
                <w:lang w:val="en-US" w:eastAsia="zh-CN"/>
              </w:rPr>
              <w:t>1</w:t>
            </w:r>
          </w:p>
        </w:tc>
        <w:tc>
          <w:tcPr>
            <w:tcW w:w="1030" w:type="dxa"/>
            <w:vAlign w:val="center"/>
          </w:tcPr>
          <w:p w14:paraId="4258F2B0">
            <w:pPr>
              <w:pStyle w:val="2"/>
              <w:keepNext w:val="0"/>
              <w:keepLines w:val="0"/>
              <w:widowControl/>
              <w:suppressLineNumbers w:val="0"/>
              <w:jc w:val="center"/>
              <w:rPr>
                <w:rFonts w:hint="default" w:ascii="仿宋" w:hAnsi="仿宋" w:eastAsia="仿宋" w:cs="仿宋"/>
                <w:b/>
                <w:bCs/>
                <w:sz w:val="32"/>
                <w:szCs w:val="32"/>
                <w:highlight w:val="none"/>
                <w:u w:val="none"/>
                <w:vertAlign w:val="baseline"/>
                <w:lang w:val="en-US" w:eastAsia="zh-CN"/>
              </w:rPr>
            </w:pPr>
            <w:r>
              <w:rPr>
                <w:rFonts w:hint="eastAsia" w:ascii="仿宋" w:hAnsi="仿宋" w:eastAsia="仿宋" w:cs="仿宋"/>
                <w:b w:val="0"/>
                <w:bCs w:val="0"/>
                <w:sz w:val="28"/>
                <w:szCs w:val="28"/>
                <w:highlight w:val="none"/>
                <w:u w:val="none"/>
                <w:vertAlign w:val="baseline"/>
                <w:lang w:val="en-US" w:eastAsia="zh-CN"/>
              </w:rPr>
              <w:t>三维植被网</w:t>
            </w:r>
          </w:p>
        </w:tc>
        <w:tc>
          <w:tcPr>
            <w:tcW w:w="2260" w:type="dxa"/>
            <w:vAlign w:val="center"/>
          </w:tcPr>
          <w:p w14:paraId="581A1B4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三维植被网采用绿色NSS塑料三维土工网，其单位面积质量≥260g/㎡，材料厚度≥12㎜，纵横向拉伸强度≥4KN/m，抗光老化等级应达到Ⅲ级，其他性能指标应符合《公路工程土工合成材料试验规程》JTG E50-2006规定。</w:t>
            </w:r>
          </w:p>
        </w:tc>
        <w:tc>
          <w:tcPr>
            <w:tcW w:w="760" w:type="dxa"/>
            <w:vAlign w:val="center"/>
          </w:tcPr>
          <w:p w14:paraId="47A44F8C">
            <w:pPr>
              <w:pStyle w:val="2"/>
              <w:keepNext w:val="0"/>
              <w:keepLines w:val="0"/>
              <w:widowControl/>
              <w:suppressLineNumbers w:val="0"/>
              <w:jc w:val="center"/>
              <w:rPr>
                <w:rFonts w:hint="default" w:ascii="仿宋" w:hAnsi="仿宋" w:eastAsia="仿宋" w:cs="仿宋"/>
                <w:b w:val="0"/>
                <w:bCs w:val="0"/>
                <w:sz w:val="28"/>
                <w:szCs w:val="28"/>
                <w:highlight w:val="none"/>
                <w:u w:val="none"/>
                <w:vertAlign w:val="baseline"/>
                <w:lang w:val="en-US" w:eastAsia="zh-CN"/>
              </w:rPr>
            </w:pPr>
            <w:r>
              <w:rPr>
                <w:rFonts w:hint="eastAsia" w:ascii="仿宋" w:hAnsi="仿宋" w:eastAsia="仿宋" w:cs="仿宋"/>
                <w:b w:val="0"/>
                <w:bCs w:val="0"/>
                <w:sz w:val="28"/>
                <w:szCs w:val="28"/>
                <w:highlight w:val="none"/>
                <w:u w:val="none"/>
                <w:vertAlign w:val="baseline"/>
                <w:lang w:val="en-US" w:eastAsia="zh-CN"/>
              </w:rPr>
              <w:t>㎡</w:t>
            </w:r>
          </w:p>
        </w:tc>
        <w:tc>
          <w:tcPr>
            <w:tcW w:w="1100" w:type="dxa"/>
            <w:vAlign w:val="center"/>
          </w:tcPr>
          <w:p w14:paraId="446EC298">
            <w:pPr>
              <w:pStyle w:val="2"/>
              <w:keepNext w:val="0"/>
              <w:keepLines w:val="0"/>
              <w:widowControl/>
              <w:suppressLineNumbers w:val="0"/>
              <w:jc w:val="center"/>
              <w:rPr>
                <w:rFonts w:hint="default" w:ascii="仿宋" w:hAnsi="仿宋" w:eastAsia="仿宋" w:cs="仿宋"/>
                <w:b/>
                <w:bCs/>
                <w:sz w:val="32"/>
                <w:szCs w:val="32"/>
                <w:highlight w:val="none"/>
                <w:u w:val="none"/>
                <w:vertAlign w:val="baseline"/>
                <w:lang w:val="en-US" w:eastAsia="zh-CN"/>
              </w:rPr>
            </w:pPr>
            <w:r>
              <w:rPr>
                <w:rFonts w:hint="eastAsia" w:ascii="仿宋" w:hAnsi="仿宋" w:eastAsia="仿宋" w:cs="仿宋"/>
                <w:b w:val="0"/>
                <w:bCs w:val="0"/>
                <w:sz w:val="28"/>
                <w:szCs w:val="28"/>
                <w:highlight w:val="none"/>
                <w:u w:val="none"/>
                <w:vertAlign w:val="baseline"/>
                <w:lang w:val="en-US" w:eastAsia="zh-CN"/>
              </w:rPr>
              <w:t>22600</w:t>
            </w:r>
          </w:p>
        </w:tc>
        <w:tc>
          <w:tcPr>
            <w:tcW w:w="815" w:type="dxa"/>
            <w:vAlign w:val="center"/>
          </w:tcPr>
          <w:p w14:paraId="3C90B242">
            <w:pPr>
              <w:pStyle w:val="2"/>
              <w:keepNext w:val="0"/>
              <w:keepLines w:val="0"/>
              <w:widowControl/>
              <w:suppressLineNumbers w:val="0"/>
              <w:jc w:val="center"/>
              <w:rPr>
                <w:rFonts w:hint="default" w:ascii="仿宋" w:hAnsi="仿宋" w:eastAsia="仿宋" w:cs="仿宋"/>
                <w:b/>
                <w:bCs/>
                <w:sz w:val="32"/>
                <w:szCs w:val="32"/>
                <w:highlight w:val="none"/>
                <w:u w:val="none"/>
                <w:vertAlign w:val="baseline"/>
                <w:lang w:val="en-US" w:eastAsia="zh-CN"/>
              </w:rPr>
            </w:pPr>
            <w:r>
              <w:rPr>
                <w:rFonts w:hint="eastAsia" w:ascii="仿宋" w:hAnsi="仿宋" w:eastAsia="仿宋" w:cs="仿宋"/>
                <w:b w:val="0"/>
                <w:bCs w:val="0"/>
                <w:sz w:val="28"/>
                <w:szCs w:val="28"/>
                <w:highlight w:val="none"/>
                <w:u w:val="none"/>
                <w:vertAlign w:val="baseline"/>
                <w:lang w:val="en-US" w:eastAsia="zh-CN"/>
              </w:rPr>
              <w:t>13％</w:t>
            </w:r>
          </w:p>
        </w:tc>
        <w:tc>
          <w:tcPr>
            <w:tcW w:w="1005" w:type="dxa"/>
            <w:vAlign w:val="center"/>
          </w:tcPr>
          <w:p w14:paraId="328A478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32" w:type="dxa"/>
            <w:vAlign w:val="center"/>
          </w:tcPr>
          <w:p w14:paraId="51FAD561">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材料单价含税、运费、装卸费</w:t>
            </w:r>
          </w:p>
        </w:tc>
      </w:tr>
      <w:tr w14:paraId="5F6D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5D4C2006">
            <w:pPr>
              <w:pStyle w:val="2"/>
              <w:keepNext w:val="0"/>
              <w:keepLines w:val="0"/>
              <w:widowControl/>
              <w:suppressLineNumbers w:val="0"/>
              <w:jc w:val="center"/>
              <w:rPr>
                <w:rFonts w:hint="default" w:ascii="仿宋" w:hAnsi="仿宋" w:eastAsia="仿宋" w:cs="仿宋"/>
                <w:b/>
                <w:bCs/>
                <w:sz w:val="32"/>
                <w:szCs w:val="32"/>
                <w:highlight w:val="none"/>
                <w:u w:val="none"/>
                <w:vertAlign w:val="baseline"/>
                <w:lang w:val="en-US" w:eastAsia="zh-CN"/>
              </w:rPr>
            </w:pPr>
          </w:p>
        </w:tc>
        <w:tc>
          <w:tcPr>
            <w:tcW w:w="1030" w:type="dxa"/>
            <w:vAlign w:val="center"/>
          </w:tcPr>
          <w:p w14:paraId="7ED0CEB1">
            <w:pPr>
              <w:pStyle w:val="2"/>
              <w:keepNext w:val="0"/>
              <w:keepLines w:val="0"/>
              <w:widowControl/>
              <w:suppressLineNumbers w:val="0"/>
              <w:jc w:val="center"/>
              <w:rPr>
                <w:rFonts w:hint="default" w:ascii="仿宋" w:hAnsi="仿宋" w:eastAsia="仿宋" w:cs="仿宋"/>
                <w:b/>
                <w:bCs/>
                <w:sz w:val="32"/>
                <w:szCs w:val="32"/>
                <w:highlight w:val="none"/>
                <w:u w:val="none"/>
                <w:vertAlign w:val="baseline"/>
                <w:lang w:val="en-US" w:eastAsia="zh-CN"/>
              </w:rPr>
            </w:pPr>
          </w:p>
        </w:tc>
        <w:tc>
          <w:tcPr>
            <w:tcW w:w="2260" w:type="dxa"/>
            <w:vAlign w:val="center"/>
          </w:tcPr>
          <w:p w14:paraId="55613A2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760" w:type="dxa"/>
            <w:vAlign w:val="center"/>
          </w:tcPr>
          <w:p w14:paraId="3C1B3854">
            <w:pPr>
              <w:pStyle w:val="2"/>
              <w:keepNext w:val="0"/>
              <w:keepLines w:val="0"/>
              <w:widowControl/>
              <w:suppressLineNumbers w:val="0"/>
              <w:jc w:val="center"/>
              <w:rPr>
                <w:rFonts w:hint="eastAsia" w:ascii="仿宋" w:hAnsi="仿宋" w:eastAsia="仿宋" w:cs="仿宋"/>
                <w:b w:val="0"/>
                <w:bCs w:val="0"/>
                <w:sz w:val="28"/>
                <w:szCs w:val="28"/>
                <w:highlight w:val="none"/>
                <w:u w:val="none"/>
                <w:vertAlign w:val="baseline"/>
                <w:lang w:val="en-US" w:eastAsia="zh-CN"/>
              </w:rPr>
            </w:pPr>
          </w:p>
        </w:tc>
        <w:tc>
          <w:tcPr>
            <w:tcW w:w="1100" w:type="dxa"/>
            <w:vAlign w:val="center"/>
          </w:tcPr>
          <w:p w14:paraId="3B45E66F">
            <w:pPr>
              <w:pStyle w:val="2"/>
              <w:keepNext w:val="0"/>
              <w:keepLines w:val="0"/>
              <w:widowControl/>
              <w:suppressLineNumbers w:val="0"/>
              <w:jc w:val="center"/>
              <w:rPr>
                <w:rFonts w:hint="default" w:ascii="仿宋" w:hAnsi="仿宋" w:eastAsia="仿宋" w:cs="仿宋"/>
                <w:b w:val="0"/>
                <w:bCs w:val="0"/>
                <w:sz w:val="28"/>
                <w:szCs w:val="28"/>
                <w:highlight w:val="none"/>
                <w:u w:val="none"/>
                <w:vertAlign w:val="baseline"/>
                <w:lang w:val="en-US" w:eastAsia="zh-CN"/>
              </w:rPr>
            </w:pPr>
          </w:p>
        </w:tc>
        <w:tc>
          <w:tcPr>
            <w:tcW w:w="815" w:type="dxa"/>
            <w:vAlign w:val="center"/>
          </w:tcPr>
          <w:p w14:paraId="3B7B26FA">
            <w:pPr>
              <w:pStyle w:val="2"/>
              <w:keepNext w:val="0"/>
              <w:keepLines w:val="0"/>
              <w:widowControl/>
              <w:suppressLineNumbers w:val="0"/>
              <w:jc w:val="center"/>
              <w:rPr>
                <w:rFonts w:hint="default" w:ascii="仿宋" w:hAnsi="仿宋" w:eastAsia="仿宋" w:cs="仿宋"/>
                <w:b w:val="0"/>
                <w:bCs w:val="0"/>
                <w:sz w:val="28"/>
                <w:szCs w:val="28"/>
                <w:highlight w:val="none"/>
                <w:u w:val="none"/>
                <w:vertAlign w:val="baseline"/>
                <w:lang w:val="en-US" w:eastAsia="zh-CN"/>
              </w:rPr>
            </w:pPr>
          </w:p>
        </w:tc>
        <w:tc>
          <w:tcPr>
            <w:tcW w:w="1005" w:type="dxa"/>
            <w:vAlign w:val="center"/>
          </w:tcPr>
          <w:p w14:paraId="46011DE0">
            <w:pPr>
              <w:pStyle w:val="2"/>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p>
        </w:tc>
        <w:tc>
          <w:tcPr>
            <w:tcW w:w="1232" w:type="dxa"/>
            <w:vAlign w:val="center"/>
          </w:tcPr>
          <w:p w14:paraId="65FC0D83">
            <w:pPr>
              <w:pStyle w:val="2"/>
              <w:keepNext w:val="0"/>
              <w:keepLines w:val="0"/>
              <w:widowControl/>
              <w:suppressLineNumbers w:val="0"/>
              <w:jc w:val="center"/>
              <w:rPr>
                <w:rFonts w:hint="eastAsia" w:ascii="仿宋" w:hAnsi="仿宋" w:eastAsia="仿宋" w:cs="仿宋"/>
                <w:b/>
                <w:bCs/>
                <w:sz w:val="32"/>
                <w:szCs w:val="32"/>
                <w:highlight w:val="none"/>
                <w:u w:val="none"/>
                <w:vertAlign w:val="baseline"/>
                <w:lang w:val="en-US" w:eastAsia="zh-CN"/>
              </w:rPr>
            </w:pPr>
          </w:p>
        </w:tc>
      </w:tr>
    </w:tbl>
    <w:p w14:paraId="0B95543E">
      <w:pPr>
        <w:pStyle w:val="2"/>
        <w:keepNext w:val="0"/>
        <w:keepLines w:val="0"/>
        <w:widowControl/>
        <w:suppressLineNumbers w:val="0"/>
        <w:ind w:left="480"/>
        <w:jc w:val="left"/>
        <w:rPr>
          <w:rFonts w:hint="eastAsia" w:ascii="仿宋" w:hAnsi="仿宋" w:eastAsia="仿宋" w:cs="仿宋"/>
          <w:b/>
          <w:bCs/>
          <w:sz w:val="32"/>
          <w:szCs w:val="32"/>
          <w:highlight w:val="none"/>
          <w:u w:val="none"/>
          <w:lang w:val="en-US" w:eastAsia="zh-CN"/>
        </w:rPr>
      </w:pPr>
    </w:p>
    <w:p w14:paraId="725A4E76">
      <w:pPr>
        <w:pStyle w:val="2"/>
        <w:keepNext w:val="0"/>
        <w:keepLines w:val="0"/>
        <w:widowControl/>
        <w:suppressLineNumbers w:val="0"/>
        <w:ind w:left="480"/>
        <w:jc w:val="both"/>
        <w:rPr>
          <w:rFonts w:hint="default" w:ascii="仿宋" w:hAnsi="仿宋" w:eastAsia="仿宋" w:cs="仿宋"/>
          <w:sz w:val="28"/>
          <w:szCs w:val="28"/>
          <w:highlight w:val="none"/>
          <w:u w:val="single"/>
          <w:lang w:val="en-US" w:eastAsia="zh-CN"/>
        </w:rPr>
      </w:pPr>
    </w:p>
    <w:p w14:paraId="6B735B17">
      <w:pPr>
        <w:pStyle w:val="2"/>
        <w:keepNext w:val="0"/>
        <w:keepLines w:val="0"/>
        <w:widowControl/>
        <w:suppressLineNumbers w:val="0"/>
        <w:ind w:left="480"/>
        <w:jc w:val="both"/>
        <w:rPr>
          <w:rFonts w:hint="default" w:ascii="仿宋" w:hAnsi="仿宋" w:eastAsia="仿宋" w:cs="仿宋"/>
          <w:sz w:val="28"/>
          <w:szCs w:val="28"/>
          <w:highlight w:val="none"/>
          <w:u w:val="single"/>
          <w:lang w:val="en-US" w:eastAsia="zh-CN"/>
        </w:rPr>
      </w:pPr>
    </w:p>
    <w:p w14:paraId="76C1A09F">
      <w:pPr>
        <w:pStyle w:val="2"/>
        <w:keepNext w:val="0"/>
        <w:keepLines w:val="0"/>
        <w:widowControl/>
        <w:suppressLineNumbers w:val="0"/>
        <w:ind w:left="480"/>
        <w:jc w:val="both"/>
        <w:rPr>
          <w:rFonts w:hint="default" w:ascii="仿宋" w:hAnsi="仿宋" w:eastAsia="仿宋" w:cs="仿宋"/>
          <w:sz w:val="28"/>
          <w:szCs w:val="28"/>
          <w:highlight w:val="none"/>
          <w:u w:val="single"/>
          <w:lang w:val="en-US" w:eastAsia="zh-CN"/>
        </w:rPr>
      </w:pPr>
    </w:p>
    <w:p w14:paraId="1BD06232">
      <w:pPr>
        <w:pStyle w:val="2"/>
        <w:keepNext w:val="0"/>
        <w:keepLines w:val="0"/>
        <w:widowControl/>
        <w:suppressLineNumbers w:val="0"/>
        <w:jc w:val="both"/>
        <w:rPr>
          <w:rFonts w:hint="default" w:ascii="仿宋" w:hAnsi="仿宋" w:eastAsia="仿宋" w:cs="仿宋"/>
          <w:sz w:val="28"/>
          <w:szCs w:val="28"/>
          <w:highlight w:val="none"/>
          <w:u w:val="single"/>
          <w:lang w:val="en-US" w:eastAsia="zh-CN"/>
        </w:rPr>
      </w:pPr>
    </w:p>
    <w:p w14:paraId="6B3F5CD4">
      <w:pPr>
        <w:pStyle w:val="2"/>
        <w:keepNext w:val="0"/>
        <w:keepLines w:val="0"/>
        <w:widowControl/>
        <w:suppressLineNumbers w:val="0"/>
        <w:ind w:firstLine="361" w:firstLineChars="100"/>
        <w:jc w:val="both"/>
        <w:rPr>
          <w:rFonts w:hint="eastAsia" w:ascii="仿宋" w:hAnsi="仿宋" w:eastAsia="仿宋" w:cs="仿宋"/>
          <w:b/>
          <w:bCs/>
          <w:sz w:val="36"/>
          <w:szCs w:val="36"/>
          <w:highlight w:val="none"/>
          <w:u w:val="none"/>
          <w:lang w:val="en-US" w:eastAsia="zh-CN"/>
        </w:rPr>
      </w:pPr>
      <w:r>
        <w:rPr>
          <w:rFonts w:hint="eastAsia" w:ascii="仿宋" w:hAnsi="仿宋" w:eastAsia="仿宋" w:cs="仿宋"/>
          <w:b/>
          <w:bCs/>
          <w:sz w:val="36"/>
          <w:szCs w:val="36"/>
          <w:highlight w:val="none"/>
          <w:u w:val="none"/>
          <w:lang w:val="en-US" w:eastAsia="zh-CN"/>
        </w:rPr>
        <w:t>附件2：</w:t>
      </w:r>
    </w:p>
    <w:p w14:paraId="6A387D84">
      <w:pPr>
        <w:pStyle w:val="2"/>
        <w:keepNext w:val="0"/>
        <w:keepLines w:val="0"/>
        <w:widowControl/>
        <w:suppressLineNumbers w:val="0"/>
        <w:ind w:firstLine="361" w:firstLineChars="100"/>
        <w:jc w:val="center"/>
        <w:rPr>
          <w:rFonts w:hint="default" w:ascii="仿宋" w:hAnsi="仿宋" w:eastAsia="仿宋" w:cs="仿宋"/>
          <w:b/>
          <w:bCs/>
          <w:sz w:val="36"/>
          <w:szCs w:val="36"/>
          <w:highlight w:val="none"/>
          <w:u w:val="none"/>
          <w:lang w:val="en-US" w:eastAsia="zh-CN"/>
        </w:rPr>
      </w:pPr>
      <w:r>
        <w:rPr>
          <w:rFonts w:hint="eastAsia" w:ascii="仿宋" w:hAnsi="仿宋" w:eastAsia="仿宋" w:cs="仿宋"/>
          <w:b/>
          <w:bCs/>
          <w:sz w:val="36"/>
          <w:szCs w:val="36"/>
          <w:highlight w:val="none"/>
          <w:u w:val="none"/>
          <w:lang w:val="en-US" w:eastAsia="zh-CN"/>
        </w:rPr>
        <w:t>质量承诺书</w:t>
      </w:r>
    </w:p>
    <w:p w14:paraId="49E31515">
      <w:pPr>
        <w:pStyle w:val="2"/>
        <w:keepNext w:val="0"/>
        <w:keepLines w:val="0"/>
        <w:widowControl/>
        <w:suppressLineNumbers w:val="0"/>
        <w:spacing w:beforeAutospacing="0" w:afterAutospacing="0"/>
        <w:ind w:firstLine="0" w:firstLineChars="0"/>
        <w:jc w:val="both"/>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尊敬的阜平县农业农村和水利局:</w:t>
      </w:r>
    </w:p>
    <w:p w14:paraId="7D745FE1">
      <w:pPr>
        <w:pStyle w:val="2"/>
        <w:keepNext w:val="0"/>
        <w:keepLines w:val="0"/>
        <w:widowControl/>
        <w:suppressLineNumbers w:val="0"/>
        <w:spacing w:beforeAutospacing="0" w:afterAutospacing="0"/>
        <w:ind w:firstLine="560" w:firstLineChars="200"/>
        <w:jc w:val="both"/>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为了确保提供给你的产品或服务具有卓越的质量，我/我们郑重承诺:</w:t>
      </w:r>
    </w:p>
    <w:p w14:paraId="764B7FBB">
      <w:pPr>
        <w:pStyle w:val="2"/>
        <w:keepNext w:val="0"/>
        <w:keepLines w:val="0"/>
        <w:widowControl/>
        <w:suppressLineNumbers w:val="0"/>
        <w:spacing w:beforeAutospacing="0" w:afterAutospacing="0"/>
        <w:ind w:firstLine="560" w:firstLineChars="200"/>
        <w:jc w:val="both"/>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一、产品质量</w:t>
      </w:r>
    </w:p>
    <w:p w14:paraId="11ACF2D6">
      <w:pPr>
        <w:pStyle w:val="2"/>
        <w:keepNext w:val="0"/>
        <w:keepLines w:val="0"/>
        <w:widowControl/>
        <w:suppressLineNumbers w:val="0"/>
        <w:spacing w:beforeAutospacing="0" w:afterAutospacing="0"/>
        <w:ind w:firstLine="560" w:firstLineChars="200"/>
        <w:jc w:val="both"/>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1.严格依据国家及行业标准生产交付，各项参数达标，所提供各种规格产品符合国家及行业相关技术标准</w:t>
      </w:r>
    </w:p>
    <w:p w14:paraId="7E80482E">
      <w:pPr>
        <w:pStyle w:val="2"/>
        <w:keepNext w:val="0"/>
        <w:keepLines w:val="0"/>
        <w:widowControl/>
        <w:suppressLineNumbers w:val="0"/>
        <w:spacing w:beforeAutospacing="0" w:afterAutospacing="0"/>
        <w:ind w:firstLine="560" w:firstLineChars="200"/>
        <w:jc w:val="both"/>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2.严格质检，一次性质检合格率不低于 100%。</w:t>
      </w:r>
    </w:p>
    <w:p w14:paraId="62251E42">
      <w:pPr>
        <w:pStyle w:val="2"/>
        <w:keepNext w:val="0"/>
        <w:keepLines w:val="0"/>
        <w:widowControl/>
        <w:suppressLineNumbers w:val="0"/>
        <w:spacing w:beforeAutospacing="0" w:afterAutospacing="0"/>
        <w:ind w:firstLine="560" w:firstLineChars="200"/>
        <w:jc w:val="both"/>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二、服务质量</w:t>
      </w:r>
    </w:p>
    <w:p w14:paraId="6291A349">
      <w:pPr>
        <w:pStyle w:val="2"/>
        <w:keepNext w:val="0"/>
        <w:keepLines w:val="0"/>
        <w:widowControl/>
        <w:suppressLineNumbers w:val="0"/>
        <w:spacing w:beforeAutospacing="0" w:afterAutospacing="0"/>
        <w:ind w:firstLine="560" w:firstLineChars="200"/>
        <w:jc w:val="both"/>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1.售前咨询在 24小时内准确解答。</w:t>
      </w:r>
    </w:p>
    <w:p w14:paraId="69633DAC">
      <w:pPr>
        <w:pStyle w:val="2"/>
        <w:keepNext w:val="0"/>
        <w:keepLines w:val="0"/>
        <w:widowControl/>
        <w:suppressLineNumbers w:val="0"/>
        <w:spacing w:beforeAutospacing="0" w:afterAutospacing="0"/>
        <w:ind w:firstLine="560" w:firstLineChars="200"/>
        <w:jc w:val="both"/>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2.售后响应在 48小时内联系并尽快解决,一般问题 48小时内搞定，复杂问题积极协商。</w:t>
      </w:r>
    </w:p>
    <w:p w14:paraId="5C3F0D94">
      <w:pPr>
        <w:pStyle w:val="2"/>
        <w:keepNext w:val="0"/>
        <w:keepLines w:val="0"/>
        <w:widowControl/>
        <w:suppressLineNumbers w:val="0"/>
        <w:spacing w:beforeAutospacing="0" w:afterAutospacing="0"/>
        <w:ind w:firstLine="560" w:firstLineChars="200"/>
        <w:jc w:val="both"/>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3.定期回访。</w:t>
      </w:r>
    </w:p>
    <w:p w14:paraId="64562871">
      <w:pPr>
        <w:pStyle w:val="2"/>
        <w:keepNext w:val="0"/>
        <w:keepLines w:val="0"/>
        <w:widowControl/>
        <w:suppressLineNumbers w:val="0"/>
        <w:spacing w:beforeAutospacing="0" w:afterAutospacing="0"/>
        <w:ind w:firstLine="560" w:firstLineChars="200"/>
        <w:jc w:val="both"/>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三、我公司确保工程设计所需要的材料质量，如果工程参建单位在抽检和检验中不合格，我公司自愿在相关行业部门加入失信黑名单永不祸害社会主义市场!自愿交罚款一百万元交建设单位，不交</w:t>
      </w:r>
      <w:r>
        <w:rPr>
          <w:rFonts w:hint="eastAsia" w:ascii="仿宋" w:hAnsi="仿宋" w:eastAsia="仿宋" w:cs="仿宋"/>
          <w:b w:val="0"/>
          <w:bCs w:val="0"/>
          <w:sz w:val="28"/>
          <w:szCs w:val="28"/>
          <w:highlight w:val="none"/>
          <w:u w:val="none"/>
          <w:lang w:val="en-US" w:eastAsia="zh-CN"/>
        </w:rPr>
        <w:t>自愿</w:t>
      </w:r>
      <w:r>
        <w:rPr>
          <w:rFonts w:hint="default" w:ascii="仿宋" w:hAnsi="仿宋" w:eastAsia="仿宋" w:cs="仿宋"/>
          <w:b w:val="0"/>
          <w:bCs w:val="0"/>
          <w:sz w:val="28"/>
          <w:szCs w:val="28"/>
          <w:highlight w:val="none"/>
          <w:u w:val="none"/>
          <w:lang w:val="en-US" w:eastAsia="zh-CN"/>
        </w:rPr>
        <w:t>承担相关法律责任，赔偿款按签订协议赔偿!</w:t>
      </w:r>
      <w:bookmarkStart w:id="0" w:name="_GoBack"/>
      <w:bookmarkEnd w:id="0"/>
    </w:p>
    <w:p w14:paraId="2950B4C1">
      <w:pPr>
        <w:pStyle w:val="2"/>
        <w:keepNext w:val="0"/>
        <w:keepLines w:val="0"/>
        <w:widowControl/>
        <w:suppressLineNumbers w:val="0"/>
        <w:spacing w:beforeAutospacing="0" w:afterAutospacing="0"/>
        <w:ind w:firstLine="4200" w:firstLineChars="1500"/>
        <w:jc w:val="both"/>
        <w:rPr>
          <w:rFonts w:hint="default" w:ascii="仿宋" w:hAnsi="仿宋" w:eastAsia="仿宋" w:cs="仿宋"/>
          <w:b w:val="0"/>
          <w:bCs w:val="0"/>
          <w:sz w:val="28"/>
          <w:szCs w:val="28"/>
          <w:highlight w:val="none"/>
          <w:u w:val="none"/>
          <w:lang w:val="en-US" w:eastAsia="zh-CN"/>
        </w:rPr>
      </w:pPr>
    </w:p>
    <w:p w14:paraId="6763C13F">
      <w:pPr>
        <w:pStyle w:val="2"/>
        <w:keepNext w:val="0"/>
        <w:keepLines w:val="0"/>
        <w:widowControl/>
        <w:suppressLineNumbers w:val="0"/>
        <w:spacing w:beforeAutospacing="0" w:afterAutospacing="0"/>
        <w:ind w:firstLine="4200" w:firstLineChars="1500"/>
        <w:jc w:val="both"/>
        <w:rPr>
          <w:rFonts w:hint="default" w:ascii="仿宋" w:hAnsi="仿宋" w:eastAsia="仿宋" w:cs="仿宋"/>
          <w:b w:val="0"/>
          <w:bCs w:val="0"/>
          <w:sz w:val="28"/>
          <w:szCs w:val="28"/>
          <w:highlight w:val="none"/>
          <w:u w:val="none"/>
          <w:lang w:val="en-US" w:eastAsia="zh-CN"/>
        </w:rPr>
      </w:pPr>
    </w:p>
    <w:p w14:paraId="093E7F1F">
      <w:pPr>
        <w:pStyle w:val="2"/>
        <w:keepNext w:val="0"/>
        <w:keepLines w:val="0"/>
        <w:widowControl/>
        <w:suppressLineNumbers w:val="0"/>
        <w:spacing w:beforeAutospacing="0" w:afterAutospacing="0"/>
        <w:ind w:firstLine="4760" w:firstLineChars="1700"/>
        <w:jc w:val="both"/>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承诺人/单位:</w:t>
      </w:r>
    </w:p>
    <w:p w14:paraId="28145A40">
      <w:pPr>
        <w:pStyle w:val="2"/>
        <w:keepNext w:val="0"/>
        <w:keepLines w:val="0"/>
        <w:widowControl/>
        <w:suppressLineNumbers w:val="0"/>
        <w:spacing w:beforeAutospacing="0" w:afterAutospacing="0"/>
        <w:ind w:firstLine="5320" w:firstLineChars="1900"/>
        <w:jc w:val="both"/>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年</w:t>
      </w:r>
      <w:r>
        <w:rPr>
          <w:rFonts w:hint="eastAsia" w:ascii="仿宋" w:hAnsi="仿宋" w:eastAsia="仿宋" w:cs="仿宋"/>
          <w:b w:val="0"/>
          <w:bCs w:val="0"/>
          <w:sz w:val="28"/>
          <w:szCs w:val="28"/>
          <w:highlight w:val="none"/>
          <w:u w:val="none"/>
          <w:lang w:val="en-US" w:eastAsia="zh-CN"/>
        </w:rPr>
        <w:t xml:space="preserve">  </w:t>
      </w:r>
      <w:r>
        <w:rPr>
          <w:rFonts w:hint="default" w:ascii="仿宋" w:hAnsi="仿宋" w:eastAsia="仿宋" w:cs="仿宋"/>
          <w:b w:val="0"/>
          <w:bCs w:val="0"/>
          <w:sz w:val="28"/>
          <w:szCs w:val="28"/>
          <w:highlight w:val="none"/>
          <w:u w:val="none"/>
          <w:lang w:val="en-US" w:eastAsia="zh-CN"/>
        </w:rPr>
        <w:t>月</w:t>
      </w:r>
      <w:r>
        <w:rPr>
          <w:rFonts w:hint="eastAsia" w:ascii="仿宋" w:hAnsi="仿宋" w:eastAsia="仿宋" w:cs="仿宋"/>
          <w:b w:val="0"/>
          <w:bCs w:val="0"/>
          <w:sz w:val="28"/>
          <w:szCs w:val="28"/>
          <w:highlight w:val="none"/>
          <w:u w:val="none"/>
          <w:lang w:val="en-US" w:eastAsia="zh-CN"/>
        </w:rPr>
        <w:t xml:space="preserve">  </w:t>
      </w:r>
      <w:r>
        <w:rPr>
          <w:rFonts w:hint="default" w:ascii="仿宋" w:hAnsi="仿宋" w:eastAsia="仿宋" w:cs="仿宋"/>
          <w:b w:val="0"/>
          <w:bCs w:val="0"/>
          <w:sz w:val="28"/>
          <w:szCs w:val="28"/>
          <w:highlight w:val="none"/>
          <w:u w:val="none"/>
          <w:lang w:val="en-US" w:eastAsia="zh-CN"/>
        </w:rPr>
        <w:t>日</w:t>
      </w: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34784"/>
    <w:multiLevelType w:val="singleLevel"/>
    <w:tmpl w:val="184347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NTg1NmY0MDZmOTFmM2JkNDY0OWQzY2NhOWYwMjAifQ=="/>
    <w:docVar w:name="KSO_WPS_MARK_KEY" w:val="1821c661-5ade-4282-8fca-9e4c6793faf3"/>
  </w:docVars>
  <w:rsids>
    <w:rsidRoot w:val="00000000"/>
    <w:rsid w:val="0112114A"/>
    <w:rsid w:val="06503EF7"/>
    <w:rsid w:val="0CD345CA"/>
    <w:rsid w:val="0DFD7E08"/>
    <w:rsid w:val="11433439"/>
    <w:rsid w:val="11AF575B"/>
    <w:rsid w:val="14184FB8"/>
    <w:rsid w:val="14972381"/>
    <w:rsid w:val="166242C9"/>
    <w:rsid w:val="1CCD0937"/>
    <w:rsid w:val="21905709"/>
    <w:rsid w:val="237B2765"/>
    <w:rsid w:val="23E629DD"/>
    <w:rsid w:val="2436174F"/>
    <w:rsid w:val="269423F3"/>
    <w:rsid w:val="2BC900F0"/>
    <w:rsid w:val="31EE51EF"/>
    <w:rsid w:val="33435756"/>
    <w:rsid w:val="36F079A3"/>
    <w:rsid w:val="371601BC"/>
    <w:rsid w:val="38212CC5"/>
    <w:rsid w:val="3BEB48D3"/>
    <w:rsid w:val="3C4F5077"/>
    <w:rsid w:val="3DA77EEA"/>
    <w:rsid w:val="3F4A7E6C"/>
    <w:rsid w:val="3F5860E5"/>
    <w:rsid w:val="40AD15F4"/>
    <w:rsid w:val="462D6600"/>
    <w:rsid w:val="47E25E5B"/>
    <w:rsid w:val="480216F9"/>
    <w:rsid w:val="499879A8"/>
    <w:rsid w:val="4D05641C"/>
    <w:rsid w:val="5523295E"/>
    <w:rsid w:val="57FC3DC7"/>
    <w:rsid w:val="5C893EF1"/>
    <w:rsid w:val="6416019A"/>
    <w:rsid w:val="642F125B"/>
    <w:rsid w:val="66DC6D4D"/>
    <w:rsid w:val="697F17C8"/>
    <w:rsid w:val="6AB07E1F"/>
    <w:rsid w:val="6ADF0BB9"/>
    <w:rsid w:val="6CA83959"/>
    <w:rsid w:val="6E9C3890"/>
    <w:rsid w:val="72D36E98"/>
    <w:rsid w:val="748B71CF"/>
    <w:rsid w:val="74EF5ED9"/>
    <w:rsid w:val="790939D1"/>
    <w:rsid w:val="79BE0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FollowedHyperlink"/>
    <w:basedOn w:val="5"/>
    <w:qFormat/>
    <w:uiPriority w:val="0"/>
    <w:rPr>
      <w:color w:val="0782C1"/>
      <w:u w:val="single"/>
    </w:rPr>
  </w:style>
  <w:style w:type="character" w:styleId="8">
    <w:name w:val="Emphasis"/>
    <w:basedOn w:val="5"/>
    <w:qFormat/>
    <w:uiPriority w:val="0"/>
    <w:rPr>
      <w:i/>
      <w:iCs/>
    </w:rPr>
  </w:style>
  <w:style w:type="character" w:styleId="9">
    <w:name w:val="HTML Definition"/>
    <w:basedOn w:val="5"/>
    <w:qFormat/>
    <w:uiPriority w:val="0"/>
    <w:rPr>
      <w:i/>
      <w:iCs/>
    </w:rPr>
  </w:style>
  <w:style w:type="character" w:styleId="10">
    <w:name w:val="HTML Variable"/>
    <w:basedOn w:val="5"/>
    <w:qFormat/>
    <w:uiPriority w:val="0"/>
    <w:rPr>
      <w:i/>
      <w:iCs/>
      <w:color w:val="000000"/>
      <w:shd w:val="clear" w:fill="FFE48D"/>
    </w:rPr>
  </w:style>
  <w:style w:type="character" w:styleId="11">
    <w:name w:val="Hyperlink"/>
    <w:basedOn w:val="5"/>
    <w:qFormat/>
    <w:uiPriority w:val="0"/>
    <w:rPr>
      <w:color w:val="0782C1"/>
      <w:u w:val="single"/>
    </w:rPr>
  </w:style>
  <w:style w:type="character" w:styleId="12">
    <w:name w:val="HTML Cite"/>
    <w:basedOn w:val="5"/>
    <w:qFormat/>
    <w:uiPriority w:val="0"/>
    <w:rPr>
      <w:i/>
      <w:iCs/>
    </w:rPr>
  </w:style>
  <w:style w:type="character" w:customStyle="1" w:styleId="13">
    <w:name w:val="checkbox"/>
    <w:basedOn w:val="5"/>
    <w:qFormat/>
    <w:uiPriority w:val="0"/>
    <w:rPr>
      <w:bdr w:val="single" w:color="FFAB3F" w:sz="12" w:space="0"/>
    </w:rPr>
  </w:style>
  <w:style w:type="character" w:customStyle="1" w:styleId="14">
    <w:name w:val="spanlabel"/>
    <w:basedOn w:val="5"/>
    <w:qFormat/>
    <w:uiPriority w:val="0"/>
    <w:rPr>
      <w:b/>
      <w:bCs/>
      <w:color w:val="000000"/>
      <w:bdr w:val="single" w:color="95B8E7" w:sz="4" w:space="0"/>
      <w:shd w:val="clear" w:fill="E0ECFF"/>
    </w:rPr>
  </w:style>
  <w:style w:type="character" w:customStyle="1" w:styleId="15">
    <w:name w:val="toggle"/>
    <w:basedOn w:val="5"/>
    <w:qFormat/>
    <w:uiPriority w:val="0"/>
  </w:style>
  <w:style w:type="character" w:customStyle="1" w:styleId="16">
    <w:name w:val="checkbox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2007</Words>
  <Characters>2182</Characters>
  <Lines>0</Lines>
  <Paragraphs>0</Paragraphs>
  <TotalTime>77</TotalTime>
  <ScaleCrop>false</ScaleCrop>
  <LinksUpToDate>false</LinksUpToDate>
  <CharactersWithSpaces>2267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2024-08-06T01:49:00Z</dcterms:created>
  <dc:creator>Administrator</dc:creator>
  <cp:lastModifiedBy>南鸢</cp:lastModifiedBy>
  <cp:lastPrinted>2024-08-06T03:57:00Z</cp:lastPrinted>
  <dcterms:modified xsi:type="dcterms:W3CDTF">2025-06-05T12:43:58Z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3F0C2A3CA6A24A02AA3C32CC6EAE65E0</vt:lpwstr>
  </property>
  <property fmtid="{D5CDD505-2E9C-101B-9397-08002B2CF9AE}" pid="4" name="KSOTemplateDocerSaveRecord">
    <vt:lpwstr>eyJoZGlkIjoiMGRiMWI5ZmQ2MTYzMGVmNjdiYjllZDI4ZGZhOTE5ODgiLCJ1c2VySWQiOiIzOTE4MjIwMTkifQ==</vt:lpwstr>
  </property>
</Properties>
</file>