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采购需求公示</w:t>
      </w:r>
    </w:p>
    <w:p>
      <w:pPr>
        <w:pStyle w:val="6"/>
        <w:ind w:left="208"/>
        <w:rPr>
          <w:rFonts w:hint="eastAsia" w:asciiTheme="minorHAnsi" w:hAnsiTheme="minorHAnsi" w:eastAsiaTheme="minorEastAsia" w:cstheme="minorBidi"/>
          <w:b/>
          <w:bCs w:val="0"/>
          <w:kern w:val="2"/>
          <w:sz w:val="24"/>
          <w:szCs w:val="24"/>
          <w:lang w:val="en-US" w:eastAsia="zh-CN" w:bidi="ar-SA"/>
        </w:rPr>
      </w:pPr>
      <w:r>
        <w:rPr>
          <w:rFonts w:hint="eastAsia" w:asciiTheme="minorHAnsi" w:hAnsiTheme="minorHAnsi" w:eastAsiaTheme="minorEastAsia" w:cstheme="minorBidi"/>
          <w:b/>
          <w:bCs w:val="0"/>
          <w:kern w:val="2"/>
          <w:sz w:val="24"/>
          <w:szCs w:val="24"/>
          <w:lang w:val="en-US" w:eastAsia="zh-CN" w:bidi="ar-SA"/>
        </w:rPr>
        <w:t>一、项目基本情况</w:t>
      </w:r>
    </w:p>
    <w:p>
      <w:pPr>
        <w:pStyle w:val="7"/>
        <w:spacing w:before="64" w:line="292" w:lineRule="auto"/>
        <w:ind w:left="688" w:right="1510" w:rightChars="0"/>
        <w:rPr>
          <w:rFonts w:hint="eastAsia"/>
          <w:lang w:eastAsia="zh-CN"/>
        </w:rPr>
      </w:pPr>
      <w:r>
        <w:t>项目名称：</w:t>
      </w:r>
      <w:r>
        <w:rPr>
          <w:rFonts w:hint="eastAsia"/>
          <w:b w:val="0"/>
          <w:bCs w:val="0"/>
          <w:u w:val="none"/>
          <w:lang w:val="en-US" w:eastAsia="zh-CN"/>
        </w:rPr>
        <w:t>新民镇新民社区周水坝组人饮及山塘治理项目</w:t>
      </w:r>
    </w:p>
    <w:p>
      <w:pPr>
        <w:pStyle w:val="7"/>
        <w:spacing w:before="64" w:line="292" w:lineRule="auto"/>
        <w:ind w:left="688" w:right="4316"/>
        <w:rPr>
          <w:rFonts w:hint="default" w:eastAsia="仿宋"/>
          <w:lang w:val="en-US" w:eastAsia="zh-CN"/>
        </w:rPr>
      </w:pPr>
      <w:r>
        <w:t>项目编号：</w:t>
      </w:r>
      <w:r>
        <w:rPr>
          <w:rFonts w:hint="eastAsia"/>
          <w:lang w:val="en-US" w:eastAsia="zh-CN"/>
        </w:rPr>
        <w:t>GZLB-2023-04-28</w:t>
      </w:r>
    </w:p>
    <w:p>
      <w:pPr>
        <w:pStyle w:val="7"/>
        <w:spacing w:line="290" w:lineRule="auto"/>
        <w:ind w:left="688" w:right="-94" w:rightChars="0"/>
        <w:rPr>
          <w:highlight w:val="none"/>
        </w:rPr>
      </w:pPr>
      <w:r>
        <w:t>采购方式：竞争性磋商 采购预算</w:t>
      </w:r>
      <w:r>
        <w:rPr>
          <w:highlight w:val="none"/>
        </w:rPr>
        <w:t>：</w:t>
      </w:r>
      <w:r>
        <w:rPr>
          <w:rFonts w:hint="eastAsia"/>
          <w:highlight w:val="none"/>
          <w:lang w:val="en-US" w:eastAsia="zh-CN"/>
        </w:rPr>
        <w:t>527599.52元</w:t>
      </w:r>
    </w:p>
    <w:p>
      <w:pPr>
        <w:keepNext w:val="0"/>
        <w:keepLines w:val="0"/>
        <w:widowControl/>
        <w:suppressLineNumbers w:val="0"/>
        <w:spacing w:line="360" w:lineRule="auto"/>
        <w:ind w:left="0" w:leftChars="0" w:firstLine="660" w:firstLineChars="275"/>
        <w:jc w:val="left"/>
        <w:rPr>
          <w:rFonts w:hint="eastAsia" w:ascii="仿宋" w:hAnsi="仿宋" w:eastAsia="仿宋" w:cs="仿宋"/>
          <w:sz w:val="24"/>
          <w:szCs w:val="24"/>
          <w:highlight w:val="none"/>
          <w:lang w:val="en-US" w:eastAsia="en-US" w:bidi="ar-SA"/>
        </w:rPr>
      </w:pPr>
      <w:r>
        <w:rPr>
          <w:rFonts w:ascii="仿宋" w:hAnsi="仿宋" w:eastAsia="仿宋" w:cs="仿宋"/>
          <w:sz w:val="24"/>
          <w:szCs w:val="24"/>
          <w:lang w:val="en-US" w:eastAsia="en-US" w:bidi="ar-SA"/>
        </w:rPr>
        <w:t>采购</w:t>
      </w:r>
      <w:r>
        <w:rPr>
          <w:rFonts w:hint="eastAsia" w:ascii="仿宋" w:hAnsi="仿宋" w:eastAsia="仿宋" w:cs="仿宋"/>
          <w:kern w:val="2"/>
          <w:sz w:val="24"/>
          <w:szCs w:val="24"/>
          <w:lang w:val="en-US" w:eastAsia="zh-CN" w:bidi="ar-SA"/>
        </w:rPr>
        <w:t>内容</w:t>
      </w:r>
      <w:r>
        <w:rPr>
          <w:rFonts w:ascii="仿宋" w:hAnsi="仿宋" w:eastAsia="仿宋" w:cs="仿宋"/>
          <w:sz w:val="24"/>
          <w:szCs w:val="24"/>
          <w:highlight w:val="none"/>
          <w:lang w:val="en-US" w:eastAsia="en-US" w:bidi="ar-SA"/>
        </w:rPr>
        <w:t>：</w:t>
      </w:r>
      <w:r>
        <w:rPr>
          <w:rFonts w:hint="eastAsia" w:ascii="仿宋" w:hAnsi="仿宋" w:eastAsia="仿宋" w:cs="仿宋"/>
          <w:color w:val="000000" w:themeColor="text1"/>
          <w:sz w:val="24"/>
          <w:szCs w:val="24"/>
          <w:highlight w:val="none"/>
          <w:u w:val="single"/>
          <w:lang w:val="en-US" w:eastAsia="zh-CN" w:bidi="ar-SA"/>
          <w14:textFill>
            <w14:solidFill>
              <w14:schemeClr w14:val="tx1"/>
            </w14:solidFill>
          </w14:textFill>
        </w:rPr>
        <w:t>本工程为新民镇新民社区周水坝组人饮及山塘治理项目；工程规 模为：其中周水坝组 360 人，满足最高日供水量 52.96m³/d 供水量，年供水量为1.29 万 m³/a。根据《村镇供水工程技术规范》（SL310-2019），本工程属 V 型工程。（具体实施内容以工程量清单为准）</w:t>
      </w:r>
      <w:r>
        <w:rPr>
          <w:rFonts w:hint="eastAsia" w:cs="仿宋"/>
          <w:sz w:val="24"/>
          <w:szCs w:val="24"/>
          <w:highlight w:val="none"/>
          <w:lang w:val="en-US" w:eastAsia="zh-CN" w:bidi="ar-SA"/>
        </w:rPr>
        <w:t xml:space="preserve"> </w:t>
      </w:r>
      <w:r>
        <w:rPr>
          <w:rFonts w:hint="eastAsia" w:ascii="仿宋" w:hAnsi="仿宋" w:eastAsia="仿宋" w:cs="仿宋"/>
          <w:sz w:val="24"/>
          <w:szCs w:val="24"/>
          <w:highlight w:val="none"/>
          <w:lang w:val="en-US" w:eastAsia="en-US" w:bidi="ar-SA"/>
        </w:rPr>
        <w:t>。</w:t>
      </w:r>
    </w:p>
    <w:p>
      <w:pPr>
        <w:pStyle w:val="7"/>
        <w:spacing w:before="1" w:line="292" w:lineRule="auto"/>
        <w:ind w:left="688" w:right="1730" w:rightChars="0"/>
        <w:rPr>
          <w:rFonts w:hint="default"/>
          <w:highlight w:val="none"/>
          <w:lang w:val="en-US" w:eastAsia="zh-CN"/>
        </w:rPr>
      </w:pPr>
      <w:r>
        <w:rPr>
          <w:rFonts w:hint="eastAsia"/>
          <w:highlight w:val="none"/>
          <w:lang w:val="en-US" w:eastAsia="zh-CN"/>
        </w:rPr>
        <w:t>计划</w:t>
      </w:r>
      <w:r>
        <w:rPr>
          <w:rFonts w:hint="eastAsia"/>
          <w:highlight w:val="none"/>
        </w:rPr>
        <w:t>工期：</w:t>
      </w:r>
      <w:r>
        <w:rPr>
          <w:rFonts w:hint="eastAsia"/>
          <w:color w:val="auto"/>
          <w:highlight w:val="none"/>
          <w:lang w:val="en-US" w:eastAsia="zh-CN"/>
        </w:rPr>
        <w:t>3</w:t>
      </w:r>
      <w:r>
        <w:rPr>
          <w:rFonts w:hint="eastAsia"/>
          <w:color w:val="auto"/>
          <w:highlight w:val="none"/>
        </w:rPr>
        <w:t>个月</w:t>
      </w:r>
    </w:p>
    <w:p>
      <w:pPr>
        <w:pStyle w:val="7"/>
        <w:spacing w:before="1" w:line="292" w:lineRule="auto"/>
        <w:ind w:left="688" w:right="1730" w:rightChars="0"/>
        <w:rPr>
          <w:rFonts w:hint="default"/>
          <w:highlight w:val="none"/>
          <w:lang w:val="en-US" w:eastAsia="zh-CN"/>
        </w:rPr>
      </w:pPr>
      <w:r>
        <w:rPr>
          <w:rFonts w:hint="eastAsia"/>
          <w:highlight w:val="none"/>
          <w:lang w:val="en-US" w:eastAsia="zh-CN"/>
        </w:rPr>
        <w:t xml:space="preserve">建设地点：周水坝 </w:t>
      </w:r>
    </w:p>
    <w:p>
      <w:pPr>
        <w:spacing w:before="0" w:line="360" w:lineRule="auto"/>
        <w:ind w:left="688" w:right="106" w:rightChars="0" w:hanging="480"/>
        <w:jc w:val="left"/>
        <w:rPr>
          <w:sz w:val="24"/>
          <w:szCs w:val="24"/>
        </w:rPr>
      </w:pPr>
      <w:r>
        <w:rPr>
          <w:b/>
          <w:sz w:val="24"/>
        </w:rPr>
        <w:t xml:space="preserve">二、投标供应商资格要求                                                </w:t>
      </w:r>
      <w:r>
        <w:rPr>
          <w:rFonts w:hint="eastAsia"/>
          <w:b/>
          <w:sz w:val="24"/>
          <w:lang w:val="en-US" w:eastAsia="zh-CN"/>
        </w:rPr>
        <w:t xml:space="preserve"> </w:t>
      </w:r>
      <w:r>
        <w:rPr>
          <w:sz w:val="24"/>
          <w:szCs w:val="24"/>
        </w:rPr>
        <w:t>1.一般资格要求：具备《中华人民共和国政府采购法》第二十二条要求的条件</w:t>
      </w:r>
    </w:p>
    <w:p>
      <w:pPr>
        <w:pStyle w:val="7"/>
        <w:spacing w:line="360" w:lineRule="auto"/>
        <w:ind w:left="208" w:right="106" w:rightChars="0" w:firstLine="480"/>
        <w:rPr>
          <w:sz w:val="24"/>
          <w:szCs w:val="24"/>
        </w:rPr>
      </w:pPr>
      <w:r>
        <w:rPr>
          <w:sz w:val="24"/>
          <w:szCs w:val="24"/>
        </w:rPr>
        <w:t>①具有独立承担民事责任的能力：</w:t>
      </w:r>
      <w:r>
        <w:rPr>
          <w:sz w:val="24"/>
          <w:szCs w:val="24"/>
          <w:u w:val="none"/>
        </w:rPr>
        <w:t>具有有效的营业执照副本</w:t>
      </w:r>
      <w:r>
        <w:rPr>
          <w:sz w:val="24"/>
          <w:szCs w:val="24"/>
        </w:rPr>
        <w:t>；</w:t>
      </w:r>
    </w:p>
    <w:p>
      <w:pPr>
        <w:pStyle w:val="7"/>
        <w:spacing w:line="360" w:lineRule="auto"/>
        <w:ind w:left="208" w:right="106" w:rightChars="0" w:firstLine="480"/>
        <w:rPr>
          <w:sz w:val="24"/>
          <w:szCs w:val="24"/>
          <w:u w:val="none"/>
        </w:rPr>
      </w:pPr>
      <w:r>
        <w:rPr>
          <w:spacing w:val="-5"/>
          <w:sz w:val="24"/>
          <w:szCs w:val="24"/>
        </w:rPr>
        <w:t>②具有良好的商业信誉和健全的财务会计制度：</w:t>
      </w:r>
      <w:r>
        <w:rPr>
          <w:rFonts w:hint="eastAsia"/>
          <w:spacing w:val="-5"/>
          <w:sz w:val="24"/>
          <w:szCs w:val="24"/>
          <w:u w:val="none"/>
        </w:rPr>
        <w:t>提供经审计的2021年审计报告，部分没有财务审计报告的投标供应商或新成立成立时间不足而未出具财务审计报告的，提供投标供应商近1个月基本开户银行出具的银行资信证明或近1个月财政部门认可的政府采购专业担保机构出具的有效的投标担保函；或提供2022年1月至今任意1个月财务报表</w:t>
      </w:r>
      <w:r>
        <w:rPr>
          <w:spacing w:val="-10"/>
          <w:sz w:val="24"/>
          <w:szCs w:val="24"/>
          <w:u w:val="none"/>
        </w:rPr>
        <w:t>；</w:t>
      </w:r>
    </w:p>
    <w:p>
      <w:pPr>
        <w:pStyle w:val="7"/>
        <w:spacing w:line="360" w:lineRule="auto"/>
        <w:ind w:left="208" w:right="-94" w:rightChars="0" w:firstLine="480"/>
        <w:rPr>
          <w:sz w:val="24"/>
          <w:szCs w:val="24"/>
        </w:rPr>
      </w:pPr>
      <w:r>
        <w:rPr>
          <w:sz w:val="24"/>
          <w:szCs w:val="24"/>
        </w:rPr>
        <w:t>③具有履行合同所必需的设备和专业技术能力：</w:t>
      </w:r>
      <w:r>
        <w:rPr>
          <w:sz w:val="24"/>
          <w:szCs w:val="24"/>
          <w:u w:val="none"/>
        </w:rPr>
        <w:t>提供具备履行合同所必需的设备和专业技术能力的证明材料（供应商自行承诺</w:t>
      </w:r>
      <w:r>
        <w:rPr>
          <w:spacing w:val="-120"/>
          <w:sz w:val="24"/>
          <w:szCs w:val="24"/>
          <w:u w:val="none"/>
        </w:rPr>
        <w:t>）</w:t>
      </w:r>
      <w:r>
        <w:rPr>
          <w:sz w:val="24"/>
          <w:szCs w:val="24"/>
        </w:rPr>
        <w:t>；</w:t>
      </w:r>
    </w:p>
    <w:p>
      <w:pPr>
        <w:pStyle w:val="7"/>
        <w:spacing w:line="360" w:lineRule="auto"/>
        <w:ind w:left="208" w:right="-94" w:rightChars="0" w:firstLine="480"/>
        <w:jc w:val="both"/>
        <w:rPr>
          <w:sz w:val="24"/>
          <w:szCs w:val="24"/>
        </w:rPr>
      </w:pPr>
      <w:r>
        <w:rPr>
          <w:sz w:val="24"/>
          <w:szCs w:val="24"/>
        </w:rPr>
        <w:t>④有依法缴纳税收和社会保障资金的良好记录：</w:t>
      </w:r>
      <w:r>
        <w:rPr>
          <w:rFonts w:hint="eastAsia"/>
          <w:sz w:val="24"/>
          <w:szCs w:val="24"/>
          <w:u w:val="none"/>
        </w:rPr>
        <w:t>提供2022年1月至今任意3个月依法缴纳增值税或企业所得税的完税凭证或银行回单和社会保障资金的相关证明材料。成立不足3个月的投标人提供近1个月的依法缴纳社会保障资金和税收的证明材料。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复印件或扫描件加盖投标供应商公章）</w:t>
      </w:r>
      <w:r>
        <w:rPr>
          <w:sz w:val="24"/>
          <w:szCs w:val="24"/>
        </w:rPr>
        <w:t>；</w:t>
      </w:r>
    </w:p>
    <w:p>
      <w:pPr>
        <w:pStyle w:val="7"/>
        <w:spacing w:line="360" w:lineRule="auto"/>
        <w:ind w:left="688"/>
        <w:rPr>
          <w:sz w:val="24"/>
          <w:szCs w:val="24"/>
        </w:rPr>
      </w:pPr>
      <w:r>
        <w:rPr>
          <w:sz w:val="24"/>
          <w:szCs w:val="24"/>
        </w:rPr>
        <w:t>⑤提供参加政府采购活动前三年内无重大违法记录的书面声明函</w:t>
      </w:r>
      <w:r>
        <w:rPr>
          <w:rFonts w:hint="eastAsia"/>
          <w:sz w:val="24"/>
          <w:szCs w:val="24"/>
          <w:lang w:eastAsia="zh-CN"/>
        </w:rPr>
        <w:t>（</w:t>
      </w:r>
      <w:r>
        <w:rPr>
          <w:rFonts w:hint="eastAsia"/>
          <w:sz w:val="24"/>
          <w:szCs w:val="24"/>
          <w:lang w:val="en-US" w:eastAsia="zh-CN"/>
        </w:rPr>
        <w:t>格式自拟</w:t>
      </w:r>
      <w:r>
        <w:rPr>
          <w:rFonts w:hint="eastAsia"/>
          <w:sz w:val="24"/>
          <w:szCs w:val="24"/>
          <w:lang w:eastAsia="zh-CN"/>
        </w:rPr>
        <w:t>）</w:t>
      </w:r>
      <w:r>
        <w:rPr>
          <w:sz w:val="24"/>
          <w:szCs w:val="24"/>
        </w:rPr>
        <w:t>。</w:t>
      </w:r>
    </w:p>
    <w:p>
      <w:pPr>
        <w:pStyle w:val="7"/>
        <w:spacing w:before="60" w:line="360" w:lineRule="auto"/>
        <w:ind w:left="208" w:right="-94" w:rightChars="0" w:firstLine="480"/>
        <w:jc w:val="both"/>
        <w:rPr>
          <w:sz w:val="24"/>
          <w:szCs w:val="24"/>
        </w:rPr>
      </w:pPr>
      <w:r>
        <w:rPr>
          <w:sz w:val="24"/>
          <w:szCs w:val="24"/>
        </w:rPr>
        <w:t>⑥</w:t>
      </w:r>
      <w:r>
        <w:rPr>
          <w:rFonts w:hint="eastAsia"/>
          <w:sz w:val="24"/>
          <w:szCs w:val="24"/>
          <w:lang w:val="en-US" w:eastAsia="zh-CN"/>
        </w:rPr>
        <w:t>投标人</w:t>
      </w:r>
      <w:r>
        <w:rPr>
          <w:sz w:val="24"/>
          <w:szCs w:val="24"/>
        </w:rPr>
        <w:t>未在"信用中国"网站及"中国政府采购网"上被列入失信被执行人、重大税收违法案件当事人名单、政府采购严重违法失信行为记录名单。如有失信或违法行为，不允许参与本次政府采购活动。</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300" w:right="0" w:rightChars="0"/>
        <w:jc w:val="left"/>
        <w:textAlignment w:val="auto"/>
        <w:rPr>
          <w:sz w:val="24"/>
          <w:szCs w:val="24"/>
        </w:rPr>
      </w:pPr>
      <w:r>
        <w:rPr>
          <w:rFonts w:hint="eastAsia" w:ascii="仿宋" w:hAnsi="仿宋" w:eastAsia="仿宋" w:cs="仿宋"/>
          <w:sz w:val="24"/>
          <w:szCs w:val="24"/>
          <w:lang w:val="en-US" w:eastAsia="zh-CN" w:bidi="ar-SA"/>
        </w:rPr>
        <w:t>2.</w:t>
      </w:r>
      <w:r>
        <w:rPr>
          <w:rFonts w:ascii="仿宋" w:hAnsi="仿宋" w:eastAsia="仿宋" w:cs="仿宋"/>
          <w:sz w:val="24"/>
          <w:szCs w:val="24"/>
          <w:lang w:val="en-US" w:eastAsia="en-US" w:bidi="ar-SA"/>
        </w:rPr>
        <w:t>落实政府采购政策需满足的资格要求：</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02" w:leftChars="0" w:right="-94" w:rightChars="0" w:firstLine="480" w:firstLineChars="200"/>
        <w:textAlignment w:val="auto"/>
        <w:outlineLvl w:val="9"/>
        <w:rPr>
          <w:rFonts w:ascii="仿宋" w:hAnsi="仿宋" w:eastAsia="仿宋" w:cs="仿宋"/>
          <w:sz w:val="24"/>
          <w:szCs w:val="24"/>
          <w:lang w:val="en-US" w:eastAsia="en-US" w:bidi="ar-SA"/>
        </w:rPr>
      </w:pPr>
      <w:r>
        <w:rPr>
          <w:rFonts w:hint="eastAsia" w:ascii="仿宋" w:hAnsi="仿宋" w:eastAsia="仿宋" w:cs="仿宋"/>
          <w:sz w:val="24"/>
          <w:szCs w:val="24"/>
          <w:lang w:val="en-US" w:eastAsia="en-US" w:bidi="ar-SA"/>
        </w:rPr>
        <w:t>本项目为非专门面向中小企业采购项目。对小微型企业产品（或服务）给予10%-20%（本项目为小、微型企业20%）的价格扣除，用扣除后的价格参与评审。投标供应商须按照响应文件指定格式提供《中小企业声明函》，(残疾人福利性单位、监狱企业视同小型、微型企业，享受预留份额，残疾人福利性单位参加投标的，须按照本文件附件指定格式提供《残疾人福利性单位声明函》，监狱企业参加投标的，须提供由省级以上监狱管理局或戒毒管理局(含新疆生产建设兵团)出具的属于监狱企业的证明文件。本项目中小企业划分标准所属行业为：</w:t>
      </w:r>
      <w:r>
        <w:rPr>
          <w:rFonts w:hint="eastAsia" w:cs="仿宋"/>
          <w:sz w:val="24"/>
          <w:szCs w:val="24"/>
          <w:lang w:val="en-US" w:eastAsia="zh-CN" w:bidi="ar-SA"/>
        </w:rPr>
        <w:t>建筑</w:t>
      </w:r>
      <w:r>
        <w:rPr>
          <w:rFonts w:hint="eastAsia" w:ascii="仿宋" w:hAnsi="仿宋" w:eastAsia="仿宋" w:cs="仿宋"/>
          <w:sz w:val="24"/>
          <w:szCs w:val="24"/>
          <w:lang w:val="en-US" w:eastAsia="en-US" w:bidi="ar-SA"/>
        </w:rPr>
        <w:t>业。</w:t>
      </w:r>
    </w:p>
    <w:p>
      <w:pPr>
        <w:keepNext w:val="0"/>
        <w:keepLines w:val="0"/>
        <w:widowControl/>
        <w:suppressLineNumbers w:val="0"/>
        <w:spacing w:line="360" w:lineRule="auto"/>
        <w:ind w:right="-92" w:rightChars="-44" w:firstLine="480" w:firstLineChars="200"/>
        <w:jc w:val="left"/>
        <w:rPr>
          <w:sz w:val="24"/>
          <w:szCs w:val="24"/>
        </w:rPr>
      </w:pPr>
      <w:r>
        <w:rPr>
          <w:sz w:val="24"/>
          <w:szCs w:val="24"/>
        </w:rPr>
        <w:t>3.特殊资格要求：本次招标要求投标人须具</w:t>
      </w:r>
      <w:r>
        <w:rPr>
          <w:sz w:val="24"/>
          <w:szCs w:val="24"/>
          <w:highlight w:val="none"/>
        </w:rPr>
        <w:t>备</w:t>
      </w:r>
      <w:r>
        <w:rPr>
          <w:rFonts w:hint="eastAsia"/>
          <w:b/>
          <w:bCs/>
          <w:sz w:val="24"/>
          <w:szCs w:val="24"/>
          <w:highlight w:val="none"/>
          <w:u w:val="single"/>
          <w:lang w:eastAsia="zh-CN"/>
        </w:rPr>
        <w:t>建设行政主管部门核发的</w:t>
      </w:r>
      <w:r>
        <w:rPr>
          <w:rFonts w:hint="eastAsia"/>
          <w:b/>
          <w:bCs/>
          <w:sz w:val="24"/>
          <w:szCs w:val="24"/>
          <w:highlight w:val="none"/>
          <w:u w:val="single"/>
          <w:lang w:val="en-US" w:eastAsia="zh-CN"/>
        </w:rPr>
        <w:t>水利水电</w:t>
      </w:r>
      <w:r>
        <w:rPr>
          <w:rFonts w:hint="eastAsia"/>
          <w:b/>
          <w:bCs/>
          <w:sz w:val="24"/>
          <w:szCs w:val="24"/>
          <w:highlight w:val="none"/>
          <w:u w:val="single"/>
          <w:lang w:eastAsia="zh-CN"/>
        </w:rPr>
        <w:t>工程施工总承包叁级或市政公用工程施工总承包叁级及以上资质</w:t>
      </w:r>
      <w:r>
        <w:rPr>
          <w:spacing w:val="-3"/>
          <w:sz w:val="24"/>
          <w:szCs w:val="24"/>
          <w:highlight w:val="none"/>
        </w:rPr>
        <w:t>，并在人员、设备、资金等方面具有相应的施工能力。</w:t>
      </w:r>
      <w:r>
        <w:rPr>
          <w:spacing w:val="-4"/>
          <w:sz w:val="24"/>
          <w:szCs w:val="24"/>
          <w:highlight w:val="none"/>
        </w:rPr>
        <w:t>其中、项目经理系已在申请人注册并具备</w:t>
      </w:r>
      <w:r>
        <w:rPr>
          <w:rFonts w:hint="eastAsia"/>
          <w:b/>
          <w:bCs/>
          <w:spacing w:val="-1"/>
          <w:sz w:val="24"/>
          <w:szCs w:val="24"/>
          <w:highlight w:val="none"/>
          <w:u w:val="single"/>
          <w:lang w:val="en-US" w:eastAsia="zh-CN"/>
        </w:rPr>
        <w:t>水利水电或市政工程</w:t>
      </w:r>
      <w:r>
        <w:rPr>
          <w:sz w:val="24"/>
          <w:szCs w:val="24"/>
          <w:highlight w:val="none"/>
        </w:rPr>
        <w:t>专业</w:t>
      </w:r>
      <w:r>
        <w:rPr>
          <w:rFonts w:hint="eastAsia"/>
          <w:b/>
          <w:bCs/>
          <w:spacing w:val="-4"/>
          <w:sz w:val="24"/>
          <w:szCs w:val="24"/>
          <w:highlight w:val="none"/>
          <w:u w:val="single"/>
          <w:lang w:val="en-US" w:eastAsia="zh-CN"/>
        </w:rPr>
        <w:t>贰</w:t>
      </w:r>
      <w:r>
        <w:rPr>
          <w:b/>
          <w:bCs/>
          <w:spacing w:val="-4"/>
          <w:sz w:val="24"/>
          <w:szCs w:val="24"/>
          <w:highlight w:val="none"/>
          <w:u w:val="single"/>
        </w:rPr>
        <w:t>级</w:t>
      </w:r>
      <w:r>
        <w:rPr>
          <w:sz w:val="24"/>
          <w:szCs w:val="24"/>
          <w:highlight w:val="none"/>
        </w:rPr>
        <w:t>（含以上级</w:t>
      </w:r>
      <w:r>
        <w:rPr>
          <w:spacing w:val="-10"/>
          <w:sz w:val="24"/>
          <w:szCs w:val="24"/>
          <w:highlight w:val="none"/>
        </w:rPr>
        <w:t>）</w:t>
      </w:r>
      <w:r>
        <w:rPr>
          <w:sz w:val="24"/>
          <w:szCs w:val="24"/>
          <w:highlight w:val="none"/>
        </w:rPr>
        <w:t>注册建造师执业资格，具备有效的安全生产考核</w:t>
      </w:r>
      <w:r>
        <w:rPr>
          <w:sz w:val="24"/>
          <w:szCs w:val="24"/>
        </w:rPr>
        <w:t>合格证书（B</w:t>
      </w:r>
      <w:r>
        <w:rPr>
          <w:spacing w:val="-30"/>
          <w:sz w:val="24"/>
          <w:szCs w:val="24"/>
        </w:rPr>
        <w:t xml:space="preserve"> 类</w:t>
      </w:r>
      <w:r>
        <w:rPr>
          <w:spacing w:val="-118"/>
          <w:sz w:val="24"/>
          <w:szCs w:val="24"/>
        </w:rPr>
        <w:t>）</w:t>
      </w:r>
      <w:r>
        <w:rPr>
          <w:sz w:val="24"/>
          <w:szCs w:val="24"/>
        </w:rPr>
        <w:t>，且未担任其他在建建设工程项目的项目经理;</w:t>
      </w:r>
    </w:p>
    <w:p>
      <w:pPr>
        <w:spacing w:line="360" w:lineRule="auto"/>
        <w:ind w:firstLine="480" w:firstLineChars="200"/>
        <w:rPr>
          <w:rFonts w:hint="eastAsia"/>
          <w:sz w:val="24"/>
          <w:szCs w:val="24"/>
          <w:lang w:val="en-US" w:eastAsia="zh-CN"/>
        </w:rPr>
      </w:pPr>
      <w:r>
        <w:rPr>
          <w:sz w:val="24"/>
          <w:szCs w:val="24"/>
        </w:rPr>
        <w:t>4.本项目不接受联合体投标</w:t>
      </w:r>
      <w:r>
        <w:rPr>
          <w:rFonts w:hint="eastAsia"/>
          <w:sz w:val="24"/>
          <w:szCs w:val="24"/>
          <w:lang w:eastAsia="zh-CN"/>
        </w:rPr>
        <w:t>。</w:t>
      </w:r>
      <w:r>
        <w:rPr>
          <w:rFonts w:hint="eastAsia"/>
          <w:sz w:val="24"/>
          <w:szCs w:val="24"/>
          <w:lang w:val="en-US" w:eastAsia="zh-CN"/>
        </w:rPr>
        <w:t xml:space="preserve"> </w:t>
      </w:r>
    </w:p>
    <w:p>
      <w:pP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br w:type="page"/>
      </w:r>
    </w:p>
    <w:p>
      <w:pPr>
        <w:pStyle w:val="5"/>
        <w:spacing w:before="47"/>
        <w:rPr>
          <w:rFonts w:hint="eastAsia" w:ascii="黑体" w:eastAsia="黑体"/>
        </w:rPr>
      </w:pPr>
      <w:r>
        <w:rPr>
          <w:rFonts w:hint="eastAsia" w:ascii="黑体" w:eastAsia="黑体"/>
        </w:rPr>
        <w:t>第一节 采购项目概述</w:t>
      </w:r>
    </w:p>
    <w:p>
      <w:pPr>
        <w:pStyle w:val="7"/>
        <w:spacing w:before="160"/>
        <w:ind w:left="208"/>
        <w:rPr>
          <w:rFonts w:hint="eastAsia" w:ascii="黑体" w:eastAsia="黑体"/>
        </w:rPr>
      </w:pPr>
      <w:r>
        <w:rPr>
          <w:rFonts w:hint="eastAsia" w:ascii="黑体" w:eastAsia="黑体"/>
        </w:rPr>
        <w:t>一、项目概述</w:t>
      </w:r>
    </w:p>
    <w:p>
      <w:pPr>
        <w:pStyle w:val="7"/>
        <w:spacing w:before="161"/>
        <w:ind w:left="628" w:right="256" w:rightChars="122"/>
      </w:pPr>
      <w:r>
        <w:t>1、项目名称：</w:t>
      </w:r>
      <w:r>
        <w:rPr>
          <w:rFonts w:hint="eastAsia"/>
          <w:u w:val="single"/>
          <w:lang w:eastAsia="zh-CN"/>
        </w:rPr>
        <w:t>新民镇新民社区周水坝组人饮及山塘治理项目</w:t>
      </w:r>
      <w:r>
        <w:t>；</w:t>
      </w:r>
    </w:p>
    <w:p>
      <w:pPr>
        <w:pStyle w:val="7"/>
        <w:spacing w:before="158" w:line="360" w:lineRule="auto"/>
        <w:ind w:left="628" w:right="1231" w:rightChars="586"/>
      </w:pPr>
      <w:r>
        <w:rPr>
          <w:highlight w:val="none"/>
        </w:rPr>
        <w:t>2、工期：</w:t>
      </w:r>
      <w:r>
        <w:rPr>
          <w:rFonts w:hint="eastAsia"/>
          <w:highlight w:val="none"/>
          <w:u w:val="single"/>
          <w:lang w:val="en-US" w:eastAsia="zh-CN"/>
        </w:rPr>
        <w:t>3个月</w:t>
      </w:r>
      <w:r>
        <w:rPr>
          <w:highlight w:val="none"/>
        </w:rPr>
        <w:t>；</w:t>
      </w:r>
    </w:p>
    <w:p>
      <w:pPr>
        <w:keepNext w:val="0"/>
        <w:keepLines w:val="0"/>
        <w:widowControl/>
        <w:suppressLineNumbers w:val="0"/>
        <w:spacing w:line="360" w:lineRule="auto"/>
        <w:ind w:left="0" w:leftChars="0" w:firstLine="660" w:firstLineChars="275"/>
        <w:jc w:val="left"/>
        <w:rPr>
          <w:rFonts w:hint="eastAsia" w:ascii="仿宋" w:hAnsi="仿宋" w:eastAsia="仿宋" w:cs="仿宋"/>
          <w:color w:val="000000" w:themeColor="text1"/>
          <w:sz w:val="24"/>
          <w:szCs w:val="24"/>
          <w:highlight w:val="none"/>
          <w:u w:val="single"/>
          <w:lang w:val="en-US" w:eastAsia="zh-CN" w:bidi="ar-SA"/>
          <w14:textFill>
            <w14:solidFill>
              <w14:schemeClr w14:val="tx1"/>
            </w14:solidFill>
          </w14:textFill>
        </w:rPr>
      </w:pPr>
      <w:r>
        <w:rPr>
          <w:rFonts w:ascii="仿宋" w:hAnsi="仿宋" w:eastAsia="仿宋" w:cs="仿宋"/>
          <w:sz w:val="24"/>
          <w:szCs w:val="24"/>
          <w:lang w:val="en-US" w:eastAsia="en-US" w:bidi="ar-SA"/>
        </w:rPr>
        <w:t>3、采购内容：</w:t>
      </w:r>
      <w:r>
        <w:rPr>
          <w:rFonts w:hint="eastAsia" w:ascii="仿宋" w:hAnsi="仿宋" w:eastAsia="仿宋" w:cs="仿宋"/>
          <w:color w:val="000000" w:themeColor="text1"/>
          <w:sz w:val="24"/>
          <w:szCs w:val="24"/>
          <w:highlight w:val="none"/>
          <w:u w:val="single"/>
          <w:lang w:val="en-US" w:eastAsia="zh-CN" w:bidi="ar-SA"/>
          <w14:textFill>
            <w14:solidFill>
              <w14:schemeClr w14:val="tx1"/>
            </w14:solidFill>
          </w14:textFill>
        </w:rPr>
        <w:t xml:space="preserve">本工程为新民镇新民社区周水坝组人饮及山塘治理项目；工程规 </w:t>
      </w:r>
    </w:p>
    <w:p>
      <w:pPr>
        <w:keepNext w:val="0"/>
        <w:keepLines w:val="0"/>
        <w:widowControl/>
        <w:suppressLineNumbers w:val="0"/>
        <w:spacing w:line="360" w:lineRule="auto"/>
        <w:jc w:val="left"/>
        <w:rPr>
          <w:rFonts w:hint="default" w:ascii="仿宋" w:hAnsi="仿宋" w:eastAsia="仿宋" w:cs="仿宋"/>
          <w:color w:val="000000" w:themeColor="text1"/>
          <w:sz w:val="24"/>
          <w:szCs w:val="24"/>
          <w:highlight w:val="none"/>
          <w:u w:val="singl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bidi="ar-SA"/>
          <w14:textFill>
            <w14:solidFill>
              <w14:schemeClr w14:val="tx1"/>
            </w14:solidFill>
          </w14:textFill>
        </w:rPr>
        <w:t>模为：其中周水坝组 360 人，满足最高日供水量 52.96m³/d 供水量，年供水量为1.29 万 m³/a。根据《村镇供水工程技术规范》（SL310-2019），本工程属 V 型工程。（具体实施内容以工程量清单为准）。</w:t>
      </w:r>
    </w:p>
    <w:p>
      <w:pPr>
        <w:pStyle w:val="7"/>
        <w:spacing w:before="3"/>
        <w:ind w:left="628" w:right="1231" w:rightChars="586"/>
        <w:rPr>
          <w:rFonts w:hint="eastAsia" w:eastAsia="仿宋"/>
          <w:lang w:eastAsia="zh-CN"/>
        </w:rPr>
      </w:pPr>
      <w:r>
        <w:t>4、项目地点：</w:t>
      </w:r>
      <w:r>
        <w:rPr>
          <w:rFonts w:hint="eastAsia"/>
          <w:highlight w:val="none"/>
          <w:u w:val="single"/>
          <w:lang w:val="en-US" w:eastAsia="zh-CN"/>
        </w:rPr>
        <w:t>周水坝</w:t>
      </w:r>
      <w:r>
        <w:rPr>
          <w:rFonts w:hint="eastAsia"/>
          <w:lang w:eastAsia="zh-CN"/>
        </w:rPr>
        <w:t>。</w:t>
      </w:r>
    </w:p>
    <w:p>
      <w:pPr>
        <w:pStyle w:val="7"/>
        <w:spacing w:before="160"/>
        <w:ind w:left="628" w:right="1231" w:rightChars="586"/>
      </w:pPr>
      <w:r>
        <w:t>5、</w:t>
      </w:r>
      <w:r>
        <w:rPr>
          <w:rFonts w:hint="eastAsia"/>
        </w:rPr>
        <w:t>最高限价：</w:t>
      </w:r>
      <w:r>
        <w:rPr>
          <w:rFonts w:hint="eastAsia"/>
          <w:highlight w:val="none"/>
          <w:u w:val="single"/>
          <w:lang w:val="en-US" w:eastAsia="zh-CN"/>
        </w:rPr>
        <w:t>527599.52 元</w:t>
      </w:r>
      <w:r>
        <w:rPr>
          <w:highlight w:val="none"/>
        </w:rPr>
        <w:t>；</w:t>
      </w:r>
    </w:p>
    <w:p>
      <w:pPr>
        <w:pStyle w:val="7"/>
        <w:spacing w:before="161"/>
        <w:ind w:left="208" w:right="1231" w:rightChars="586"/>
        <w:rPr>
          <w:rFonts w:hint="eastAsia" w:ascii="黑体" w:eastAsia="黑体"/>
        </w:rPr>
      </w:pPr>
      <w:r>
        <w:rPr>
          <w:rFonts w:hint="eastAsia" w:ascii="黑体" w:eastAsia="黑体"/>
        </w:rPr>
        <w:t>二、资金来源</w:t>
      </w:r>
    </w:p>
    <w:p>
      <w:pPr>
        <w:pStyle w:val="7"/>
        <w:spacing w:before="158"/>
        <w:ind w:left="688" w:right="1231" w:rightChars="586"/>
      </w:pPr>
      <w:r>
        <w:t>本项目资金来源为</w:t>
      </w:r>
      <w:r>
        <w:rPr>
          <w:rFonts w:hint="eastAsia"/>
          <w:highlight w:val="none"/>
          <w:u w:val="single"/>
          <w:lang w:val="en-US" w:eastAsia="zh-CN"/>
        </w:rPr>
        <w:t>财政</w:t>
      </w:r>
      <w:r>
        <w:rPr>
          <w:highlight w:val="none"/>
        </w:rPr>
        <w:t>资金</w:t>
      </w:r>
      <w:r>
        <w:t>。</w:t>
      </w:r>
    </w:p>
    <w:p>
      <w:pPr>
        <w:pStyle w:val="7"/>
        <w:spacing w:before="160" w:line="360" w:lineRule="auto"/>
        <w:ind w:left="208" w:right="1231" w:rightChars="586"/>
        <w:rPr>
          <w:rFonts w:hint="eastAsia" w:ascii="黑体" w:eastAsia="黑体"/>
        </w:rPr>
      </w:pPr>
      <w:r>
        <w:rPr>
          <w:rFonts w:hint="eastAsia" w:ascii="黑体" w:eastAsia="黑体"/>
        </w:rPr>
        <w:t>三、招标文件解释权</w:t>
      </w:r>
    </w:p>
    <w:p>
      <w:pPr>
        <w:pStyle w:val="7"/>
        <w:spacing w:before="2" w:line="360" w:lineRule="auto"/>
        <w:ind w:left="772" w:right="1231" w:rightChars="586"/>
      </w:pPr>
      <w:r>
        <w:t>本项目招标文件的最终解释权归采购人。</w:t>
      </w:r>
    </w:p>
    <w:p>
      <w:pPr>
        <w:pStyle w:val="7"/>
        <w:spacing w:before="161"/>
        <w:ind w:left="208" w:right="1231" w:rightChars="586"/>
        <w:rPr>
          <w:rFonts w:hint="eastAsia" w:ascii="黑体" w:eastAsia="黑体"/>
        </w:rPr>
      </w:pPr>
      <w:r>
        <w:rPr>
          <w:rFonts w:hint="eastAsia" w:ascii="黑体" w:eastAsia="黑体"/>
        </w:rPr>
        <w:t>四、采 购 人</w:t>
      </w:r>
    </w:p>
    <w:p>
      <w:pPr>
        <w:pStyle w:val="7"/>
        <w:tabs>
          <w:tab w:val="left" w:pos="1348"/>
        </w:tabs>
        <w:spacing w:before="159"/>
        <w:ind w:left="688" w:right="1231" w:rightChars="586"/>
        <w:rPr>
          <w:rFonts w:hint="eastAsia"/>
          <w:lang w:eastAsia="zh-CN"/>
        </w:rPr>
      </w:pPr>
      <w:r>
        <w:rPr>
          <w:rFonts w:ascii="Times New Roman" w:eastAsia="Times New Roman"/>
        </w:rPr>
        <w:t>1.</w:t>
      </w:r>
      <w:r>
        <w:t>名</w:t>
      </w:r>
      <w:r>
        <w:tab/>
      </w:r>
      <w:r>
        <w:t>称：</w:t>
      </w:r>
      <w:r>
        <w:rPr>
          <w:rFonts w:hint="eastAsia"/>
          <w:lang w:eastAsia="zh-CN"/>
        </w:rPr>
        <w:t>遵义市播州区乡村振兴局</w:t>
      </w:r>
    </w:p>
    <w:p>
      <w:pPr>
        <w:pStyle w:val="7"/>
        <w:tabs>
          <w:tab w:val="left" w:pos="1348"/>
        </w:tabs>
        <w:spacing w:before="159"/>
        <w:ind w:left="688" w:right="1231" w:rightChars="586"/>
        <w:rPr>
          <w:rFonts w:hint="eastAsia" w:eastAsia="仿宋"/>
          <w:lang w:eastAsia="zh-CN"/>
        </w:rPr>
      </w:pPr>
      <w:r>
        <w:rPr>
          <w:rFonts w:ascii="Times New Roman" w:eastAsia="Times New Roman"/>
        </w:rPr>
        <w:t>2.</w:t>
      </w:r>
      <w:r>
        <w:t>地</w:t>
      </w:r>
      <w:r>
        <w:tab/>
      </w:r>
      <w:r>
        <w:t>址：</w:t>
      </w:r>
      <w:r>
        <w:rPr>
          <w:rFonts w:hint="eastAsia"/>
          <w:lang w:eastAsia="zh-CN"/>
        </w:rPr>
        <w:t>贵州省遵义市播州区遵南大道56号</w:t>
      </w:r>
    </w:p>
    <w:p>
      <w:pPr>
        <w:pStyle w:val="7"/>
        <w:spacing w:before="160"/>
        <w:ind w:left="688" w:right="1231" w:rightChars="586"/>
        <w:rPr>
          <w:rFonts w:hint="default" w:eastAsia="仿宋"/>
          <w:lang w:val="en-US" w:eastAsia="zh-CN"/>
        </w:rPr>
      </w:pPr>
      <w:r>
        <w:rPr>
          <w:rFonts w:ascii="Times New Roman" w:eastAsia="Times New Roman"/>
        </w:rPr>
        <w:t>3.</w:t>
      </w:r>
      <w:r>
        <w:t>联系人：</w:t>
      </w:r>
      <w:r>
        <w:rPr>
          <w:rFonts w:hint="eastAsia"/>
          <w:u w:val="none"/>
          <w:lang w:val="en-US" w:eastAsia="zh-CN"/>
        </w:rPr>
        <w:t>刘科长</w:t>
      </w:r>
    </w:p>
    <w:p>
      <w:pPr>
        <w:pStyle w:val="7"/>
        <w:spacing w:before="158"/>
        <w:ind w:left="688" w:right="1231" w:rightChars="586"/>
        <w:rPr>
          <w:rFonts w:hint="default" w:ascii="Times New Roman" w:eastAsia="仿宋"/>
          <w:highlight w:val="none"/>
          <w:lang w:val="en-US" w:eastAsia="zh-CN"/>
        </w:rPr>
      </w:pPr>
      <w:r>
        <w:rPr>
          <w:rFonts w:ascii="Times New Roman" w:eastAsia="Times New Roman"/>
        </w:rPr>
        <w:t>4.</w:t>
      </w:r>
      <w:r>
        <w:t>联系电话</w:t>
      </w:r>
      <w:r>
        <w:rPr>
          <w:highlight w:val="none"/>
        </w:rPr>
        <w:t>：</w:t>
      </w:r>
      <w:r>
        <w:rPr>
          <w:rFonts w:hint="eastAsia"/>
          <w:u w:val="single"/>
          <w:lang w:val="en-US" w:eastAsia="zh-CN"/>
        </w:rPr>
        <w:t>18275408766</w:t>
      </w:r>
    </w:p>
    <w:p>
      <w:pPr>
        <w:pStyle w:val="7"/>
        <w:spacing w:before="158"/>
        <w:ind w:left="208" w:right="1231" w:rightChars="586"/>
        <w:rPr>
          <w:rFonts w:hint="eastAsia" w:ascii="黑体" w:eastAsia="黑体"/>
          <w:highlight w:val="none"/>
        </w:rPr>
      </w:pPr>
      <w:r>
        <w:rPr>
          <w:rFonts w:hint="eastAsia" w:ascii="黑体" w:eastAsia="黑体"/>
          <w:highlight w:val="none"/>
        </w:rPr>
        <w:t>五、采购代理机构</w:t>
      </w:r>
    </w:p>
    <w:p>
      <w:pPr>
        <w:pStyle w:val="7"/>
        <w:spacing w:before="161"/>
        <w:ind w:left="688" w:right="1231" w:rightChars="586"/>
        <w:rPr>
          <w:rFonts w:hint="eastAsia" w:eastAsia="仿宋"/>
          <w:highlight w:val="none"/>
          <w:lang w:eastAsia="zh-CN"/>
        </w:rPr>
      </w:pPr>
      <w:r>
        <w:rPr>
          <w:rFonts w:ascii="Times New Roman" w:eastAsia="Times New Roman"/>
          <w:highlight w:val="none"/>
        </w:rPr>
        <w:t>1.</w:t>
      </w:r>
      <w:r>
        <w:rPr>
          <w:highlight w:val="none"/>
        </w:rPr>
        <w:t>采购代理机构名称：</w:t>
      </w:r>
      <w:r>
        <w:rPr>
          <w:rFonts w:hint="eastAsia"/>
          <w:highlight w:val="none"/>
          <w:lang w:eastAsia="zh-CN"/>
        </w:rPr>
        <w:t>贵州利博项目管理咨询有限责任公司</w:t>
      </w:r>
    </w:p>
    <w:p>
      <w:pPr>
        <w:pStyle w:val="7"/>
        <w:spacing w:before="160" w:line="360" w:lineRule="auto"/>
        <w:ind w:left="1615" w:leftChars="312" w:right="1231" w:rightChars="586" w:hanging="960" w:hangingChars="400"/>
        <w:rPr>
          <w:rFonts w:hint="eastAsia" w:eastAsia="仿宋"/>
          <w:highlight w:val="none"/>
          <w:lang w:eastAsia="zh-CN"/>
        </w:rPr>
      </w:pPr>
      <w:r>
        <w:rPr>
          <w:rFonts w:ascii="Times New Roman" w:eastAsia="Times New Roman"/>
          <w:highlight w:val="none"/>
        </w:rPr>
        <w:t>2.</w:t>
      </w:r>
      <w:r>
        <w:rPr>
          <w:highlight w:val="none"/>
        </w:rPr>
        <w:t>地址：</w:t>
      </w:r>
      <w:r>
        <w:rPr>
          <w:rFonts w:hint="eastAsia"/>
          <w:highlight w:val="none"/>
          <w:lang w:eastAsia="zh-CN"/>
        </w:rPr>
        <w:t>贵州省遵义市新蒲新区蔷薇国际X</w:t>
      </w:r>
      <w:r>
        <w:rPr>
          <w:rFonts w:hint="eastAsia"/>
          <w:highlight w:val="none"/>
          <w:lang w:val="en-US" w:eastAsia="zh-CN"/>
        </w:rPr>
        <w:t>8</w:t>
      </w:r>
      <w:r>
        <w:rPr>
          <w:rFonts w:hint="eastAsia"/>
          <w:highlight w:val="none"/>
          <w:lang w:eastAsia="zh-CN"/>
        </w:rPr>
        <w:t>栋</w:t>
      </w:r>
      <w:r>
        <w:rPr>
          <w:rFonts w:hint="eastAsia"/>
          <w:highlight w:val="none"/>
          <w:lang w:val="en-US" w:eastAsia="zh-CN"/>
        </w:rPr>
        <w:t>1107</w:t>
      </w:r>
      <w:r>
        <w:rPr>
          <w:rFonts w:hint="eastAsia"/>
          <w:highlight w:val="none"/>
          <w:lang w:eastAsia="zh-CN"/>
        </w:rPr>
        <w:t>室</w:t>
      </w:r>
    </w:p>
    <w:p>
      <w:pPr>
        <w:pStyle w:val="7"/>
        <w:spacing w:before="158"/>
        <w:ind w:left="688" w:right="1231" w:rightChars="586"/>
        <w:rPr>
          <w:rFonts w:hint="eastAsia" w:eastAsia="仿宋"/>
          <w:highlight w:val="none"/>
          <w:lang w:eastAsia="zh-CN"/>
        </w:rPr>
      </w:pPr>
      <w:r>
        <w:rPr>
          <w:rFonts w:ascii="Times New Roman" w:eastAsia="Times New Roman"/>
          <w:highlight w:val="none"/>
        </w:rPr>
        <w:t>3.</w:t>
      </w:r>
      <w:r>
        <w:rPr>
          <w:highlight w:val="none"/>
        </w:rPr>
        <w:t>联系人：</w:t>
      </w:r>
      <w:r>
        <w:rPr>
          <w:rFonts w:hint="eastAsia"/>
          <w:highlight w:val="none"/>
          <w:lang w:val="en-US" w:eastAsia="zh-CN"/>
        </w:rPr>
        <w:t>席工</w:t>
      </w:r>
    </w:p>
    <w:p>
      <w:pPr>
        <w:pStyle w:val="7"/>
        <w:spacing w:before="161"/>
        <w:ind w:left="688" w:right="1231" w:rightChars="586"/>
        <w:rPr>
          <w:rFonts w:hint="default" w:ascii="Times New Roman" w:eastAsia="仿宋"/>
          <w:highlight w:val="none"/>
          <w:lang w:val="en-US" w:eastAsia="zh-CN"/>
        </w:rPr>
      </w:pPr>
      <w:r>
        <w:rPr>
          <w:rFonts w:ascii="Times New Roman" w:eastAsia="Times New Roman"/>
          <w:highlight w:val="none"/>
        </w:rPr>
        <w:t>4.</w:t>
      </w:r>
      <w:r>
        <w:rPr>
          <w:highlight w:val="none"/>
        </w:rPr>
        <w:t>联系电话：</w:t>
      </w:r>
      <w:r>
        <w:rPr>
          <w:rFonts w:hint="eastAsia"/>
          <w:u w:val="none"/>
          <w:lang w:val="en-US" w:eastAsia="zh-CN"/>
        </w:rPr>
        <w:t>18084219161</w:t>
      </w:r>
    </w:p>
    <w:p>
      <w:pPr>
        <w:spacing w:after="0"/>
        <w:ind w:right="1231" w:rightChars="586"/>
        <w:rPr>
          <w:rFonts w:ascii="Times New Roman" w:eastAsia="Times New Roman"/>
        </w:rPr>
      </w:pPr>
    </w:p>
    <w:p>
      <w:pPr>
        <w:ind w:right="1231" w:rightChars="586"/>
        <w:rPr>
          <w:rFonts w:ascii="Times New Roman" w:eastAsia="Times New Roman"/>
        </w:rPr>
      </w:pPr>
      <w:r>
        <w:rPr>
          <w:rFonts w:ascii="Times New Roman" w:eastAsia="Times New Roman"/>
        </w:rPr>
        <w:br w:type="page"/>
      </w:r>
    </w:p>
    <w:p>
      <w:pPr>
        <w:numPr>
          <w:ilvl w:val="0"/>
          <w:numId w:val="1"/>
        </w:numPr>
        <w:spacing w:after="0"/>
        <w:ind w:right="1231" w:rightChars="586"/>
        <w:jc w:val="center"/>
        <w:rPr>
          <w:rFonts w:hint="eastAsia" w:ascii="黑体" w:hAnsi="仿宋" w:eastAsia="黑体" w:cs="仿宋"/>
          <w:sz w:val="24"/>
          <w:szCs w:val="24"/>
          <w:lang w:val="en-US" w:eastAsia="zh-CN" w:bidi="ar-SA"/>
        </w:rPr>
      </w:pPr>
      <w:r>
        <w:rPr>
          <w:rFonts w:hint="eastAsia" w:ascii="黑体" w:hAnsi="仿宋" w:eastAsia="黑体" w:cs="仿宋"/>
          <w:sz w:val="24"/>
          <w:szCs w:val="24"/>
          <w:lang w:val="en-US" w:eastAsia="zh-CN" w:bidi="ar-SA"/>
        </w:rPr>
        <w:t>货物/服务要求</w:t>
      </w:r>
    </w:p>
    <w:p>
      <w:pPr>
        <w:widowControl w:val="0"/>
        <w:numPr>
          <w:ilvl w:val="0"/>
          <w:numId w:val="0"/>
        </w:numPr>
        <w:autoSpaceDE w:val="0"/>
        <w:autoSpaceDN w:val="0"/>
        <w:spacing w:before="0" w:after="0" w:line="240" w:lineRule="auto"/>
        <w:ind w:right="1231" w:rightChars="586"/>
        <w:jc w:val="left"/>
        <w:rPr>
          <w:rFonts w:hint="default" w:ascii="黑体" w:hAnsi="仿宋" w:eastAsia="黑体" w:cs="仿宋"/>
          <w:sz w:val="24"/>
          <w:szCs w:val="24"/>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right="1231" w:rightChars="586"/>
        <w:jc w:val="left"/>
        <w:textAlignment w:val="auto"/>
        <w:rPr>
          <w:rFonts w:hint="eastAsia" w:ascii="黑体" w:hAnsi="仿宋" w:eastAsia="黑体" w:cs="仿宋"/>
          <w:sz w:val="24"/>
          <w:szCs w:val="24"/>
          <w:lang w:val="en-US" w:eastAsia="zh-CN" w:bidi="ar-SA"/>
        </w:rPr>
      </w:pPr>
      <w:r>
        <w:rPr>
          <w:rFonts w:hint="eastAsia" w:ascii="黑体" w:hAnsi="仿宋" w:eastAsia="黑体" w:cs="仿宋"/>
          <w:sz w:val="24"/>
          <w:szCs w:val="24"/>
          <w:lang w:val="en-US" w:eastAsia="zh-CN" w:bidi="ar-SA"/>
        </w:rPr>
        <w:t>一、采购内容</w:t>
      </w:r>
    </w:p>
    <w:p>
      <w:pPr>
        <w:keepNext w:val="0"/>
        <w:keepLines w:val="0"/>
        <w:widowControl/>
        <w:suppressLineNumbers w:val="0"/>
        <w:spacing w:line="360" w:lineRule="auto"/>
        <w:ind w:left="0" w:leftChars="0" w:firstLine="660" w:firstLineChars="275"/>
        <w:jc w:val="left"/>
        <w:rPr>
          <w:rFonts w:hint="eastAsia" w:ascii="仿宋" w:hAnsi="仿宋" w:eastAsia="仿宋" w:cs="仿宋"/>
          <w:sz w:val="24"/>
          <w:szCs w:val="24"/>
          <w:highlight w:val="none"/>
          <w:u w:val="single"/>
          <w:lang w:val="en-US" w:eastAsia="zh-CN" w:bidi="ar-SA"/>
        </w:rPr>
      </w:pPr>
      <w:r>
        <w:rPr>
          <w:rFonts w:hint="eastAsia" w:ascii="仿宋" w:hAnsi="仿宋" w:eastAsia="仿宋" w:cs="仿宋"/>
          <w:color w:val="000000" w:themeColor="text1"/>
          <w:sz w:val="24"/>
          <w:szCs w:val="24"/>
          <w:highlight w:val="none"/>
          <w:u w:val="single"/>
          <w:lang w:val="en-US" w:eastAsia="zh-CN" w:bidi="ar-SA"/>
          <w14:textFill>
            <w14:solidFill>
              <w14:schemeClr w14:val="tx1"/>
            </w14:solidFill>
          </w14:textFill>
        </w:rPr>
        <w:t>本工程为新民镇新民社区周水坝组人饮及山塘治理项目；工程规模为：其中周水坝组 360 人，满足最高日供水量 52.96m³/d 供水量，年供水量为1.29 万 m³/a。根据《村镇供水工程技术规范》（SL310-2019），本工程属 V 型工程。（具体实施内容以工程量清单为准）</w:t>
      </w:r>
      <w:r>
        <w:rPr>
          <w:rFonts w:hint="eastAsia" w:ascii="仿宋" w:hAnsi="仿宋" w:eastAsia="仿宋" w:cs="仿宋"/>
          <w:sz w:val="24"/>
          <w:szCs w:val="24"/>
          <w:highlight w:val="none"/>
          <w:u w:val="single"/>
          <w:lang w:val="en-US" w:eastAsia="zh-CN" w:bidi="ar-SA"/>
        </w:rPr>
        <w:t>。</w:t>
      </w:r>
    </w:p>
    <w:p>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1231" w:rightChars="586"/>
        <w:textAlignment w:val="auto"/>
        <w:rPr>
          <w:rFonts w:hint="eastAsia" w:ascii="黑体" w:eastAsia="黑体"/>
        </w:rPr>
      </w:pPr>
      <w:r>
        <w:rPr>
          <w:rFonts w:hint="eastAsia" w:ascii="黑体" w:eastAsia="黑体"/>
        </w:rPr>
        <w:t>二、质量标准及工期</w:t>
      </w:r>
    </w:p>
    <w:p>
      <w:pPr>
        <w:pStyle w:val="7"/>
        <w:keepNext w:val="0"/>
        <w:keepLines w:val="0"/>
        <w:pageBreakBefore w:val="0"/>
        <w:widowControl w:val="0"/>
        <w:kinsoku/>
        <w:wordWrap/>
        <w:overflowPunct/>
        <w:topLinePunct w:val="0"/>
        <w:autoSpaceDE w:val="0"/>
        <w:autoSpaceDN w:val="0"/>
        <w:bidi w:val="0"/>
        <w:adjustRightInd/>
        <w:snapToGrid/>
        <w:spacing w:before="158" w:line="240" w:lineRule="auto"/>
        <w:ind w:right="1231" w:rightChars="586" w:firstLine="480" w:firstLineChars="200"/>
        <w:textAlignment w:val="auto"/>
        <w:rPr>
          <w:rFonts w:hint="default" w:eastAsia="仿宋"/>
          <w:highlight w:val="none"/>
          <w:u w:val="single"/>
          <w:lang w:val="en-US" w:eastAsia="zh-CN"/>
        </w:rPr>
      </w:pPr>
      <w:r>
        <w:rPr>
          <w:highlight w:val="none"/>
          <w:u w:val="single"/>
        </w:rPr>
        <w:t>工期：</w:t>
      </w:r>
      <w:r>
        <w:rPr>
          <w:rFonts w:hint="eastAsia"/>
          <w:highlight w:val="none"/>
          <w:u w:val="single"/>
          <w:lang w:val="en-US" w:eastAsia="zh-CN"/>
        </w:rPr>
        <w:t>3个月</w:t>
      </w:r>
    </w:p>
    <w:p>
      <w:pPr>
        <w:pStyle w:val="7"/>
        <w:keepNext w:val="0"/>
        <w:keepLines w:val="0"/>
        <w:pageBreakBefore w:val="0"/>
        <w:widowControl w:val="0"/>
        <w:kinsoku/>
        <w:wordWrap/>
        <w:overflowPunct/>
        <w:topLinePunct w:val="0"/>
        <w:autoSpaceDE w:val="0"/>
        <w:autoSpaceDN w:val="0"/>
        <w:bidi w:val="0"/>
        <w:adjustRightInd/>
        <w:snapToGrid/>
        <w:spacing w:before="161" w:line="240" w:lineRule="auto"/>
        <w:ind w:right="1231" w:rightChars="586" w:firstLine="480" w:firstLineChars="200"/>
        <w:textAlignment w:val="auto"/>
        <w:rPr>
          <w:rFonts w:hint="eastAsia" w:ascii="仿宋" w:hAnsi="仿宋" w:eastAsia="仿宋" w:cs="仿宋"/>
          <w:sz w:val="24"/>
          <w:u w:val="single"/>
        </w:rPr>
      </w:pPr>
      <w:r>
        <w:rPr>
          <w:rFonts w:hint="eastAsia" w:ascii="仿宋" w:hAnsi="仿宋" w:eastAsia="仿宋" w:cs="仿宋"/>
          <w:sz w:val="24"/>
          <w:u w:val="single"/>
        </w:rPr>
        <w:t>工程质量：符合国家现行有关施工质量验收规范标</w:t>
      </w:r>
    </w:p>
    <w:p>
      <w:pPr>
        <w:pStyle w:val="7"/>
        <w:keepNext w:val="0"/>
        <w:keepLines w:val="0"/>
        <w:pageBreakBefore w:val="0"/>
        <w:widowControl w:val="0"/>
        <w:kinsoku/>
        <w:wordWrap/>
        <w:overflowPunct/>
        <w:topLinePunct w:val="0"/>
        <w:autoSpaceDE w:val="0"/>
        <w:autoSpaceDN w:val="0"/>
        <w:bidi w:val="0"/>
        <w:adjustRightInd/>
        <w:snapToGrid/>
        <w:spacing w:before="161" w:line="240" w:lineRule="auto"/>
        <w:ind w:right="1231" w:rightChars="586" w:firstLine="480" w:firstLineChars="200"/>
        <w:textAlignment w:val="auto"/>
      </w:pPr>
      <w:r>
        <w:rPr>
          <w:rFonts w:hint="eastAsia" w:ascii="仿宋" w:hAnsi="仿宋" w:eastAsia="仿宋" w:cs="仿宋"/>
          <w:sz w:val="24"/>
          <w:u w:val="single"/>
        </w:rPr>
        <w:t>施工安全文明标准化：满足有关规范标准要求</w:t>
      </w:r>
    </w:p>
    <w:p>
      <w:pPr>
        <w:ind w:right="1231" w:rightChars="586"/>
        <w:rPr>
          <w:rFonts w:hint="eastAsia"/>
          <w:lang w:eastAsia="zh-CN"/>
        </w:rPr>
      </w:pPr>
    </w:p>
    <w:p>
      <w:pPr>
        <w:pStyle w:val="7"/>
        <w:spacing w:before="46" w:line="362" w:lineRule="auto"/>
        <w:ind w:right="1231" w:rightChars="586"/>
        <w:rPr>
          <w:rFonts w:hint="eastAsia" w:ascii="黑体" w:eastAsia="黑体"/>
        </w:rPr>
      </w:pPr>
    </w:p>
    <w:p>
      <w:pPr>
        <w:pStyle w:val="7"/>
        <w:numPr>
          <w:ilvl w:val="0"/>
          <w:numId w:val="1"/>
        </w:numPr>
        <w:spacing w:before="46" w:line="362" w:lineRule="auto"/>
        <w:ind w:left="0" w:leftChars="0" w:right="1231" w:rightChars="586" w:firstLine="0" w:firstLineChars="0"/>
        <w:jc w:val="center"/>
        <w:rPr>
          <w:rFonts w:hint="eastAsia" w:ascii="黑体" w:eastAsia="黑体"/>
        </w:rPr>
      </w:pPr>
      <w:r>
        <w:rPr>
          <w:rFonts w:hint="eastAsia" w:ascii="黑体" w:eastAsia="黑体"/>
        </w:rPr>
        <w:t>供应商资格条件</w:t>
      </w:r>
    </w:p>
    <w:p>
      <w:pPr>
        <w:pStyle w:val="7"/>
        <w:numPr>
          <w:ilvl w:val="0"/>
          <w:numId w:val="0"/>
        </w:numPr>
        <w:spacing w:before="46" w:line="362" w:lineRule="auto"/>
        <w:ind w:leftChars="0" w:right="1231" w:rightChars="586"/>
        <w:rPr>
          <w:rFonts w:hint="eastAsia" w:ascii="黑体" w:eastAsia="黑体"/>
        </w:rPr>
      </w:pPr>
      <w:r>
        <w:rPr>
          <w:rFonts w:hint="eastAsia" w:ascii="黑体" w:eastAsia="黑体"/>
        </w:rPr>
        <w:t>本项目供应商资格条件要求如下：</w:t>
      </w:r>
    </w:p>
    <w:p>
      <w:pPr>
        <w:pStyle w:val="7"/>
        <w:spacing w:before="3" w:line="364" w:lineRule="auto"/>
        <w:ind w:right="1231" w:rightChars="586" w:firstLine="480" w:firstLineChars="200"/>
        <w:rPr>
          <w:rFonts w:hint="eastAsia" w:ascii="黑体" w:eastAsia="黑体"/>
        </w:rPr>
      </w:pPr>
      <w:r>
        <w:rPr>
          <w:rFonts w:hint="eastAsia" w:ascii="黑体" w:eastAsia="黑体"/>
        </w:rPr>
        <w:t>一、符合政府采购法第二十二条规定，提供政府采购法实施条例第十七条规定资料。</w:t>
      </w:r>
    </w:p>
    <w:p>
      <w:pPr>
        <w:pStyle w:val="7"/>
        <w:spacing w:before="1" w:line="362" w:lineRule="auto"/>
        <w:ind w:left="208" w:right="1231" w:rightChars="586" w:firstLine="480"/>
        <w:rPr>
          <w:u w:val="none"/>
        </w:rPr>
      </w:pPr>
      <w:r>
        <w:rPr>
          <w:u w:val="none"/>
        </w:rPr>
        <w:t>1</w:t>
      </w:r>
      <w:r>
        <w:rPr>
          <w:spacing w:val="-4"/>
          <w:u w:val="none"/>
        </w:rPr>
        <w:t>、</w:t>
      </w:r>
      <w:r>
        <w:rPr>
          <w:u w:val="none"/>
        </w:rPr>
        <w:t>具有独立承担民事责任的能力：具有有效的营业执照副本；</w:t>
      </w:r>
    </w:p>
    <w:p>
      <w:pPr>
        <w:pStyle w:val="7"/>
        <w:spacing w:before="5" w:line="364" w:lineRule="auto"/>
        <w:ind w:left="208" w:right="1231" w:rightChars="586" w:firstLine="480"/>
        <w:jc w:val="both"/>
        <w:rPr>
          <w:u w:val="none"/>
        </w:rPr>
      </w:pPr>
      <w:r>
        <w:rPr>
          <w:u w:val="none"/>
        </w:rPr>
        <w:t>2、</w:t>
      </w:r>
      <w:r>
        <w:rPr>
          <w:spacing w:val="-5"/>
          <w:u w:val="none"/>
        </w:rPr>
        <w:t>具有良好的商业信誉和健全的财务会计制度：</w:t>
      </w:r>
      <w:r>
        <w:rPr>
          <w:rFonts w:hint="eastAsia"/>
          <w:spacing w:val="-5"/>
          <w:u w:val="none"/>
        </w:rPr>
        <w:t>提供经审计的2021年审计报告，部分没有财务审计报告的投标供应商或新成立成立时间不足而未出具财务审计报告的，提供投标供应商近1个月基本开户银行出具的银行资信证明或近1个月财政部门认可的政府采购专业担保机构出具的有效的投标担保函；或提供2022年1月至今任意1个月财务报表</w:t>
      </w:r>
      <w:r>
        <w:rPr>
          <w:u w:val="none"/>
        </w:rPr>
        <w:t>；</w:t>
      </w:r>
    </w:p>
    <w:p>
      <w:pPr>
        <w:pStyle w:val="7"/>
        <w:spacing w:line="364" w:lineRule="auto"/>
        <w:ind w:left="208" w:right="1231" w:rightChars="586" w:firstLine="480"/>
        <w:rPr>
          <w:u w:val="none"/>
        </w:rPr>
      </w:pPr>
      <w:r>
        <w:rPr>
          <w:u w:val="none"/>
        </w:rPr>
        <w:t>3</w:t>
      </w:r>
      <w:r>
        <w:rPr>
          <w:spacing w:val="-5"/>
          <w:u w:val="none"/>
        </w:rPr>
        <w:t>、</w:t>
      </w:r>
      <w:r>
        <w:rPr>
          <w:u w:val="none"/>
        </w:rPr>
        <w:t>具有履行合同所必需的设备和专业技术能力：提供具备履行合同所必需的设备和专业技术能力的证明材料（供应商自行承诺</w:t>
      </w:r>
      <w:r>
        <w:rPr>
          <w:spacing w:val="-120"/>
          <w:u w:val="none"/>
        </w:rPr>
        <w:t>）</w:t>
      </w:r>
      <w:r>
        <w:rPr>
          <w:u w:val="none"/>
        </w:rPr>
        <w:t>；</w:t>
      </w:r>
    </w:p>
    <w:p>
      <w:pPr>
        <w:pStyle w:val="7"/>
        <w:tabs>
          <w:tab w:val="left" w:pos="7480"/>
        </w:tabs>
        <w:spacing w:line="364" w:lineRule="auto"/>
        <w:ind w:left="208" w:right="1231" w:rightChars="586" w:firstLine="480"/>
        <w:jc w:val="both"/>
        <w:rPr>
          <w:u w:val="none"/>
        </w:rPr>
      </w:pPr>
      <w:r>
        <w:rPr>
          <w:u w:val="none"/>
        </w:rPr>
        <w:t>4、有依法缴纳税收和社会保障资金的良好记录：</w:t>
      </w:r>
      <w:r>
        <w:rPr>
          <w:rFonts w:hint="eastAsia"/>
          <w:u w:val="none"/>
        </w:rPr>
        <w:t>提供2022年1月至今任意3个月依法缴纳增值税或企业所得税的完税凭证或银行回单和社会保障资金的相关证明材料。成立不足3个月的投标人提供近1个月的依法缴纳社会保障资金和税收的证明材料。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复印件或扫描件加盖投标供应商公章）；</w:t>
      </w:r>
    </w:p>
    <w:p>
      <w:pPr>
        <w:pStyle w:val="7"/>
        <w:spacing w:line="364" w:lineRule="auto"/>
        <w:ind w:left="208" w:right="1231" w:rightChars="586" w:firstLine="480"/>
        <w:rPr>
          <w:rFonts w:hint="eastAsia" w:eastAsia="仿宋"/>
          <w:lang w:eastAsia="zh-CN"/>
        </w:rPr>
      </w:pPr>
      <w:r>
        <w:t>5、提供参加政府采购活动前三年内无重大违法记录的书面声明函</w:t>
      </w:r>
      <w:r>
        <w:rPr>
          <w:rFonts w:hint="eastAsia"/>
          <w:lang w:eastAsia="zh-CN"/>
        </w:rPr>
        <w:t>（</w:t>
      </w:r>
      <w:r>
        <w:rPr>
          <w:rFonts w:hint="eastAsia"/>
          <w:lang w:val="en-US" w:eastAsia="zh-CN"/>
        </w:rPr>
        <w:t>格式自拟</w:t>
      </w:r>
      <w:r>
        <w:rPr>
          <w:rFonts w:hint="eastAsia"/>
          <w:lang w:eastAsia="zh-CN"/>
        </w:rPr>
        <w:t>）；</w:t>
      </w:r>
    </w:p>
    <w:p>
      <w:pPr>
        <w:pStyle w:val="7"/>
        <w:tabs>
          <w:tab w:val="left" w:pos="7480"/>
        </w:tabs>
        <w:spacing w:line="364" w:lineRule="auto"/>
        <w:ind w:left="208" w:right="1231" w:rightChars="586" w:firstLine="480"/>
        <w:jc w:val="both"/>
        <w:rPr>
          <w:rFonts w:hint="eastAsia"/>
          <w:u w:val="none"/>
        </w:rPr>
      </w:pPr>
      <w:r>
        <w:rPr>
          <w:rFonts w:hint="eastAsia"/>
          <w:u w:val="none"/>
        </w:rPr>
        <w:t>6、</w:t>
      </w:r>
      <w:r>
        <w:rPr>
          <w:rFonts w:hint="eastAsia"/>
          <w:u w:val="none"/>
          <w:lang w:val="en-US" w:eastAsia="zh-CN"/>
        </w:rPr>
        <w:t>投标人</w:t>
      </w:r>
      <w:r>
        <w:rPr>
          <w:rFonts w:hint="eastAsia"/>
          <w:u w:val="none"/>
        </w:rPr>
        <w:t>未在"信用中国"网站及"中国政府采购网"上被列入失信被执行人、重大税收违法案件当事人名单、政府采购严重违法失信行为记录名单。如有失信或违法行为，不允许参与本次政府采购活动。</w:t>
      </w:r>
    </w:p>
    <w:p>
      <w:pPr>
        <w:pStyle w:val="7"/>
        <w:spacing w:line="360" w:lineRule="auto"/>
        <w:ind w:left="688" w:right="1231" w:rightChars="586"/>
        <w:rPr>
          <w:rFonts w:hint="eastAsia" w:eastAsia="仿宋"/>
          <w:lang w:eastAsia="zh-CN"/>
        </w:rPr>
      </w:pPr>
      <w:r>
        <w:rPr>
          <w:rFonts w:hint="eastAsia" w:ascii="黑体" w:eastAsia="黑体"/>
        </w:rPr>
        <w:t>二、落实政府采购政策需满足的资格要求：</w:t>
      </w:r>
      <w:r>
        <w:t>已落实，详见采购文件</w:t>
      </w:r>
      <w:r>
        <w:rPr>
          <w:rFonts w:hint="eastAsia"/>
          <w:lang w:eastAsia="zh-CN"/>
        </w:rPr>
        <w:t>。</w:t>
      </w:r>
    </w:p>
    <w:p>
      <w:pPr>
        <w:pStyle w:val="7"/>
        <w:spacing w:before="65" w:line="360" w:lineRule="auto"/>
        <w:ind w:left="208" w:right="1231" w:rightChars="586" w:firstLine="480"/>
        <w:rPr>
          <w:rFonts w:hint="eastAsia" w:eastAsia="仿宋"/>
          <w:lang w:eastAsia="zh-CN"/>
        </w:rPr>
      </w:pPr>
      <w:r>
        <w:rPr>
          <w:rFonts w:hint="eastAsia" w:ascii="黑体" w:eastAsia="黑体"/>
        </w:rPr>
        <w:t>三、本项目所需特殊行业资质或要求：</w:t>
      </w:r>
      <w:r>
        <w:t>本次招标要求投标人须具</w:t>
      </w:r>
      <w:r>
        <w:rPr>
          <w:highlight w:val="none"/>
        </w:rPr>
        <w:t>备</w:t>
      </w:r>
      <w:r>
        <w:rPr>
          <w:b/>
          <w:bCs/>
          <w:sz w:val="24"/>
          <w:szCs w:val="24"/>
          <w:highlight w:val="none"/>
          <w:u w:val="single"/>
        </w:rPr>
        <w:t>建设行政主管部门核发的</w:t>
      </w:r>
      <w:r>
        <w:rPr>
          <w:rFonts w:hint="eastAsia"/>
          <w:b/>
          <w:bCs/>
          <w:sz w:val="24"/>
          <w:szCs w:val="24"/>
          <w:highlight w:val="none"/>
          <w:u w:val="single"/>
          <w:lang w:val="en-US" w:eastAsia="zh-CN"/>
        </w:rPr>
        <w:t>水利水电施工总承包叁级或市政公用工程施工总承包叁级及以上资质</w:t>
      </w:r>
      <w:r>
        <w:rPr>
          <w:spacing w:val="-3"/>
          <w:highlight w:val="none"/>
        </w:rPr>
        <w:t>，并在人员、设备、资金等方面具有相应的施工能力。</w:t>
      </w:r>
      <w:r>
        <w:rPr>
          <w:spacing w:val="-4"/>
          <w:highlight w:val="none"/>
        </w:rPr>
        <w:t>其中、项目经理系已在申请人注册并具备</w:t>
      </w:r>
      <w:r>
        <w:rPr>
          <w:rFonts w:hint="eastAsia"/>
          <w:b/>
          <w:bCs/>
          <w:spacing w:val="-1"/>
          <w:sz w:val="24"/>
          <w:szCs w:val="24"/>
          <w:highlight w:val="none"/>
          <w:u w:val="single"/>
          <w:lang w:val="en-US" w:eastAsia="zh-CN"/>
        </w:rPr>
        <w:t>水利水电市或政公用工程</w:t>
      </w:r>
      <w:r>
        <w:rPr>
          <w:highlight w:val="none"/>
        </w:rPr>
        <w:t>专业</w:t>
      </w:r>
      <w:r>
        <w:rPr>
          <w:b/>
          <w:bCs/>
          <w:spacing w:val="-4"/>
          <w:highlight w:val="none"/>
          <w:u w:val="single"/>
        </w:rPr>
        <w:t>贰级</w:t>
      </w:r>
      <w:r>
        <w:rPr>
          <w:highlight w:val="none"/>
        </w:rPr>
        <w:t>（含以上级</w:t>
      </w:r>
      <w:r>
        <w:rPr>
          <w:spacing w:val="-10"/>
          <w:highlight w:val="none"/>
        </w:rPr>
        <w:t>）</w:t>
      </w:r>
      <w:r>
        <w:rPr>
          <w:highlight w:val="none"/>
        </w:rPr>
        <w:t>注册建造师执业资格</w:t>
      </w:r>
      <w:r>
        <w:t>，具备有效的安全生产考核合格证书（B</w:t>
      </w:r>
      <w:r>
        <w:rPr>
          <w:spacing w:val="-30"/>
        </w:rPr>
        <w:t xml:space="preserve"> 类</w:t>
      </w:r>
      <w:r>
        <w:rPr>
          <w:spacing w:val="-118"/>
        </w:rPr>
        <w:t>）</w:t>
      </w:r>
      <w:r>
        <w:t>，且未担任其他在建建设工程项目的项目经理</w:t>
      </w:r>
      <w:r>
        <w:rPr>
          <w:rFonts w:hint="eastAsia"/>
          <w:lang w:eastAsia="zh-CN"/>
        </w:rPr>
        <w:t>。</w:t>
      </w:r>
    </w:p>
    <w:p>
      <w:pPr>
        <w:pStyle w:val="7"/>
        <w:spacing w:line="360" w:lineRule="auto"/>
        <w:ind w:left="688" w:right="1231" w:rightChars="586"/>
        <w:rPr>
          <w:rFonts w:hint="eastAsia" w:ascii="黑体" w:eastAsia="黑体"/>
        </w:rPr>
      </w:pPr>
      <w:r>
        <w:rPr>
          <w:rFonts w:hint="eastAsia" w:ascii="黑体" w:eastAsia="黑体"/>
        </w:rPr>
        <w:t>四、本项目</w:t>
      </w:r>
      <w:r>
        <w:rPr>
          <w:rFonts w:hint="eastAsia" w:ascii="黑体" w:eastAsia="黑体"/>
          <w:u w:val="single"/>
        </w:rPr>
        <w:t>不接受</w:t>
      </w:r>
      <w:r>
        <w:rPr>
          <w:rFonts w:hint="eastAsia" w:ascii="黑体" w:eastAsia="黑体"/>
        </w:rPr>
        <w:t>联合体投标</w:t>
      </w: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7"/>
        <w:rPr>
          <w:rFonts w:hint="eastAsia" w:ascii="黑体" w:eastAsia="黑体"/>
        </w:rPr>
      </w:pPr>
    </w:p>
    <w:p>
      <w:pPr>
        <w:rPr>
          <w:rFonts w:hint="eastAsia" w:ascii="黑体" w:eastAsia="黑体"/>
        </w:rPr>
      </w:pPr>
    </w:p>
    <w:p>
      <w:pPr>
        <w:pStyle w:val="2"/>
        <w:rPr>
          <w:rFonts w:hint="eastAsia" w:ascii="黑体" w:eastAsia="黑体"/>
        </w:rPr>
      </w:pPr>
    </w:p>
    <w:p>
      <w:pPr>
        <w:rPr>
          <w:rFonts w:hint="eastAsia" w:ascii="黑体" w:eastAsia="黑体"/>
        </w:rPr>
      </w:pPr>
    </w:p>
    <w:p>
      <w:pPr>
        <w:rPr>
          <w:rFonts w:hint="eastAsia" w:ascii="黑体" w:eastAsia="黑体"/>
        </w:rPr>
      </w:pPr>
    </w:p>
    <w:p>
      <w:pPr>
        <w:pStyle w:val="7"/>
        <w:rPr>
          <w:rFonts w:hint="eastAsia"/>
        </w:rPr>
      </w:pPr>
    </w:p>
    <w:p>
      <w:pPr>
        <w:numPr>
          <w:ilvl w:val="0"/>
          <w:numId w:val="2"/>
        </w:numPr>
        <w:spacing w:after="0" w:line="306" w:lineRule="exact"/>
        <w:ind w:right="811" w:rightChars="386"/>
        <w:jc w:val="center"/>
        <w:rPr>
          <w:rFonts w:hint="default" w:ascii="黑体" w:hAnsi="黑体" w:eastAsia="黑体" w:cs="黑体"/>
          <w:sz w:val="24"/>
          <w:szCs w:val="24"/>
          <w:highlight w:val="none"/>
          <w:lang w:val="en-US" w:eastAsia="zh-CN" w:bidi="ar-SA"/>
        </w:rPr>
      </w:pPr>
      <w:r>
        <w:rPr>
          <w:rFonts w:hint="eastAsia" w:ascii="黑体" w:hAnsi="黑体" w:eastAsia="黑体" w:cs="黑体"/>
          <w:sz w:val="28"/>
          <w:szCs w:val="28"/>
          <w:lang w:val="en-US" w:eastAsia="zh-CN" w:bidi="ar-SA"/>
        </w:rPr>
        <w:t>采购清单及商务要求</w:t>
      </w:r>
    </w:p>
    <w:p>
      <w:pPr>
        <w:numPr>
          <w:ilvl w:val="0"/>
          <w:numId w:val="0"/>
        </w:numPr>
        <w:spacing w:after="0" w:line="306" w:lineRule="exact"/>
        <w:ind w:right="811" w:rightChars="386"/>
        <w:jc w:val="center"/>
        <w:rPr>
          <w:rFonts w:hint="default" w:ascii="黑体" w:hAnsi="黑体" w:eastAsia="黑体" w:cs="黑体"/>
          <w:sz w:val="24"/>
          <w:szCs w:val="24"/>
          <w:highlight w:val="none"/>
          <w:lang w:val="en-US" w:eastAsia="zh-CN" w:bidi="ar-SA"/>
        </w:rPr>
      </w:pPr>
      <w:r>
        <w:rPr>
          <w:rFonts w:hint="eastAsia" w:ascii="黑体" w:hAnsi="黑体" w:eastAsia="黑体" w:cs="黑体"/>
          <w:sz w:val="24"/>
          <w:szCs w:val="24"/>
          <w:highlight w:val="none"/>
          <w:lang w:val="en-US" w:eastAsia="zh-CN" w:bidi="ar-SA"/>
        </w:rPr>
        <w:t>第一节 工程量清单（另附）</w:t>
      </w:r>
    </w:p>
    <w:p>
      <w:pPr>
        <w:pStyle w:val="7"/>
      </w:pPr>
      <w:r>
        <w:rPr>
          <w:rFonts w:hint="eastAsia" w:ascii="黑体" w:hAnsi="黑体" w:eastAsia="黑体" w:cs="黑体"/>
          <w:sz w:val="28"/>
          <w:szCs w:val="28"/>
          <w:lang w:val="en-US" w:eastAsia="zh-CN" w:bidi="ar-SA"/>
        </w:rPr>
        <w:t xml:space="preserve"> </w:t>
      </w:r>
    </w:p>
    <w:p/>
    <w:p>
      <w:pPr>
        <w:pStyle w:val="7"/>
      </w:pPr>
    </w:p>
    <w:p/>
    <w:p>
      <w:pPr>
        <w:pStyle w:val="7"/>
      </w:pPr>
    </w:p>
    <w:p/>
    <w:p>
      <w:pPr>
        <w:pStyle w:val="7"/>
        <w:spacing w:before="46"/>
        <w:ind w:right="850" w:rightChars="0"/>
        <w:jc w:val="center"/>
        <w:rPr>
          <w:rFonts w:hint="eastAsia" w:ascii="黑体" w:eastAsia="黑体"/>
        </w:rPr>
      </w:pPr>
      <w:r>
        <w:rPr>
          <w:rFonts w:hint="default"/>
          <w:lang w:val="en-US" w:eastAsia="zh-CN"/>
        </w:rPr>
        <w:br w:type="page"/>
      </w:r>
      <w:r>
        <w:rPr>
          <w:rFonts w:hint="eastAsia"/>
          <w:lang w:val="en-US" w:eastAsia="zh-CN"/>
        </w:rPr>
        <w:t xml:space="preserve"> </w:t>
      </w:r>
      <w:r>
        <w:rPr>
          <w:rFonts w:hint="eastAsia" w:ascii="黑体" w:eastAsia="黑体"/>
        </w:rPr>
        <w:t>第二节 商务要求</w:t>
      </w:r>
    </w:p>
    <w:p>
      <w:pPr>
        <w:pStyle w:val="7"/>
        <w:spacing w:before="158"/>
        <w:ind w:left="108"/>
        <w:rPr>
          <w:rFonts w:hint="eastAsia" w:ascii="黑体" w:eastAsia="黑体"/>
          <w:highlight w:val="none"/>
        </w:rPr>
      </w:pPr>
      <w:r>
        <w:rPr>
          <w:rFonts w:hint="eastAsia" w:ascii="黑体" w:eastAsia="黑体"/>
          <w:highlight w:val="none"/>
        </w:rPr>
        <w:t>一、工期</w:t>
      </w:r>
    </w:p>
    <w:p>
      <w:pPr>
        <w:pStyle w:val="7"/>
        <w:keepNext w:val="0"/>
        <w:keepLines w:val="0"/>
        <w:pageBreakBefore w:val="0"/>
        <w:widowControl w:val="0"/>
        <w:kinsoku/>
        <w:wordWrap/>
        <w:overflowPunct/>
        <w:topLinePunct w:val="0"/>
        <w:autoSpaceDE w:val="0"/>
        <w:autoSpaceDN w:val="0"/>
        <w:bidi w:val="0"/>
        <w:adjustRightInd/>
        <w:snapToGrid/>
        <w:spacing w:before="161" w:line="240" w:lineRule="auto"/>
        <w:ind w:left="688"/>
        <w:textAlignment w:val="auto"/>
        <w:rPr>
          <w:rFonts w:hint="default" w:ascii="仿宋" w:hAnsi="仿宋" w:eastAsia="仿宋" w:cs="仿宋"/>
          <w:sz w:val="24"/>
          <w:lang w:val="en-US" w:eastAsia="zh-CN"/>
        </w:rPr>
      </w:pPr>
      <w:r>
        <w:rPr>
          <w:rFonts w:hint="eastAsia" w:cs="仿宋"/>
          <w:sz w:val="24"/>
          <w:lang w:val="en-US" w:eastAsia="zh-CN"/>
        </w:rPr>
        <w:t>3个月</w:t>
      </w:r>
    </w:p>
    <w:p>
      <w:pPr>
        <w:pStyle w:val="7"/>
        <w:spacing w:before="160"/>
        <w:ind w:left="108"/>
        <w:rPr>
          <w:rFonts w:hint="eastAsia" w:ascii="黑体" w:eastAsia="黑体"/>
        </w:rPr>
      </w:pPr>
      <w:r>
        <w:rPr>
          <w:rFonts w:hint="eastAsia" w:ascii="黑体" w:eastAsia="黑体"/>
        </w:rPr>
        <w:t>二、质量标准</w:t>
      </w:r>
    </w:p>
    <w:p>
      <w:pPr>
        <w:pStyle w:val="7"/>
        <w:keepNext w:val="0"/>
        <w:keepLines w:val="0"/>
        <w:pageBreakBefore w:val="0"/>
        <w:widowControl w:val="0"/>
        <w:kinsoku/>
        <w:wordWrap/>
        <w:overflowPunct/>
        <w:topLinePunct w:val="0"/>
        <w:autoSpaceDE w:val="0"/>
        <w:autoSpaceDN w:val="0"/>
        <w:bidi w:val="0"/>
        <w:adjustRightInd/>
        <w:snapToGrid/>
        <w:spacing w:before="161" w:line="240" w:lineRule="auto"/>
        <w:ind w:left="688"/>
        <w:textAlignment w:val="auto"/>
        <w:rPr>
          <w:rFonts w:hint="eastAsia" w:cs="仿宋"/>
          <w:sz w:val="24"/>
          <w:lang w:eastAsia="zh-CN"/>
        </w:rPr>
      </w:pPr>
      <w:r>
        <w:rPr>
          <w:rFonts w:hint="eastAsia" w:ascii="仿宋" w:hAnsi="仿宋" w:eastAsia="仿宋" w:cs="仿宋"/>
          <w:sz w:val="24"/>
        </w:rPr>
        <w:t>工程质量：符合国家现行有关施工质量验收规范标准</w:t>
      </w:r>
      <w:r>
        <w:rPr>
          <w:rFonts w:hint="eastAsia" w:cs="仿宋"/>
          <w:sz w:val="24"/>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161" w:line="240" w:lineRule="auto"/>
        <w:ind w:left="688"/>
        <w:textAlignment w:val="auto"/>
      </w:pPr>
      <w:r>
        <w:rPr>
          <w:rFonts w:hint="eastAsia" w:ascii="仿宋" w:hAnsi="仿宋" w:eastAsia="仿宋" w:cs="仿宋"/>
          <w:sz w:val="24"/>
        </w:rPr>
        <w:t>施工安全文明标准化：满足有关规范标准要求。</w:t>
      </w:r>
    </w:p>
    <w:p>
      <w:pPr>
        <w:pStyle w:val="7"/>
        <w:spacing w:before="158"/>
        <w:ind w:left="108"/>
        <w:rPr>
          <w:rFonts w:hint="eastAsia" w:ascii="黑体" w:eastAsia="黑体"/>
        </w:rPr>
      </w:pPr>
      <w:r>
        <w:rPr>
          <w:rFonts w:hint="eastAsia" w:ascii="黑体" w:eastAsia="黑体"/>
        </w:rPr>
        <w:t>三、付款方式</w:t>
      </w:r>
    </w:p>
    <w:p>
      <w:pPr>
        <w:pStyle w:val="7"/>
        <w:spacing w:before="160"/>
        <w:ind w:left="588"/>
        <w:rPr>
          <w:highlight w:val="none"/>
        </w:rPr>
      </w:pPr>
      <w:r>
        <w:rPr>
          <w:highlight w:val="none"/>
        </w:rPr>
        <w:t>具体支付方式，以合同约定为准</w:t>
      </w:r>
    </w:p>
    <w:p>
      <w:pPr>
        <w:pStyle w:val="7"/>
        <w:spacing w:before="158"/>
        <w:ind w:left="108"/>
        <w:rPr>
          <w:rFonts w:hint="eastAsia" w:ascii="黑体" w:eastAsia="黑体"/>
        </w:rPr>
      </w:pPr>
      <w:r>
        <w:rPr>
          <w:rFonts w:hint="eastAsia" w:ascii="黑体" w:eastAsia="黑体"/>
        </w:rPr>
        <w:t>四、投标有效期</w:t>
      </w:r>
    </w:p>
    <w:p>
      <w:pPr>
        <w:pStyle w:val="7"/>
        <w:spacing w:before="161"/>
        <w:ind w:left="588"/>
      </w:pPr>
      <w:r>
        <w:t xml:space="preserve">磋商结束之日起 </w:t>
      </w:r>
      <w:r>
        <w:rPr>
          <w:rFonts w:ascii="Times New Roman" w:eastAsia="Times New Roman"/>
        </w:rPr>
        <w:t xml:space="preserve">60 </w:t>
      </w:r>
      <w:r>
        <w:t>个日历天内</w:t>
      </w:r>
    </w:p>
    <w:p>
      <w:pPr>
        <w:pStyle w:val="7"/>
        <w:spacing w:before="161"/>
        <w:ind w:left="588"/>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highlight w:val="yellow"/>
          <w:lang w:val="en-US" w:eastAsia="zh-CN"/>
        </w:rPr>
      </w:pPr>
    </w:p>
    <w:p>
      <w:pPr>
        <w:pStyle w:val="7"/>
        <w:spacing w:before="46"/>
        <w:ind w:left="3402" w:right="2910" w:rightChars="0"/>
        <w:jc w:val="both"/>
        <w:rPr>
          <w:rFonts w:hint="eastAsia" w:ascii="黑体" w:eastAsia="黑体"/>
          <w:b/>
          <w:bCs/>
          <w:highlight w:val="none"/>
          <w:lang w:val="en-US" w:eastAsia="zh-CN"/>
        </w:rPr>
      </w:pPr>
      <w:r>
        <w:rPr>
          <w:rFonts w:hint="eastAsia" w:ascii="黑体" w:eastAsia="黑体"/>
          <w:highlight w:val="none"/>
          <w:lang w:val="en-US" w:eastAsia="zh-CN"/>
        </w:rPr>
        <w:t>第三节 图纸</w:t>
      </w:r>
      <w:r>
        <w:rPr>
          <w:rFonts w:hint="eastAsia" w:ascii="黑体" w:eastAsia="黑体"/>
          <w:b/>
          <w:bCs/>
          <w:highlight w:val="none"/>
          <w:lang w:val="en-US" w:eastAsia="zh-CN"/>
        </w:rPr>
        <w:t xml:space="preserve"> </w:t>
      </w:r>
      <w:bookmarkStart w:id="0" w:name="_TOC_250006"/>
      <w:bookmarkEnd w:id="0"/>
    </w:p>
    <w:p>
      <w:pPr>
        <w:rPr>
          <w:rFonts w:hint="eastAsia"/>
          <w:lang w:val="en-US" w:eastAsia="zh-CN"/>
        </w:rPr>
      </w:pPr>
    </w:p>
    <w:p>
      <w:pPr>
        <w:pStyle w:val="7"/>
        <w:rPr>
          <w:rFonts w:hint="eastAsia"/>
          <w:lang w:val="en-US" w:eastAsia="zh-CN"/>
        </w:rPr>
      </w:pPr>
      <w:r>
        <w:rPr>
          <w:rFonts w:hint="eastAsia"/>
          <w:lang w:val="en-US" w:eastAsia="zh-CN"/>
        </w:rPr>
        <w:t xml:space="preserve"> </w:t>
      </w: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12"/>
        <w:ind w:left="0" w:leftChars="0" w:firstLine="0" w:firstLineChars="0"/>
        <w:jc w:val="both"/>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r>
        <w:br w:type="page"/>
      </w:r>
    </w:p>
    <w:p>
      <w:pPr>
        <w:jc w:val="center"/>
        <w:rPr>
          <w:b/>
          <w:bCs/>
          <w:sz w:val="30"/>
          <w:szCs w:val="30"/>
        </w:rPr>
      </w:pPr>
      <w:r>
        <w:rPr>
          <w:b/>
          <w:bCs/>
          <w:sz w:val="30"/>
          <w:szCs w:val="30"/>
        </w:rPr>
        <w:t>第四章 评标办法</w:t>
      </w:r>
    </w:p>
    <w:p>
      <w:pPr>
        <w:pStyle w:val="7"/>
        <w:spacing w:before="1"/>
        <w:rPr>
          <w:rFonts w:ascii="黑体"/>
          <w:sz w:val="9"/>
        </w:rPr>
      </w:pPr>
    </w:p>
    <w:p>
      <w:pPr>
        <w:pStyle w:val="7"/>
        <w:spacing w:before="67"/>
        <w:ind w:left="3402" w:right="3524"/>
        <w:jc w:val="center"/>
        <w:rPr>
          <w:rFonts w:hint="eastAsia" w:ascii="黑体" w:eastAsia="黑体"/>
        </w:rPr>
      </w:pPr>
      <w:bookmarkStart w:id="1" w:name="第一节 评标办法"/>
      <w:bookmarkEnd w:id="1"/>
      <w:r>
        <w:rPr>
          <w:rFonts w:hint="eastAsia" w:ascii="黑体" w:eastAsia="黑体"/>
        </w:rPr>
        <w:t>第一节 评标办法</w:t>
      </w:r>
    </w:p>
    <w:p>
      <w:pPr>
        <w:pStyle w:val="7"/>
        <w:spacing w:before="160"/>
        <w:ind w:left="108"/>
        <w:rPr>
          <w:rFonts w:hint="eastAsia" w:ascii="黑体" w:eastAsia="黑体"/>
        </w:rPr>
      </w:pPr>
      <w:r>
        <w:rPr>
          <w:rFonts w:hint="eastAsia" w:ascii="黑体" w:eastAsia="黑体"/>
        </w:rPr>
        <w:t>一、评标办法</w:t>
      </w:r>
    </w:p>
    <w:p>
      <w:pPr>
        <w:pStyle w:val="7"/>
        <w:tabs>
          <w:tab w:val="left" w:pos="3467"/>
        </w:tabs>
        <w:spacing w:before="161"/>
        <w:ind w:left="588"/>
      </w:pPr>
      <w:r>
        <w:t>本项目采用</w:t>
      </w:r>
      <w:r>
        <w:rPr>
          <w:b/>
          <w:bCs/>
          <w:u w:val="single"/>
        </w:rPr>
        <w:t>综合评分法</w:t>
      </w:r>
      <w:r>
        <w:t>进行评审</w:t>
      </w:r>
    </w:p>
    <w:p>
      <w:pPr>
        <w:pStyle w:val="7"/>
        <w:spacing w:before="158" w:line="364" w:lineRule="auto"/>
        <w:ind w:left="108" w:right="316" w:firstLine="480"/>
        <w:rPr>
          <w:rFonts w:ascii="Times New Roman" w:eastAsia="Times New Roman"/>
        </w:rPr>
      </w:pPr>
      <w:r>
        <w:t xml:space="preserve">综合评分法，是指在满足采购文件实质性要求的前提下，评标专家按照采购文件中规定的各项评审因素及其分值进行综合评分后，以评分从高到低的顺序推荐 </w:t>
      </w:r>
      <w:r>
        <w:rPr>
          <w:rFonts w:ascii="Times New Roman" w:eastAsia="Times New Roman"/>
        </w:rPr>
        <w:t>1</w:t>
      </w:r>
    </w:p>
    <w:p>
      <w:pPr>
        <w:pStyle w:val="7"/>
        <w:spacing w:line="306" w:lineRule="exact"/>
        <w:ind w:left="108"/>
      </w:pPr>
      <w:r>
        <w:t xml:space="preserve">至 </w:t>
      </w:r>
      <w:r>
        <w:rPr>
          <w:rFonts w:ascii="Times New Roman" w:eastAsia="Times New Roman"/>
        </w:rPr>
        <w:t xml:space="preserve">3 </w:t>
      </w:r>
      <w:r>
        <w:t>家供应商作为中标候选供应商的评标方法。</w:t>
      </w:r>
    </w:p>
    <w:p>
      <w:pPr>
        <w:pStyle w:val="7"/>
        <w:spacing w:before="158"/>
        <w:ind w:left="588"/>
      </w:pPr>
      <w:r>
        <w:t>本项目需现场填写二次报价，二次报价为最终评审依据。</w:t>
      </w:r>
    </w:p>
    <w:p>
      <w:pPr>
        <w:pStyle w:val="7"/>
        <w:spacing w:before="160" w:line="364" w:lineRule="auto"/>
        <w:ind w:left="108" w:right="316" w:firstLine="480"/>
        <w:jc w:val="both"/>
      </w:pPr>
      <w:r>
        <w:t>报价中的大写金额和小写金额不一致的，以大写金额为准；总价金额与按单价汇总金额不一致的，以单价金额计算结果为准；单价金额小数点有明显错位的，应以总价为准，并修改单价。</w:t>
      </w:r>
    </w:p>
    <w:p>
      <w:pPr>
        <w:pStyle w:val="7"/>
        <w:spacing w:line="364" w:lineRule="auto"/>
        <w:ind w:left="108" w:right="106" w:firstLine="480"/>
      </w:pPr>
      <w:r>
        <w:t>磋商小组严格依据响应性文件所提供的资料，对照《初步审查表》所列内容对</w:t>
      </w:r>
      <w:r>
        <w:rPr>
          <w:spacing w:val="-2"/>
        </w:rPr>
        <w:t>供应商进行资格性审查及符合性审查，审查通过的供应商进入评分和报价评审环节。未通过初步审查的响应性文件不参与报价评审。通过初步审查的供应商不足两家的</w:t>
      </w:r>
    </w:p>
    <w:p>
      <w:pPr>
        <w:pStyle w:val="7"/>
        <w:spacing w:line="362" w:lineRule="auto"/>
        <w:ind w:left="108" w:right="226"/>
      </w:pPr>
      <w:r>
        <w:t>（</w:t>
      </w:r>
      <w:r>
        <w:rPr>
          <w:spacing w:val="-5"/>
        </w:rPr>
        <w:t>根据财库〔</w:t>
      </w:r>
      <w:r>
        <w:rPr>
          <w:rFonts w:ascii="Times New Roman" w:eastAsia="Times New Roman"/>
        </w:rPr>
        <w:t>2015</w:t>
      </w:r>
      <w:r>
        <w:rPr>
          <w:spacing w:val="-22"/>
        </w:rPr>
        <w:t>〕</w:t>
      </w:r>
      <w:r>
        <w:rPr>
          <w:rFonts w:ascii="Times New Roman" w:eastAsia="Times New Roman"/>
        </w:rPr>
        <w:t xml:space="preserve">124 </w:t>
      </w:r>
      <w:r>
        <w:rPr>
          <w:spacing w:val="-8"/>
        </w:rPr>
        <w:t xml:space="preserve">号规定，在采购过程中符合要求的供应商只有 </w:t>
      </w:r>
      <w:r>
        <w:rPr>
          <w:rFonts w:ascii="Times New Roman" w:eastAsia="Times New Roman"/>
        </w:rPr>
        <w:t xml:space="preserve">2 </w:t>
      </w:r>
      <w:r>
        <w:rPr>
          <w:spacing w:val="-5"/>
        </w:rPr>
        <w:t>家的，竞争性磋商采购活动可以继续进行</w:t>
      </w:r>
      <w:r>
        <w:rPr>
          <w:spacing w:val="-120"/>
        </w:rPr>
        <w:t>）</w:t>
      </w:r>
      <w:r>
        <w:t>，本项目废标，磋商工作结束。</w:t>
      </w:r>
    </w:p>
    <w:p>
      <w:pPr>
        <w:pStyle w:val="7"/>
        <w:spacing w:before="2"/>
        <w:ind w:left="108"/>
        <w:rPr>
          <w:rFonts w:hint="eastAsia" w:ascii="黑体" w:eastAsia="黑体"/>
        </w:rPr>
      </w:pPr>
      <w:r>
        <w:rPr>
          <w:rFonts w:hint="eastAsia" w:ascii="黑体" w:eastAsia="黑体"/>
        </w:rPr>
        <w:t>二、评分因素</w:t>
      </w:r>
    </w:p>
    <w:p>
      <w:pPr>
        <w:pStyle w:val="7"/>
        <w:spacing w:before="160" w:line="364" w:lineRule="auto"/>
        <w:ind w:left="108" w:right="226" w:firstLine="480"/>
      </w:pPr>
      <w:r>
        <w:t>评分的主要因素分为价格因素、技术因素（如技术参数、产品性能、产品质量等</w:t>
      </w:r>
      <w:r>
        <w:rPr>
          <w:spacing w:val="-5"/>
        </w:rPr>
        <w:t>）</w:t>
      </w:r>
      <w:r>
        <w:rPr>
          <w:spacing w:val="-1"/>
        </w:rPr>
        <w:t>和商务因素</w:t>
      </w:r>
      <w:r>
        <w:t>（</w:t>
      </w:r>
      <w:r>
        <w:rPr>
          <w:spacing w:val="-4"/>
        </w:rPr>
        <w:t>如财务状况、信誉、业绩、</w:t>
      </w:r>
      <w:r>
        <w:rPr>
          <w:rFonts w:hint="eastAsia"/>
          <w:spacing w:val="-4"/>
          <w:lang w:val="en-US" w:eastAsia="zh-CN"/>
        </w:rPr>
        <w:t>工期</w:t>
      </w:r>
      <w:r>
        <w:rPr>
          <w:spacing w:val="-4"/>
        </w:rPr>
        <w:t>、质保期等</w:t>
      </w:r>
      <w:r>
        <w:rPr>
          <w:spacing w:val="-120"/>
        </w:rPr>
        <w:t>）</w:t>
      </w:r>
      <w:r>
        <w:rPr>
          <w:spacing w:val="-2"/>
        </w:rPr>
        <w:t>。评分因素详见评分表。评标分值保留至两位小数。评标时，评标专家依照评分表对每个有效供应商的投标文件进行独立评价、打分。</w:t>
      </w:r>
    </w:p>
    <w:p>
      <w:pPr>
        <w:pStyle w:val="7"/>
        <w:spacing w:line="305" w:lineRule="exact"/>
        <w:ind w:left="108"/>
        <w:rPr>
          <w:rFonts w:hint="eastAsia" w:ascii="黑体" w:eastAsia="黑体"/>
        </w:rPr>
      </w:pPr>
      <w:r>
        <w:rPr>
          <w:rFonts w:hint="eastAsia" w:ascii="黑体" w:eastAsia="黑体"/>
        </w:rPr>
        <w:t>三、评分标准</w:t>
      </w:r>
    </w:p>
    <w:p>
      <w:pPr>
        <w:pStyle w:val="7"/>
        <w:spacing w:before="161"/>
        <w:ind w:left="588"/>
        <w:sectPr>
          <w:footerReference r:id="rId3" w:type="default"/>
          <w:pgSz w:w="11910" w:h="16840"/>
          <w:pgMar w:top="1260" w:right="1190" w:bottom="1020" w:left="1480" w:header="0" w:footer="823" w:gutter="0"/>
          <w:pgNumType w:fmt="decimal"/>
          <w:cols w:space="720" w:num="1"/>
        </w:sectPr>
      </w:pPr>
      <w:r>
        <w:rPr>
          <w:rFonts w:ascii="Times New Roman" w:eastAsia="Times New Roman"/>
        </w:rPr>
        <w:t>1.</w:t>
      </w:r>
      <w:r>
        <w:t>初步审查</w:t>
      </w:r>
    </w:p>
    <w:p>
      <w:pPr>
        <w:spacing w:after="0"/>
        <w:rPr>
          <w:sz w:val="15"/>
        </w:rPr>
        <w:sectPr>
          <w:footerReference r:id="rId4" w:type="default"/>
          <w:pgSz w:w="16840" w:h="11910" w:orient="landscape"/>
          <w:pgMar w:top="1100" w:right="1140" w:bottom="1020" w:left="1140" w:header="0" w:footer="824" w:gutter="0"/>
          <w:pgNumType w:fmt="decimal"/>
          <w:cols w:space="720" w:num="1"/>
        </w:sectPr>
      </w:pPr>
    </w:p>
    <w:p>
      <w:pPr>
        <w:pStyle w:val="7"/>
        <w:spacing w:before="1"/>
        <w:rPr>
          <w:sz w:val="32"/>
        </w:rPr>
      </w:pPr>
    </w:p>
    <w:p>
      <w:pPr>
        <w:pStyle w:val="7"/>
        <w:spacing w:before="1"/>
        <w:ind w:left="220"/>
      </w:pPr>
      <w:r>
        <w:t>项目名称：</w:t>
      </w:r>
    </w:p>
    <w:p>
      <w:pPr>
        <w:tabs>
          <w:tab w:val="left" w:pos="782"/>
          <w:tab w:val="left" w:pos="1343"/>
          <w:tab w:val="left" w:pos="1907"/>
          <w:tab w:val="left" w:pos="2469"/>
        </w:tabs>
        <w:spacing w:before="62"/>
        <w:ind w:right="0"/>
        <w:jc w:val="left"/>
        <w:rPr>
          <w:b/>
          <w:sz w:val="32"/>
          <w:szCs w:val="24"/>
        </w:rPr>
      </w:pPr>
      <w:r>
        <w:br w:type="column"/>
      </w:r>
      <w:r>
        <w:rPr>
          <w:b/>
          <w:sz w:val="32"/>
          <w:szCs w:val="24"/>
          <w:u w:val="single"/>
        </w:rPr>
        <w:t>初</w:t>
      </w:r>
      <w:r>
        <w:rPr>
          <w:b/>
          <w:sz w:val="32"/>
          <w:szCs w:val="24"/>
          <w:u w:val="single"/>
        </w:rPr>
        <w:tab/>
      </w:r>
      <w:r>
        <w:rPr>
          <w:b/>
          <w:sz w:val="32"/>
          <w:szCs w:val="24"/>
          <w:u w:val="single"/>
        </w:rPr>
        <w:t>步</w:t>
      </w:r>
      <w:r>
        <w:rPr>
          <w:b/>
          <w:sz w:val="32"/>
          <w:szCs w:val="24"/>
          <w:u w:val="single"/>
        </w:rPr>
        <w:tab/>
      </w:r>
      <w:r>
        <w:rPr>
          <w:b/>
          <w:sz w:val="32"/>
          <w:szCs w:val="24"/>
          <w:u w:val="single"/>
        </w:rPr>
        <w:t>审</w:t>
      </w:r>
      <w:r>
        <w:rPr>
          <w:b/>
          <w:sz w:val="32"/>
          <w:szCs w:val="24"/>
          <w:u w:val="single"/>
        </w:rPr>
        <w:tab/>
      </w:r>
      <w:r>
        <w:rPr>
          <w:b/>
          <w:sz w:val="32"/>
          <w:szCs w:val="24"/>
          <w:u w:val="single"/>
        </w:rPr>
        <w:t>查</w:t>
      </w:r>
      <w:r>
        <w:rPr>
          <w:b/>
          <w:sz w:val="32"/>
          <w:szCs w:val="24"/>
          <w:u w:val="single"/>
        </w:rPr>
        <w:tab/>
      </w:r>
      <w:r>
        <w:rPr>
          <w:b/>
          <w:sz w:val="32"/>
          <w:szCs w:val="24"/>
          <w:u w:val="single"/>
        </w:rPr>
        <w:t>表</w:t>
      </w:r>
    </w:p>
    <w:p>
      <w:pPr>
        <w:spacing w:after="0"/>
        <w:jc w:val="left"/>
        <w:rPr>
          <w:sz w:val="24"/>
          <w:szCs w:val="21"/>
        </w:rPr>
        <w:sectPr>
          <w:type w:val="continuous"/>
          <w:pgSz w:w="16840" w:h="11910" w:orient="landscape"/>
          <w:pgMar w:top="1600" w:right="1140" w:bottom="940" w:left="1140" w:header="720" w:footer="720" w:gutter="0"/>
          <w:pgNumType w:fmt="decimal"/>
          <w:cols w:equalWidth="0" w:num="2">
            <w:col w:w="1461" w:space="4335"/>
            <w:col w:w="8764"/>
          </w:cols>
        </w:sectPr>
      </w:pPr>
    </w:p>
    <w:p>
      <w:pPr>
        <w:pStyle w:val="7"/>
        <w:tabs>
          <w:tab w:val="left" w:pos="10780"/>
        </w:tabs>
        <w:spacing w:before="33"/>
        <w:ind w:left="220"/>
        <w:rPr>
          <w:sz w:val="22"/>
          <w:szCs w:val="22"/>
        </w:rPr>
      </w:pPr>
      <w:r>
        <w:rPr>
          <w:sz w:val="22"/>
          <w:szCs w:val="22"/>
        </w:rPr>
        <w:t>评标地点：</w:t>
      </w:r>
      <w:r>
        <w:rPr>
          <w:sz w:val="22"/>
          <w:szCs w:val="22"/>
        </w:rPr>
        <w:tab/>
      </w:r>
      <w:r>
        <w:rPr>
          <w:sz w:val="22"/>
          <w:szCs w:val="22"/>
        </w:rPr>
        <w:t>202</w:t>
      </w:r>
      <w:r>
        <w:rPr>
          <w:rFonts w:hint="eastAsia"/>
          <w:sz w:val="22"/>
          <w:szCs w:val="22"/>
          <w:lang w:val="en-US" w:eastAsia="zh-CN"/>
        </w:rPr>
        <w:t>3</w:t>
      </w:r>
      <w:r>
        <w:rPr>
          <w:sz w:val="22"/>
          <w:szCs w:val="22"/>
        </w:rPr>
        <w:t>.X.X</w:t>
      </w:r>
    </w:p>
    <w:p>
      <w:pPr>
        <w:pStyle w:val="6"/>
        <w:spacing w:before="33" w:after="17"/>
        <w:ind w:left="220"/>
        <w:rPr>
          <w:rFonts w:hint="eastAsia" w:ascii="仿宋" w:eastAsia="仿宋"/>
          <w:sz w:val="22"/>
          <w:szCs w:val="22"/>
        </w:rPr>
      </w:pPr>
      <w:r>
        <w:rPr>
          <w:sz w:val="22"/>
          <w:szCs w:val="22"/>
        </w:rPr>
        <mc:AlternateContent>
          <mc:Choice Requires="wps">
            <w:drawing>
              <wp:anchor distT="0" distB="0" distL="114300" distR="114300" simplePos="0" relativeHeight="251661312" behindDoc="1" locked="0" layoutInCell="1" allowOverlap="1">
                <wp:simplePos x="0" y="0"/>
                <wp:positionH relativeFrom="page">
                  <wp:posOffset>1134110</wp:posOffset>
                </wp:positionH>
                <wp:positionV relativeFrom="paragraph">
                  <wp:posOffset>231775</wp:posOffset>
                </wp:positionV>
                <wp:extent cx="6095365" cy="358775"/>
                <wp:effectExtent l="0" t="4445" r="635" b="17780"/>
                <wp:wrapNone/>
                <wp:docPr id="25" name="直线 19"/>
                <wp:cNvGraphicFramePr/>
                <a:graphic xmlns:a="http://schemas.openxmlformats.org/drawingml/2006/main">
                  <a:graphicData uri="http://schemas.microsoft.com/office/word/2010/wordprocessingShape">
                    <wps:wsp>
                      <wps:cNvCnPr/>
                      <wps:spPr>
                        <a:xfrm>
                          <a:off x="0" y="0"/>
                          <a:ext cx="6095365" cy="3587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89.3pt;margin-top:18.25pt;height:28.25pt;width:479.95pt;mso-position-horizontal-relative:page;z-index:-251655168;mso-width-relative:page;mso-height-relative:page;" filled="f" stroked="t" coordsize="21600,21600" o:gfxdata="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OjIj1gAAAAoBAAAPAAAAAAAAAAEAIAAAACIAAABkcnMvZG93bnJldi54bWxQSwECFAAUAAAACACH&#10;TuJAzMFoTO0BAADiAwAADgAAAAAAAAABACAAAAAlAQAAZHJzL2Uyb0RvYy54bWxQSwUGAAAAAAYA&#10;BgBZAQAAhAUAAAAA&#10;">
                <v:fill on="f" focussize="0,0"/>
                <v:stroke weight="0.5pt" color="#000000" joinstyle="round"/>
                <v:imagedata o:title=""/>
                <o:lock v:ext="edit" aspectratio="f"/>
              </v:line>
            </w:pict>
          </mc:Fallback>
        </mc:AlternateContent>
      </w:r>
      <w:r>
        <w:rPr>
          <w:rFonts w:hint="eastAsia" w:ascii="仿宋" w:eastAsia="仿宋"/>
          <w:w w:val="95"/>
          <w:sz w:val="22"/>
          <w:szCs w:val="22"/>
        </w:rPr>
        <w:t>一、资格性审查</w:t>
      </w:r>
    </w:p>
    <w:tbl>
      <w:tblPr>
        <w:tblStyle w:val="10"/>
        <w:tblW w:w="14550"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436"/>
        <w:gridCol w:w="8161"/>
        <w:gridCol w:w="1122"/>
        <w:gridCol w:w="1087"/>
        <w:gridCol w:w="1126"/>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3"/>
              <w:spacing w:before="1" w:line="280" w:lineRule="exact"/>
              <w:ind w:left="144" w:right="134"/>
              <w:rPr>
                <w:sz w:val="22"/>
                <w:szCs w:val="21"/>
              </w:rPr>
            </w:pPr>
            <w:r>
              <w:rPr>
                <w:sz w:val="22"/>
                <w:szCs w:val="21"/>
              </w:rPr>
              <w:t>序号</w:t>
            </w:r>
          </w:p>
        </w:tc>
        <w:tc>
          <w:tcPr>
            <w:tcW w:w="9597" w:type="dxa"/>
            <w:gridSpan w:val="2"/>
          </w:tcPr>
          <w:p>
            <w:pPr>
              <w:pStyle w:val="13"/>
              <w:spacing w:line="279" w:lineRule="exact"/>
              <w:ind w:right="1444"/>
              <w:jc w:val="right"/>
              <w:rPr>
                <w:sz w:val="22"/>
                <w:szCs w:val="21"/>
              </w:rPr>
            </w:pPr>
            <w:r>
              <w:rPr>
                <w:sz w:val="22"/>
                <w:szCs w:val="21"/>
              </w:rPr>
              <w:t>供应商名称</w:t>
            </w:r>
          </w:p>
          <w:p>
            <w:pPr>
              <w:pStyle w:val="13"/>
              <w:spacing w:line="261" w:lineRule="exact"/>
              <w:ind w:left="107"/>
              <w:rPr>
                <w:sz w:val="22"/>
                <w:szCs w:val="21"/>
              </w:rPr>
            </w:pPr>
            <w:r>
              <w:rPr>
                <w:sz w:val="22"/>
                <w:szCs w:val="21"/>
              </w:rPr>
              <w:t>资格要求</w:t>
            </w:r>
          </w:p>
        </w:tc>
        <w:tc>
          <w:tcPr>
            <w:tcW w:w="1122" w:type="dxa"/>
            <w:vAlign w:val="center"/>
          </w:tcPr>
          <w:p>
            <w:pPr>
              <w:pStyle w:val="13"/>
              <w:spacing w:before="154"/>
              <w:ind w:left="108"/>
              <w:jc w:val="center"/>
              <w:rPr>
                <w:sz w:val="20"/>
                <w:szCs w:val="21"/>
              </w:rPr>
            </w:pPr>
            <w:r>
              <w:rPr>
                <w:sz w:val="20"/>
                <w:szCs w:val="21"/>
              </w:rPr>
              <w:t>供应商 1</w:t>
            </w:r>
          </w:p>
        </w:tc>
        <w:tc>
          <w:tcPr>
            <w:tcW w:w="1087" w:type="dxa"/>
            <w:vAlign w:val="center"/>
          </w:tcPr>
          <w:p>
            <w:pPr>
              <w:pStyle w:val="13"/>
              <w:spacing w:before="154"/>
              <w:jc w:val="both"/>
              <w:rPr>
                <w:sz w:val="20"/>
                <w:szCs w:val="21"/>
              </w:rPr>
            </w:pPr>
            <w:r>
              <w:rPr>
                <w:sz w:val="20"/>
                <w:szCs w:val="21"/>
              </w:rPr>
              <w:t>供应商 2</w:t>
            </w:r>
          </w:p>
        </w:tc>
        <w:tc>
          <w:tcPr>
            <w:tcW w:w="1126" w:type="dxa"/>
            <w:vAlign w:val="center"/>
          </w:tcPr>
          <w:p>
            <w:pPr>
              <w:pStyle w:val="13"/>
              <w:spacing w:before="4" w:line="280" w:lineRule="atLeast"/>
              <w:ind w:right="96"/>
              <w:jc w:val="center"/>
              <w:rPr>
                <w:sz w:val="20"/>
                <w:szCs w:val="21"/>
              </w:rPr>
            </w:pPr>
            <w:r>
              <w:rPr>
                <w:sz w:val="20"/>
                <w:szCs w:val="21"/>
              </w:rPr>
              <w:t xml:space="preserve">供 应 </w:t>
            </w:r>
            <w:r>
              <w:rPr>
                <w:rFonts w:hint="eastAsia"/>
                <w:sz w:val="20"/>
                <w:szCs w:val="21"/>
                <w:lang w:val="en-US" w:eastAsia="zh-CN"/>
              </w:rPr>
              <w:t>商</w:t>
            </w:r>
            <w:r>
              <w:rPr>
                <w:sz w:val="20"/>
                <w:szCs w:val="21"/>
              </w:rPr>
              <w:t>3</w:t>
            </w:r>
          </w:p>
        </w:tc>
        <w:tc>
          <w:tcPr>
            <w:tcW w:w="1087" w:type="dxa"/>
            <w:vAlign w:val="center"/>
          </w:tcPr>
          <w:p>
            <w:pPr>
              <w:pStyle w:val="13"/>
              <w:spacing w:before="154"/>
              <w:jc w:val="center"/>
              <w:rPr>
                <w:sz w:val="20"/>
                <w:szCs w:val="21"/>
              </w:rPr>
            </w:pPr>
            <w:r>
              <w:rPr>
                <w:sz w:val="20"/>
                <w:szCs w:val="21"/>
              </w:rPr>
              <w:t>供应商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31" w:type="dxa"/>
            <w:vAlign w:val="center"/>
          </w:tcPr>
          <w:p>
            <w:pPr>
              <w:pStyle w:val="13"/>
              <w:spacing w:before="11" w:line="305" w:lineRule="exact"/>
              <w:ind w:left="8"/>
              <w:jc w:val="center"/>
              <w:rPr>
                <w:sz w:val="22"/>
                <w:szCs w:val="21"/>
              </w:rPr>
            </w:pPr>
            <w:r>
              <w:rPr>
                <w:sz w:val="22"/>
                <w:szCs w:val="21"/>
              </w:rPr>
              <w:t>1</w:t>
            </w:r>
          </w:p>
        </w:tc>
        <w:tc>
          <w:tcPr>
            <w:tcW w:w="1436" w:type="dxa"/>
            <w:vMerge w:val="restart"/>
          </w:tcPr>
          <w:p>
            <w:pPr>
              <w:pStyle w:val="13"/>
              <w:rPr>
                <w:rFonts w:ascii="仿宋" w:hAnsi="仿宋" w:eastAsia="仿宋" w:cs="仿宋"/>
                <w:sz w:val="22"/>
                <w:szCs w:val="21"/>
                <w:lang w:val="en-US" w:eastAsia="en-US" w:bidi="ar-SA"/>
              </w:rPr>
            </w:pPr>
          </w:p>
          <w:p>
            <w:pPr>
              <w:pStyle w:val="13"/>
              <w:rPr>
                <w:rFonts w:ascii="仿宋" w:hAnsi="仿宋" w:eastAsia="仿宋" w:cs="仿宋"/>
                <w:sz w:val="22"/>
                <w:szCs w:val="21"/>
                <w:lang w:val="en-US" w:eastAsia="en-US" w:bidi="ar-SA"/>
              </w:rPr>
            </w:pPr>
          </w:p>
          <w:p>
            <w:pPr>
              <w:pStyle w:val="13"/>
              <w:rPr>
                <w:rFonts w:ascii="仿宋" w:hAnsi="仿宋" w:eastAsia="仿宋" w:cs="仿宋"/>
                <w:sz w:val="22"/>
                <w:szCs w:val="21"/>
                <w:lang w:val="en-US" w:eastAsia="en-US" w:bidi="ar-SA"/>
              </w:rPr>
            </w:pPr>
          </w:p>
          <w:p>
            <w:pPr>
              <w:pStyle w:val="13"/>
              <w:spacing w:before="6"/>
              <w:rPr>
                <w:rFonts w:ascii="仿宋" w:hAnsi="仿宋" w:eastAsia="仿宋" w:cs="仿宋"/>
                <w:sz w:val="22"/>
                <w:szCs w:val="21"/>
                <w:lang w:val="en-US" w:eastAsia="en-US" w:bidi="ar-SA"/>
              </w:rPr>
            </w:pPr>
          </w:p>
          <w:p>
            <w:pPr>
              <w:pStyle w:val="13"/>
              <w:spacing w:line="218" w:lineRule="auto"/>
              <w:ind w:right="-114" w:rightChars="0"/>
              <w:jc w:val="both"/>
              <w:rPr>
                <w:rFonts w:ascii="仿宋" w:hAnsi="仿宋" w:eastAsia="仿宋" w:cs="仿宋"/>
                <w:sz w:val="22"/>
                <w:szCs w:val="21"/>
                <w:lang w:val="en-US" w:eastAsia="en-US" w:bidi="ar-SA"/>
              </w:rPr>
            </w:pPr>
          </w:p>
          <w:p>
            <w:pPr>
              <w:pStyle w:val="13"/>
              <w:spacing w:line="218" w:lineRule="auto"/>
              <w:ind w:right="-114" w:rightChars="0"/>
              <w:jc w:val="both"/>
              <w:rPr>
                <w:rFonts w:ascii="仿宋" w:hAnsi="仿宋" w:eastAsia="仿宋" w:cs="仿宋"/>
                <w:sz w:val="22"/>
                <w:szCs w:val="21"/>
                <w:lang w:val="en-US" w:eastAsia="en-US" w:bidi="ar-SA"/>
              </w:rPr>
            </w:pPr>
          </w:p>
          <w:p>
            <w:pPr>
              <w:pStyle w:val="13"/>
              <w:spacing w:line="218" w:lineRule="auto"/>
              <w:ind w:right="-114" w:rightChars="0"/>
              <w:jc w:val="both"/>
              <w:rPr>
                <w:rFonts w:ascii="仿宋" w:hAnsi="仿宋" w:eastAsia="仿宋" w:cs="仿宋"/>
                <w:sz w:val="22"/>
                <w:szCs w:val="21"/>
                <w:lang w:val="en-US" w:eastAsia="en-US" w:bidi="ar-SA"/>
              </w:rPr>
            </w:pPr>
            <w:r>
              <w:rPr>
                <w:rFonts w:ascii="仿宋" w:hAnsi="仿宋" w:eastAsia="仿宋" w:cs="仿宋"/>
                <w:sz w:val="22"/>
                <w:szCs w:val="21"/>
                <w:lang w:val="en-US" w:eastAsia="en-US" w:bidi="ar-SA"/>
              </w:rPr>
              <w:t>经营资格审查</w:t>
            </w:r>
          </w:p>
        </w:tc>
        <w:tc>
          <w:tcPr>
            <w:tcW w:w="8161" w:type="dxa"/>
            <w:tcBorders>
              <w:bottom w:val="single" w:color="auto" w:sz="4" w:space="0"/>
            </w:tcBorders>
          </w:tcPr>
          <w:p>
            <w:pPr>
              <w:pStyle w:val="13"/>
              <w:spacing w:before="69" w:line="218" w:lineRule="auto"/>
              <w:ind w:right="97"/>
              <w:rPr>
                <w:rFonts w:ascii="仿宋" w:hAnsi="仿宋" w:eastAsia="仿宋" w:cs="仿宋"/>
                <w:i w:val="0"/>
                <w:iCs w:val="0"/>
                <w:sz w:val="22"/>
                <w:szCs w:val="21"/>
                <w:u w:val="none"/>
                <w:lang w:val="en-US" w:eastAsia="en-US" w:bidi="ar-SA"/>
              </w:rPr>
            </w:pPr>
            <w:r>
              <w:rPr>
                <w:rFonts w:ascii="仿宋" w:hAnsi="仿宋" w:eastAsia="仿宋" w:cs="仿宋"/>
                <w:i w:val="0"/>
                <w:iCs w:val="0"/>
                <w:sz w:val="22"/>
                <w:szCs w:val="21"/>
                <w:u w:val="none"/>
                <w:lang w:val="en-US" w:eastAsia="en-US" w:bidi="ar-SA"/>
              </w:rPr>
              <w:t>具有独立承担民事责任的能力：具有有效的营业执照副本；</w:t>
            </w:r>
          </w:p>
        </w:tc>
        <w:tc>
          <w:tcPr>
            <w:tcW w:w="1122" w:type="dxa"/>
            <w:vMerge w:val="restart"/>
          </w:tcPr>
          <w:p>
            <w:pPr>
              <w:pStyle w:val="13"/>
              <w:rPr>
                <w:rFonts w:ascii="Times New Roman"/>
                <w:sz w:val="21"/>
                <w:szCs w:val="21"/>
              </w:rPr>
            </w:pPr>
          </w:p>
        </w:tc>
        <w:tc>
          <w:tcPr>
            <w:tcW w:w="1087" w:type="dxa"/>
            <w:vMerge w:val="restart"/>
          </w:tcPr>
          <w:p>
            <w:pPr>
              <w:pStyle w:val="13"/>
              <w:rPr>
                <w:rFonts w:ascii="Times New Roman"/>
                <w:sz w:val="21"/>
                <w:szCs w:val="21"/>
              </w:rPr>
            </w:pPr>
          </w:p>
        </w:tc>
        <w:tc>
          <w:tcPr>
            <w:tcW w:w="1126" w:type="dxa"/>
            <w:vMerge w:val="restart"/>
          </w:tcPr>
          <w:p>
            <w:pPr>
              <w:pStyle w:val="13"/>
              <w:rPr>
                <w:rFonts w:ascii="Times New Roman"/>
                <w:sz w:val="21"/>
                <w:szCs w:val="21"/>
              </w:rPr>
            </w:pPr>
          </w:p>
        </w:tc>
        <w:tc>
          <w:tcPr>
            <w:tcW w:w="1087" w:type="dxa"/>
            <w:vMerge w:val="restart"/>
          </w:tcPr>
          <w:p>
            <w:pPr>
              <w:pStyle w:val="13"/>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31" w:type="dxa"/>
            <w:vAlign w:val="center"/>
          </w:tcPr>
          <w:p>
            <w:pPr>
              <w:pStyle w:val="13"/>
              <w:spacing w:before="15" w:line="304" w:lineRule="exact"/>
              <w:ind w:left="8"/>
              <w:jc w:val="center"/>
              <w:rPr>
                <w:sz w:val="22"/>
                <w:szCs w:val="21"/>
              </w:rPr>
            </w:pPr>
            <w:r>
              <w:rPr>
                <w:sz w:val="22"/>
                <w:szCs w:val="21"/>
              </w:rPr>
              <w:t>2</w:t>
            </w:r>
          </w:p>
        </w:tc>
        <w:tc>
          <w:tcPr>
            <w:tcW w:w="1436" w:type="dxa"/>
            <w:vMerge w:val="continue"/>
            <w:tcBorders>
              <w:top w:val="nil"/>
            </w:tcBorders>
          </w:tcPr>
          <w:p>
            <w:pPr>
              <w:rPr>
                <w:rFonts w:ascii="仿宋" w:hAnsi="仿宋" w:eastAsia="仿宋" w:cs="仿宋"/>
                <w:sz w:val="22"/>
                <w:szCs w:val="21"/>
                <w:lang w:val="en-US" w:eastAsia="en-US" w:bidi="ar-SA"/>
              </w:rPr>
            </w:pPr>
          </w:p>
        </w:tc>
        <w:tc>
          <w:tcPr>
            <w:tcW w:w="8161" w:type="dxa"/>
            <w:tcBorders>
              <w:top w:val="single" w:color="auto" w:sz="4" w:space="0"/>
              <w:bottom w:val="single" w:color="auto" w:sz="4" w:space="0"/>
            </w:tcBorders>
          </w:tcPr>
          <w:p>
            <w:pPr>
              <w:rPr>
                <w:rFonts w:ascii="仿宋" w:hAnsi="仿宋" w:eastAsia="仿宋" w:cs="仿宋"/>
                <w:i w:val="0"/>
                <w:iCs w:val="0"/>
                <w:sz w:val="22"/>
                <w:szCs w:val="21"/>
                <w:u w:val="none"/>
                <w:lang w:val="en-US" w:eastAsia="en-US" w:bidi="ar-SA"/>
              </w:rPr>
            </w:pPr>
            <w:r>
              <w:rPr>
                <w:rFonts w:ascii="仿宋" w:hAnsi="仿宋" w:eastAsia="仿宋" w:cs="仿宋"/>
                <w:i w:val="0"/>
                <w:iCs w:val="0"/>
                <w:sz w:val="22"/>
                <w:szCs w:val="21"/>
                <w:u w:val="none"/>
                <w:lang w:val="en-US" w:eastAsia="en-US" w:bidi="ar-SA"/>
              </w:rPr>
              <w:t>具有良好的商业信誉和健全的财务会计制度：</w:t>
            </w:r>
            <w:r>
              <w:rPr>
                <w:rFonts w:hint="eastAsia"/>
                <w:i w:val="0"/>
                <w:iCs w:val="0"/>
                <w:spacing w:val="-5"/>
                <w:u w:val="none"/>
              </w:rPr>
              <w:t>提供经审计的2021年审计报告，部分没有财务审计报告的投标供应商或新成立成立时间不足而未出具财务审计报告的，提供投标供应商近1个月基本开户银行出具的银行资信证明或近1个月财政部门认可的政府采购专业担保机构出具的有效的投标担保函；或提供2022年1月至今任意1个月财务报表。</w:t>
            </w:r>
          </w:p>
        </w:tc>
        <w:tc>
          <w:tcPr>
            <w:tcW w:w="1122" w:type="dxa"/>
            <w:vMerge w:val="continue"/>
            <w:tcBorders>
              <w:top w:val="nil"/>
            </w:tcBorders>
          </w:tcPr>
          <w:p>
            <w:pPr>
              <w:rPr>
                <w:sz w:val="2"/>
                <w:szCs w:val="2"/>
              </w:rPr>
            </w:pPr>
          </w:p>
        </w:tc>
        <w:tc>
          <w:tcPr>
            <w:tcW w:w="1087" w:type="dxa"/>
            <w:vMerge w:val="continue"/>
            <w:tcBorders>
              <w:top w:val="nil"/>
            </w:tcBorders>
          </w:tcPr>
          <w:p>
            <w:pPr>
              <w:rPr>
                <w:sz w:val="2"/>
                <w:szCs w:val="2"/>
              </w:rPr>
            </w:pPr>
          </w:p>
        </w:tc>
        <w:tc>
          <w:tcPr>
            <w:tcW w:w="1126" w:type="dxa"/>
            <w:vMerge w:val="continue"/>
            <w:tcBorders>
              <w:top w:val="nil"/>
            </w:tcBorders>
          </w:tcPr>
          <w:p>
            <w:pPr>
              <w:rPr>
                <w:sz w:val="2"/>
                <w:szCs w:val="2"/>
              </w:rPr>
            </w:pPr>
          </w:p>
        </w:tc>
        <w:tc>
          <w:tcPr>
            <w:tcW w:w="10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tcPr>
          <w:p>
            <w:pPr>
              <w:pStyle w:val="13"/>
              <w:spacing w:before="124"/>
              <w:ind w:left="8"/>
              <w:jc w:val="center"/>
              <w:rPr>
                <w:sz w:val="22"/>
                <w:szCs w:val="21"/>
              </w:rPr>
            </w:pPr>
            <w:r>
              <w:rPr>
                <w:sz w:val="22"/>
                <w:szCs w:val="21"/>
              </w:rPr>
              <w:t>3</w:t>
            </w:r>
          </w:p>
        </w:tc>
        <w:tc>
          <w:tcPr>
            <w:tcW w:w="1436" w:type="dxa"/>
            <w:vMerge w:val="continue"/>
            <w:tcBorders>
              <w:top w:val="nil"/>
            </w:tcBorders>
          </w:tcPr>
          <w:p>
            <w:pPr>
              <w:rPr>
                <w:sz w:val="2"/>
                <w:szCs w:val="2"/>
              </w:rPr>
            </w:pPr>
          </w:p>
        </w:tc>
        <w:tc>
          <w:tcPr>
            <w:tcW w:w="8161" w:type="dxa"/>
            <w:tcBorders>
              <w:top w:val="single" w:color="auto" w:sz="4" w:space="0"/>
            </w:tcBorders>
          </w:tcPr>
          <w:p>
            <w:pPr>
              <w:pStyle w:val="13"/>
              <w:spacing w:line="261" w:lineRule="exact"/>
              <w:rPr>
                <w:i w:val="0"/>
                <w:iCs w:val="0"/>
                <w:sz w:val="22"/>
                <w:szCs w:val="21"/>
                <w:u w:val="none"/>
              </w:rPr>
            </w:pPr>
            <w:r>
              <w:rPr>
                <w:i w:val="0"/>
                <w:iCs w:val="0"/>
                <w:sz w:val="22"/>
                <w:szCs w:val="21"/>
                <w:u w:val="none"/>
              </w:rPr>
              <w:t>具有履行合同所必需的设备和专业技术能力：提供具备履行合同所必需的设备和专业技术能力的证明材料（供应商自行承诺）；</w:t>
            </w:r>
          </w:p>
        </w:tc>
        <w:tc>
          <w:tcPr>
            <w:tcW w:w="1122" w:type="dxa"/>
          </w:tcPr>
          <w:p>
            <w:pPr>
              <w:pStyle w:val="13"/>
              <w:rPr>
                <w:rFonts w:ascii="Times New Roman"/>
                <w:sz w:val="21"/>
                <w:szCs w:val="21"/>
              </w:rPr>
            </w:pPr>
          </w:p>
        </w:tc>
        <w:tc>
          <w:tcPr>
            <w:tcW w:w="1087" w:type="dxa"/>
          </w:tcPr>
          <w:p>
            <w:pPr>
              <w:pStyle w:val="13"/>
              <w:rPr>
                <w:rFonts w:ascii="Times New Roman"/>
                <w:sz w:val="21"/>
                <w:szCs w:val="21"/>
              </w:rPr>
            </w:pPr>
          </w:p>
        </w:tc>
        <w:tc>
          <w:tcPr>
            <w:tcW w:w="1126" w:type="dxa"/>
          </w:tcPr>
          <w:p>
            <w:pPr>
              <w:pStyle w:val="13"/>
              <w:rPr>
                <w:rFonts w:ascii="Times New Roman"/>
                <w:sz w:val="21"/>
                <w:szCs w:val="21"/>
              </w:rPr>
            </w:pPr>
          </w:p>
        </w:tc>
        <w:tc>
          <w:tcPr>
            <w:tcW w:w="1087" w:type="dxa"/>
          </w:tcPr>
          <w:p>
            <w:pPr>
              <w:pStyle w:val="13"/>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31" w:type="dxa"/>
            <w:vAlign w:val="center"/>
          </w:tcPr>
          <w:p>
            <w:pPr>
              <w:pStyle w:val="13"/>
              <w:spacing w:before="125"/>
              <w:ind w:left="8"/>
              <w:jc w:val="center"/>
              <w:rPr>
                <w:sz w:val="22"/>
                <w:szCs w:val="21"/>
              </w:rPr>
            </w:pPr>
            <w:r>
              <w:rPr>
                <w:sz w:val="22"/>
                <w:szCs w:val="21"/>
              </w:rPr>
              <w:t>4</w:t>
            </w:r>
          </w:p>
        </w:tc>
        <w:tc>
          <w:tcPr>
            <w:tcW w:w="1436" w:type="dxa"/>
            <w:vMerge w:val="continue"/>
            <w:tcBorders>
              <w:top w:val="nil"/>
            </w:tcBorders>
          </w:tcPr>
          <w:p>
            <w:pPr>
              <w:rPr>
                <w:sz w:val="2"/>
                <w:szCs w:val="2"/>
              </w:rPr>
            </w:pPr>
          </w:p>
        </w:tc>
        <w:tc>
          <w:tcPr>
            <w:tcW w:w="8161" w:type="dxa"/>
          </w:tcPr>
          <w:p>
            <w:pPr>
              <w:pStyle w:val="13"/>
              <w:spacing w:before="3" w:line="278" w:lineRule="exact"/>
              <w:ind w:right="97"/>
              <w:rPr>
                <w:i w:val="0"/>
                <w:iCs w:val="0"/>
                <w:sz w:val="22"/>
                <w:szCs w:val="21"/>
                <w:u w:val="none"/>
              </w:rPr>
            </w:pPr>
            <w:r>
              <w:rPr>
                <w:i w:val="0"/>
                <w:iCs w:val="0"/>
                <w:sz w:val="22"/>
                <w:szCs w:val="21"/>
                <w:u w:val="none"/>
              </w:rPr>
              <w:t>有依法缴纳税收和社会保障资金的良好记录：</w:t>
            </w:r>
            <w:r>
              <w:rPr>
                <w:rFonts w:hint="eastAsia"/>
                <w:i w:val="0"/>
                <w:iCs w:val="0"/>
                <w:u w:val="none"/>
              </w:rPr>
              <w:t>提供2022年1月至今任意3个月依法缴纳增值税或企业所得税的完税凭证或银行回单和社会保障资金的相关证明材料。成立不足3个月的投标人提供近1个月的依法缴纳社会保障资金和税收的证明材料。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复印件或扫描件加盖投标供应商公章）；</w:t>
            </w:r>
          </w:p>
        </w:tc>
        <w:tc>
          <w:tcPr>
            <w:tcW w:w="1122" w:type="dxa"/>
          </w:tcPr>
          <w:p>
            <w:pPr>
              <w:pStyle w:val="13"/>
              <w:rPr>
                <w:rFonts w:ascii="Times New Roman"/>
                <w:sz w:val="21"/>
                <w:szCs w:val="21"/>
              </w:rPr>
            </w:pPr>
          </w:p>
        </w:tc>
        <w:tc>
          <w:tcPr>
            <w:tcW w:w="1087" w:type="dxa"/>
          </w:tcPr>
          <w:p>
            <w:pPr>
              <w:pStyle w:val="13"/>
              <w:rPr>
                <w:rFonts w:ascii="Times New Roman"/>
                <w:sz w:val="21"/>
                <w:szCs w:val="21"/>
              </w:rPr>
            </w:pPr>
          </w:p>
        </w:tc>
        <w:tc>
          <w:tcPr>
            <w:tcW w:w="1126" w:type="dxa"/>
          </w:tcPr>
          <w:p>
            <w:pPr>
              <w:pStyle w:val="13"/>
              <w:rPr>
                <w:rFonts w:ascii="Times New Roman"/>
                <w:sz w:val="21"/>
                <w:szCs w:val="21"/>
              </w:rPr>
            </w:pPr>
          </w:p>
        </w:tc>
        <w:tc>
          <w:tcPr>
            <w:tcW w:w="1087" w:type="dxa"/>
          </w:tcPr>
          <w:p>
            <w:pPr>
              <w:pStyle w:val="13"/>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31" w:type="dxa"/>
            <w:vAlign w:val="center"/>
          </w:tcPr>
          <w:p>
            <w:pPr>
              <w:pStyle w:val="13"/>
              <w:spacing w:before="124"/>
              <w:jc w:val="center"/>
              <w:rPr>
                <w:sz w:val="22"/>
                <w:szCs w:val="21"/>
              </w:rPr>
            </w:pPr>
            <w:r>
              <w:rPr>
                <w:sz w:val="22"/>
                <w:szCs w:val="21"/>
              </w:rPr>
              <w:t>5</w:t>
            </w:r>
          </w:p>
        </w:tc>
        <w:tc>
          <w:tcPr>
            <w:tcW w:w="1436" w:type="dxa"/>
            <w:vMerge w:val="continue"/>
            <w:tcBorders>
              <w:top w:val="nil"/>
            </w:tcBorders>
          </w:tcPr>
          <w:p>
            <w:pPr>
              <w:rPr>
                <w:sz w:val="2"/>
                <w:szCs w:val="2"/>
              </w:rPr>
            </w:pPr>
          </w:p>
        </w:tc>
        <w:tc>
          <w:tcPr>
            <w:tcW w:w="8161" w:type="dxa"/>
          </w:tcPr>
          <w:p>
            <w:pPr>
              <w:pStyle w:val="13"/>
              <w:spacing w:line="280" w:lineRule="exact"/>
              <w:ind w:right="95"/>
              <w:rPr>
                <w:i w:val="0"/>
                <w:iCs w:val="0"/>
                <w:sz w:val="22"/>
                <w:szCs w:val="21"/>
                <w:u w:val="none"/>
              </w:rPr>
            </w:pPr>
            <w:r>
              <w:rPr>
                <w:i w:val="0"/>
                <w:iCs w:val="0"/>
                <w:sz w:val="21"/>
                <w:szCs w:val="21"/>
                <w:u w:val="none"/>
              </w:rPr>
              <w:t>提供参加政府采购活动前三年内无重大违法记录的书面声明函</w:t>
            </w:r>
            <w:r>
              <w:rPr>
                <w:rFonts w:hint="eastAsia"/>
                <w:i w:val="0"/>
                <w:iCs w:val="0"/>
                <w:sz w:val="21"/>
                <w:szCs w:val="21"/>
                <w:u w:val="none"/>
                <w:lang w:eastAsia="zh-CN"/>
              </w:rPr>
              <w:t>（</w:t>
            </w:r>
            <w:r>
              <w:rPr>
                <w:rFonts w:hint="eastAsia"/>
                <w:i w:val="0"/>
                <w:iCs w:val="0"/>
                <w:sz w:val="21"/>
                <w:szCs w:val="21"/>
                <w:u w:val="none"/>
                <w:lang w:val="en-US" w:eastAsia="zh-CN"/>
              </w:rPr>
              <w:t>格式自拟</w:t>
            </w:r>
            <w:r>
              <w:rPr>
                <w:rFonts w:hint="eastAsia"/>
                <w:i w:val="0"/>
                <w:iCs w:val="0"/>
                <w:sz w:val="21"/>
                <w:szCs w:val="21"/>
                <w:u w:val="none"/>
                <w:lang w:eastAsia="zh-CN"/>
              </w:rPr>
              <w:t>）</w:t>
            </w:r>
            <w:r>
              <w:rPr>
                <w:i w:val="0"/>
                <w:iCs w:val="0"/>
                <w:sz w:val="21"/>
                <w:szCs w:val="21"/>
                <w:u w:val="none"/>
              </w:rPr>
              <w:t>。</w:t>
            </w:r>
          </w:p>
        </w:tc>
        <w:tc>
          <w:tcPr>
            <w:tcW w:w="1122" w:type="dxa"/>
          </w:tcPr>
          <w:p>
            <w:pPr>
              <w:pStyle w:val="13"/>
              <w:rPr>
                <w:rFonts w:ascii="Times New Roman"/>
                <w:sz w:val="21"/>
                <w:szCs w:val="21"/>
              </w:rPr>
            </w:pPr>
          </w:p>
        </w:tc>
        <w:tc>
          <w:tcPr>
            <w:tcW w:w="1087" w:type="dxa"/>
          </w:tcPr>
          <w:p>
            <w:pPr>
              <w:pStyle w:val="13"/>
              <w:rPr>
                <w:rFonts w:ascii="Times New Roman"/>
                <w:sz w:val="21"/>
                <w:szCs w:val="21"/>
              </w:rPr>
            </w:pPr>
          </w:p>
        </w:tc>
        <w:tc>
          <w:tcPr>
            <w:tcW w:w="1126" w:type="dxa"/>
          </w:tcPr>
          <w:p>
            <w:pPr>
              <w:pStyle w:val="13"/>
              <w:rPr>
                <w:rFonts w:ascii="Times New Roman"/>
                <w:sz w:val="21"/>
                <w:szCs w:val="21"/>
              </w:rPr>
            </w:pPr>
          </w:p>
        </w:tc>
        <w:tc>
          <w:tcPr>
            <w:tcW w:w="1087" w:type="dxa"/>
          </w:tcPr>
          <w:p>
            <w:pPr>
              <w:pStyle w:val="13"/>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531" w:type="dxa"/>
            <w:vAlign w:val="center"/>
          </w:tcPr>
          <w:p>
            <w:pPr>
              <w:pStyle w:val="13"/>
              <w:spacing w:line="284" w:lineRule="exact"/>
              <w:ind w:left="8"/>
              <w:jc w:val="center"/>
              <w:rPr>
                <w:sz w:val="22"/>
                <w:szCs w:val="21"/>
              </w:rPr>
            </w:pPr>
          </w:p>
          <w:p>
            <w:pPr>
              <w:pStyle w:val="13"/>
              <w:spacing w:line="284" w:lineRule="exact"/>
              <w:ind w:left="8"/>
              <w:jc w:val="center"/>
              <w:rPr>
                <w:sz w:val="22"/>
                <w:szCs w:val="21"/>
              </w:rPr>
            </w:pPr>
            <w:r>
              <w:rPr>
                <w:sz w:val="22"/>
                <w:szCs w:val="21"/>
              </w:rPr>
              <w:t>6</w:t>
            </w:r>
          </w:p>
          <w:p>
            <w:pPr>
              <w:pStyle w:val="13"/>
              <w:spacing w:before="125"/>
              <w:jc w:val="both"/>
              <w:rPr>
                <w:sz w:val="22"/>
                <w:szCs w:val="21"/>
              </w:rPr>
            </w:pPr>
          </w:p>
        </w:tc>
        <w:tc>
          <w:tcPr>
            <w:tcW w:w="1436" w:type="dxa"/>
            <w:vMerge w:val="continue"/>
            <w:tcBorders>
              <w:top w:val="nil"/>
            </w:tcBorders>
          </w:tcPr>
          <w:p>
            <w:pPr>
              <w:rPr>
                <w:sz w:val="2"/>
                <w:szCs w:val="2"/>
              </w:rPr>
            </w:pPr>
          </w:p>
        </w:tc>
        <w:tc>
          <w:tcPr>
            <w:tcW w:w="8161" w:type="dxa"/>
          </w:tcPr>
          <w:p>
            <w:pPr>
              <w:pStyle w:val="13"/>
              <w:spacing w:line="284" w:lineRule="exact"/>
              <w:ind w:left="107"/>
              <w:rPr>
                <w:i w:val="0"/>
                <w:iCs w:val="0"/>
                <w:sz w:val="22"/>
                <w:szCs w:val="21"/>
                <w:u w:val="none"/>
              </w:rPr>
            </w:pPr>
            <w:r>
              <w:rPr>
                <w:rFonts w:hint="eastAsia"/>
                <w:i w:val="0"/>
                <w:iCs w:val="0"/>
                <w:sz w:val="22"/>
                <w:szCs w:val="21"/>
                <w:u w:val="none"/>
                <w:lang w:val="en-US" w:eastAsia="zh-CN"/>
              </w:rPr>
              <w:t>投标人</w:t>
            </w:r>
            <w:r>
              <w:rPr>
                <w:i w:val="0"/>
                <w:iCs w:val="0"/>
                <w:sz w:val="22"/>
                <w:szCs w:val="21"/>
                <w:u w:val="none"/>
              </w:rPr>
              <w:t>未在"信用中国"网站及"中国政府采购网"上被列入失信被执行人、重大税收违法案件当事人名单、政府采购严重违法失信行为记录名单。如有失信或违法行为，不允许参与本次政府采购活动。</w:t>
            </w:r>
          </w:p>
        </w:tc>
        <w:tc>
          <w:tcPr>
            <w:tcW w:w="1122" w:type="dxa"/>
          </w:tcPr>
          <w:p>
            <w:pPr>
              <w:pStyle w:val="13"/>
              <w:rPr>
                <w:rFonts w:ascii="Times New Roman"/>
                <w:sz w:val="21"/>
                <w:szCs w:val="21"/>
              </w:rPr>
            </w:pPr>
          </w:p>
        </w:tc>
        <w:tc>
          <w:tcPr>
            <w:tcW w:w="1087" w:type="dxa"/>
          </w:tcPr>
          <w:p>
            <w:pPr>
              <w:pStyle w:val="13"/>
              <w:rPr>
                <w:rFonts w:ascii="Times New Roman"/>
                <w:sz w:val="21"/>
                <w:szCs w:val="21"/>
              </w:rPr>
            </w:pPr>
          </w:p>
        </w:tc>
        <w:tc>
          <w:tcPr>
            <w:tcW w:w="1126" w:type="dxa"/>
          </w:tcPr>
          <w:p>
            <w:pPr>
              <w:pStyle w:val="13"/>
              <w:rPr>
                <w:rFonts w:ascii="Times New Roman"/>
                <w:sz w:val="21"/>
                <w:szCs w:val="21"/>
              </w:rPr>
            </w:pPr>
          </w:p>
        </w:tc>
        <w:tc>
          <w:tcPr>
            <w:tcW w:w="1087" w:type="dxa"/>
          </w:tcPr>
          <w:p>
            <w:pPr>
              <w:pStyle w:val="13"/>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531" w:type="dxa"/>
          </w:tcPr>
          <w:p>
            <w:pPr>
              <w:pStyle w:val="13"/>
              <w:rPr>
                <w:b/>
                <w:sz w:val="22"/>
                <w:szCs w:val="21"/>
              </w:rPr>
            </w:pPr>
          </w:p>
          <w:p>
            <w:pPr>
              <w:pStyle w:val="13"/>
              <w:spacing w:before="6"/>
              <w:rPr>
                <w:b/>
                <w:sz w:val="16"/>
                <w:szCs w:val="21"/>
              </w:rPr>
            </w:pPr>
          </w:p>
          <w:p>
            <w:pPr>
              <w:pStyle w:val="13"/>
              <w:jc w:val="center"/>
              <w:rPr>
                <w:rFonts w:hint="eastAsia" w:eastAsia="仿宋"/>
                <w:sz w:val="22"/>
                <w:szCs w:val="21"/>
                <w:lang w:val="en-US" w:eastAsia="zh-CN"/>
              </w:rPr>
            </w:pPr>
            <w:r>
              <w:rPr>
                <w:rFonts w:hint="eastAsia"/>
                <w:sz w:val="22"/>
                <w:szCs w:val="21"/>
                <w:lang w:val="en-US" w:eastAsia="zh-CN"/>
              </w:rPr>
              <w:t>7</w:t>
            </w:r>
          </w:p>
        </w:tc>
        <w:tc>
          <w:tcPr>
            <w:tcW w:w="1436" w:type="dxa"/>
          </w:tcPr>
          <w:p>
            <w:pPr>
              <w:pStyle w:val="13"/>
              <w:spacing w:before="3"/>
              <w:rPr>
                <w:b/>
                <w:sz w:val="32"/>
                <w:szCs w:val="21"/>
              </w:rPr>
            </w:pPr>
          </w:p>
          <w:p>
            <w:pPr>
              <w:pStyle w:val="13"/>
              <w:spacing w:before="1" w:line="218" w:lineRule="auto"/>
              <w:ind w:right="-114" w:rightChars="0"/>
              <w:jc w:val="both"/>
              <w:rPr>
                <w:sz w:val="22"/>
                <w:szCs w:val="21"/>
              </w:rPr>
            </w:pPr>
            <w:r>
              <w:rPr>
                <w:sz w:val="22"/>
                <w:szCs w:val="21"/>
              </w:rPr>
              <w:t>特殊资格要求</w:t>
            </w:r>
          </w:p>
        </w:tc>
        <w:tc>
          <w:tcPr>
            <w:tcW w:w="8161" w:type="dxa"/>
          </w:tcPr>
          <w:p>
            <w:pPr>
              <w:pStyle w:val="13"/>
              <w:spacing w:line="254" w:lineRule="exact"/>
              <w:ind w:left="107"/>
              <w:jc w:val="both"/>
              <w:rPr>
                <w:sz w:val="22"/>
                <w:szCs w:val="21"/>
              </w:rPr>
            </w:pPr>
            <w:r>
              <w:t>本次招标要求投标</w:t>
            </w:r>
            <w:r>
              <w:rPr>
                <w:highlight w:val="none"/>
              </w:rPr>
              <w:t>人须具备</w:t>
            </w:r>
            <w:r>
              <w:rPr>
                <w:rFonts w:hint="eastAsia"/>
                <w:b/>
                <w:bCs/>
                <w:highlight w:val="none"/>
                <w:u w:val="single"/>
                <w:lang w:eastAsia="zh-CN"/>
              </w:rPr>
              <w:t>建设行政主管部门核发的</w:t>
            </w:r>
            <w:r>
              <w:rPr>
                <w:rFonts w:hint="eastAsia"/>
                <w:b/>
                <w:bCs/>
                <w:highlight w:val="none"/>
                <w:u w:val="single"/>
                <w:lang w:val="en-US" w:eastAsia="zh-CN"/>
              </w:rPr>
              <w:t>水利水电施工总承包叁级或市政公用工程施工总承包叁级及以上资质</w:t>
            </w:r>
            <w:r>
              <w:rPr>
                <w:rFonts w:hint="eastAsia"/>
                <w:b/>
                <w:bCs/>
                <w:highlight w:val="none"/>
                <w:u w:val="single"/>
                <w:lang w:eastAsia="zh-CN"/>
              </w:rPr>
              <w:t>，</w:t>
            </w:r>
            <w:r>
              <w:rPr>
                <w:spacing w:val="-3"/>
                <w:highlight w:val="none"/>
              </w:rPr>
              <w:t>并在人员、设备、资金等方面具有相应的施工能力。</w:t>
            </w:r>
            <w:r>
              <w:rPr>
                <w:spacing w:val="-4"/>
                <w:highlight w:val="none"/>
              </w:rPr>
              <w:t>其中、项目经理系已在申请人注册并具备</w:t>
            </w:r>
            <w:r>
              <w:rPr>
                <w:rFonts w:hint="eastAsia"/>
                <w:b/>
                <w:bCs/>
                <w:spacing w:val="-1"/>
                <w:sz w:val="22"/>
                <w:szCs w:val="22"/>
                <w:highlight w:val="none"/>
                <w:u w:val="single"/>
                <w:lang w:val="en-US" w:eastAsia="zh-CN"/>
              </w:rPr>
              <w:t xml:space="preserve"> 水利水电或市政公用工程 </w:t>
            </w:r>
            <w:r>
              <w:rPr>
                <w:highlight w:val="none"/>
              </w:rPr>
              <w:t>专</w:t>
            </w:r>
            <w:r>
              <w:t>业</w:t>
            </w:r>
            <w:r>
              <w:rPr>
                <w:b/>
                <w:bCs/>
                <w:spacing w:val="-4"/>
                <w:u w:val="single"/>
              </w:rPr>
              <w:t>贰级</w:t>
            </w:r>
            <w:r>
              <w:t>（含以上级</w:t>
            </w:r>
            <w:r>
              <w:rPr>
                <w:spacing w:val="-10"/>
              </w:rPr>
              <w:t>）</w:t>
            </w:r>
            <w:r>
              <w:t>注册建造师执业资格，具备有效的安全生产考核合格证书（B</w:t>
            </w:r>
            <w:r>
              <w:rPr>
                <w:spacing w:val="-30"/>
              </w:rPr>
              <w:t xml:space="preserve"> 类</w:t>
            </w:r>
            <w:r>
              <w:rPr>
                <w:spacing w:val="-118"/>
              </w:rPr>
              <w:t>）</w:t>
            </w:r>
            <w:r>
              <w:t>，且未担任其他在建建设工程项目的项目经理</w:t>
            </w:r>
            <w:r>
              <w:rPr>
                <w:sz w:val="22"/>
                <w:szCs w:val="21"/>
              </w:rPr>
              <w:t>;</w:t>
            </w:r>
          </w:p>
        </w:tc>
        <w:tc>
          <w:tcPr>
            <w:tcW w:w="1122" w:type="dxa"/>
          </w:tcPr>
          <w:p>
            <w:pPr>
              <w:pStyle w:val="13"/>
              <w:rPr>
                <w:rFonts w:ascii="Times New Roman"/>
                <w:sz w:val="21"/>
                <w:szCs w:val="21"/>
              </w:rPr>
            </w:pPr>
          </w:p>
        </w:tc>
        <w:tc>
          <w:tcPr>
            <w:tcW w:w="1087" w:type="dxa"/>
          </w:tcPr>
          <w:p>
            <w:pPr>
              <w:pStyle w:val="13"/>
              <w:rPr>
                <w:rFonts w:ascii="Times New Roman"/>
                <w:sz w:val="21"/>
                <w:szCs w:val="21"/>
              </w:rPr>
            </w:pPr>
          </w:p>
        </w:tc>
        <w:tc>
          <w:tcPr>
            <w:tcW w:w="1126" w:type="dxa"/>
          </w:tcPr>
          <w:p>
            <w:pPr>
              <w:pStyle w:val="13"/>
              <w:rPr>
                <w:rFonts w:ascii="Times New Roman"/>
                <w:sz w:val="21"/>
                <w:szCs w:val="21"/>
              </w:rPr>
            </w:pPr>
          </w:p>
        </w:tc>
        <w:tc>
          <w:tcPr>
            <w:tcW w:w="1087" w:type="dxa"/>
          </w:tcPr>
          <w:p>
            <w:pPr>
              <w:pStyle w:val="13"/>
              <w:rPr>
                <w:rFonts w:ascii="Times New Roman"/>
                <w:sz w:val="21"/>
                <w:szCs w:val="21"/>
              </w:rPr>
            </w:pPr>
          </w:p>
        </w:tc>
      </w:tr>
    </w:tbl>
    <w:p>
      <w:pPr>
        <w:spacing w:before="15" w:line="547" w:lineRule="auto"/>
        <w:ind w:left="220" w:right="12652" w:firstLine="0"/>
        <w:jc w:val="left"/>
        <w:rPr>
          <w:b/>
          <w:sz w:val="22"/>
          <w:szCs w:val="21"/>
        </w:rPr>
      </w:pPr>
    </w:p>
    <w:p>
      <w:pPr>
        <w:numPr>
          <w:ilvl w:val="0"/>
          <w:numId w:val="3"/>
        </w:numPr>
        <w:spacing w:before="15" w:line="547" w:lineRule="auto"/>
        <w:ind w:left="220" w:right="12652" w:firstLine="0"/>
        <w:jc w:val="left"/>
        <w:rPr>
          <w:b/>
          <w:sz w:val="22"/>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page">
                  <wp:posOffset>791845</wp:posOffset>
                </wp:positionH>
                <wp:positionV relativeFrom="paragraph">
                  <wp:posOffset>182880</wp:posOffset>
                </wp:positionV>
                <wp:extent cx="9112250" cy="26162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9112250" cy="261620"/>
                        </a:xfrm>
                        <a:prstGeom prst="rect">
                          <a:avLst/>
                        </a:prstGeom>
                        <a:noFill/>
                        <a:ln>
                          <a:noFill/>
                        </a:ln>
                      </wps:spPr>
                      <wps:txbx>
                        <w:txbxContent>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433"/>
                              <w:gridCol w:w="8171"/>
                              <w:gridCol w:w="1092"/>
                              <w:gridCol w:w="1089"/>
                              <w:gridCol w:w="95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531" w:type="dxa"/>
                                </w:tcPr>
                                <w:p>
                                  <w:pPr>
                                    <w:pStyle w:val="13"/>
                                    <w:spacing w:before="15" w:line="304" w:lineRule="exact"/>
                                    <w:ind w:left="8"/>
                                    <w:jc w:val="center"/>
                                    <w:rPr>
                                      <w:sz w:val="24"/>
                                    </w:rPr>
                                  </w:pPr>
                                  <w:r>
                                    <w:rPr>
                                      <w:sz w:val="24"/>
                                    </w:rPr>
                                    <w:t>1</w:t>
                                  </w:r>
                                </w:p>
                              </w:tc>
                              <w:tc>
                                <w:tcPr>
                                  <w:tcW w:w="1433" w:type="dxa"/>
                                </w:tcPr>
                                <w:p>
                                  <w:pPr>
                                    <w:pStyle w:val="13"/>
                                    <w:spacing w:before="15" w:line="304" w:lineRule="exact"/>
                                    <w:ind w:left="107"/>
                                    <w:rPr>
                                      <w:sz w:val="24"/>
                                    </w:rPr>
                                  </w:pPr>
                                  <w:r>
                                    <w:rPr>
                                      <w:sz w:val="24"/>
                                    </w:rPr>
                                    <w:t>商务符合性</w:t>
                                  </w:r>
                                </w:p>
                              </w:tc>
                              <w:tc>
                                <w:tcPr>
                                  <w:tcW w:w="8171" w:type="dxa"/>
                                </w:tcPr>
                                <w:p>
                                  <w:pPr>
                                    <w:pStyle w:val="13"/>
                                    <w:spacing w:before="15" w:line="304" w:lineRule="exact"/>
                                    <w:ind w:left="107"/>
                                    <w:rPr>
                                      <w:sz w:val="24"/>
                                    </w:rPr>
                                  </w:pPr>
                                  <w:r>
                                    <w:rPr>
                                      <w:sz w:val="24"/>
                                    </w:rPr>
                                    <w:t>商务条款是否满足</w:t>
                                  </w:r>
                                </w:p>
                              </w:tc>
                              <w:tc>
                                <w:tcPr>
                                  <w:tcW w:w="1092" w:type="dxa"/>
                                </w:tcPr>
                                <w:p>
                                  <w:pPr>
                                    <w:pStyle w:val="13"/>
                                    <w:rPr>
                                      <w:rFonts w:ascii="Times New Roman"/>
                                      <w:sz w:val="22"/>
                                    </w:rPr>
                                  </w:pPr>
                                </w:p>
                              </w:tc>
                              <w:tc>
                                <w:tcPr>
                                  <w:tcW w:w="1089" w:type="dxa"/>
                                </w:tcPr>
                                <w:p>
                                  <w:pPr>
                                    <w:pStyle w:val="13"/>
                                    <w:rPr>
                                      <w:rFonts w:ascii="Times New Roman"/>
                                      <w:sz w:val="22"/>
                                    </w:rPr>
                                  </w:pPr>
                                </w:p>
                              </w:tc>
                              <w:tc>
                                <w:tcPr>
                                  <w:tcW w:w="955" w:type="dxa"/>
                                </w:tcPr>
                                <w:p>
                                  <w:pPr>
                                    <w:pStyle w:val="13"/>
                                    <w:rPr>
                                      <w:rFonts w:ascii="Times New Roman"/>
                                      <w:sz w:val="22"/>
                                    </w:rPr>
                                  </w:pPr>
                                </w:p>
                              </w:tc>
                              <w:tc>
                                <w:tcPr>
                                  <w:tcW w:w="1064" w:type="dxa"/>
                                </w:tcPr>
                                <w:p>
                                  <w:pPr>
                                    <w:pStyle w:val="13"/>
                                    <w:rPr>
                                      <w:rFonts w:ascii="Times New Roman"/>
                                      <w:sz w:val="22"/>
                                    </w:rPr>
                                  </w:pPr>
                                </w:p>
                              </w:tc>
                            </w:tr>
                          </w:tbl>
                          <w:p>
                            <w:pPr>
                              <w:pStyle w:val="7"/>
                            </w:pPr>
                          </w:p>
                        </w:txbxContent>
                      </wps:txbx>
                      <wps:bodyPr lIns="0" tIns="0" rIns="0" bIns="0" upright="1"/>
                    </wps:wsp>
                  </a:graphicData>
                </a:graphic>
              </wp:anchor>
            </w:drawing>
          </mc:Choice>
          <mc:Fallback>
            <w:pict>
              <v:shape id="文本框 20" o:spid="_x0000_s1026" o:spt="202" type="#_x0000_t202" style="position:absolute;left:0pt;margin-left:62.35pt;margin-top:14.4pt;height:20.6pt;width:717.5pt;mso-position-horizontal-relative:page;z-index:251660288;mso-width-relative:page;mso-height-relative:page;" filled="f" stroked="f" coordsize="21600,21600" o:gfxdata="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1ZGg9gAAAAKAQAADwAAAAAAAAABACAAAAAiAAAAZHJzL2Rvd25yZXYueG1sUEsBAhQA&#10;FAAAAAgAh07iQAAvLFO5AQAAcwMAAA4AAAAAAAAAAQAgAAAAJwEAAGRycy9lMm9Eb2MueG1sUEsF&#10;BgAAAAAGAAYAWQEAAFIFAAAAAA==&#10;">
                <v:fill on="f" focussize="0,0"/>
                <v:stroke on="f"/>
                <v:imagedata o:title=""/>
                <o:lock v:ext="edit" aspectratio="f"/>
                <v:textbox inset="0mm,0mm,0mm,0mm">
                  <w:txbxContent>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433"/>
                        <w:gridCol w:w="8171"/>
                        <w:gridCol w:w="1092"/>
                        <w:gridCol w:w="1089"/>
                        <w:gridCol w:w="95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1" w:type="dxa"/>
                          </w:tcPr>
                          <w:p>
                            <w:pPr>
                              <w:pStyle w:val="13"/>
                              <w:spacing w:before="15" w:line="304" w:lineRule="exact"/>
                              <w:ind w:left="8"/>
                              <w:jc w:val="center"/>
                              <w:rPr>
                                <w:sz w:val="24"/>
                              </w:rPr>
                            </w:pPr>
                            <w:r>
                              <w:rPr>
                                <w:sz w:val="24"/>
                              </w:rPr>
                              <w:t>1</w:t>
                            </w:r>
                          </w:p>
                        </w:tc>
                        <w:tc>
                          <w:tcPr>
                            <w:tcW w:w="1433" w:type="dxa"/>
                          </w:tcPr>
                          <w:p>
                            <w:pPr>
                              <w:pStyle w:val="13"/>
                              <w:spacing w:before="15" w:line="304" w:lineRule="exact"/>
                              <w:ind w:left="107"/>
                              <w:rPr>
                                <w:sz w:val="24"/>
                              </w:rPr>
                            </w:pPr>
                            <w:r>
                              <w:rPr>
                                <w:sz w:val="24"/>
                              </w:rPr>
                              <w:t>商务符合性</w:t>
                            </w:r>
                          </w:p>
                        </w:tc>
                        <w:tc>
                          <w:tcPr>
                            <w:tcW w:w="8171" w:type="dxa"/>
                          </w:tcPr>
                          <w:p>
                            <w:pPr>
                              <w:pStyle w:val="13"/>
                              <w:spacing w:before="15" w:line="304" w:lineRule="exact"/>
                              <w:ind w:left="107"/>
                              <w:rPr>
                                <w:sz w:val="24"/>
                              </w:rPr>
                            </w:pPr>
                            <w:r>
                              <w:rPr>
                                <w:sz w:val="24"/>
                              </w:rPr>
                              <w:t>商务条款是否满足</w:t>
                            </w:r>
                          </w:p>
                        </w:tc>
                        <w:tc>
                          <w:tcPr>
                            <w:tcW w:w="1092" w:type="dxa"/>
                          </w:tcPr>
                          <w:p>
                            <w:pPr>
                              <w:pStyle w:val="13"/>
                              <w:rPr>
                                <w:rFonts w:ascii="Times New Roman"/>
                                <w:sz w:val="22"/>
                              </w:rPr>
                            </w:pPr>
                          </w:p>
                        </w:tc>
                        <w:tc>
                          <w:tcPr>
                            <w:tcW w:w="1089" w:type="dxa"/>
                          </w:tcPr>
                          <w:p>
                            <w:pPr>
                              <w:pStyle w:val="13"/>
                              <w:rPr>
                                <w:rFonts w:ascii="Times New Roman"/>
                                <w:sz w:val="22"/>
                              </w:rPr>
                            </w:pPr>
                          </w:p>
                        </w:tc>
                        <w:tc>
                          <w:tcPr>
                            <w:tcW w:w="955" w:type="dxa"/>
                          </w:tcPr>
                          <w:p>
                            <w:pPr>
                              <w:pStyle w:val="13"/>
                              <w:rPr>
                                <w:rFonts w:ascii="Times New Roman"/>
                                <w:sz w:val="22"/>
                              </w:rPr>
                            </w:pPr>
                          </w:p>
                        </w:tc>
                        <w:tc>
                          <w:tcPr>
                            <w:tcW w:w="1064" w:type="dxa"/>
                          </w:tcPr>
                          <w:p>
                            <w:pPr>
                              <w:pStyle w:val="13"/>
                              <w:rPr>
                                <w:rFonts w:ascii="Times New Roman"/>
                                <w:sz w:val="22"/>
                              </w:rPr>
                            </w:pPr>
                          </w:p>
                        </w:tc>
                      </w:tr>
                    </w:tbl>
                    <w:p>
                      <w:pPr>
                        <w:pStyle w:val="7"/>
                      </w:pPr>
                    </w:p>
                  </w:txbxContent>
                </v:textbox>
              </v:shape>
            </w:pict>
          </mc:Fallback>
        </mc:AlternateContent>
      </w:r>
      <w:r>
        <w:rPr>
          <w:sz w:val="21"/>
          <w:szCs w:val="21"/>
        </w:rPr>
        <mc:AlternateContent>
          <mc:Choice Requires="wps">
            <w:drawing>
              <wp:anchor distT="0" distB="0" distL="114300" distR="114300" simplePos="0" relativeHeight="251660288" behindDoc="0" locked="0" layoutInCell="1" allowOverlap="1">
                <wp:simplePos x="0" y="0"/>
                <wp:positionH relativeFrom="page">
                  <wp:posOffset>791845</wp:posOffset>
                </wp:positionH>
                <wp:positionV relativeFrom="paragraph">
                  <wp:posOffset>660400</wp:posOffset>
                </wp:positionV>
                <wp:extent cx="9112250" cy="45085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9112250" cy="450850"/>
                        </a:xfrm>
                        <a:prstGeom prst="rect">
                          <a:avLst/>
                        </a:prstGeom>
                        <a:noFill/>
                        <a:ln>
                          <a:noFill/>
                        </a:ln>
                      </wps:spPr>
                      <wps:txbx>
                        <w:txbxContent>
                          <w:p>
                            <w:pPr>
                              <w:pStyle w:val="7"/>
                            </w:pPr>
                          </w:p>
                        </w:txbxContent>
                      </wps:txbx>
                      <wps:bodyPr lIns="0" tIns="0" rIns="0" bIns="0" upright="1"/>
                    </wps:wsp>
                  </a:graphicData>
                </a:graphic>
              </wp:anchor>
            </w:drawing>
          </mc:Choice>
          <mc:Fallback>
            <w:pict>
              <v:shape id="文本框 21" o:spid="_x0000_s1026" o:spt="202" type="#_x0000_t202" style="position:absolute;left:0pt;margin-left:62.35pt;margin-top:52pt;height:35.5pt;width:717.5pt;mso-position-horizontal-relative:page;z-index:251660288;mso-width-relative:page;mso-height-relative:page;" filled="f" stroked="f" coordsize="21600,21600" o:gfxdata="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eAPbYAAAADAEAAA8AAAAAAAAAAQAgAAAAIgAAAGRycy9kb3ducmV2LnhtbFBLAQIU&#10;ABQAAAAIAIdO4kDW/1hAugEAAHMDAAAOAAAAAAAAAAEAIAAAACcBAABkcnMvZTJvRG9jLnhtbFBL&#10;BQYAAAAABgAGAFkBAABTBQAAAAA=&#10;">
                <v:fill on="f" focussize="0,0"/>
                <v:stroke on="f"/>
                <v:imagedata o:title=""/>
                <o:lock v:ext="edit" aspectratio="f"/>
                <v:textbox inset="0mm,0mm,0mm,0mm">
                  <w:txbxContent>
                    <w:p>
                      <w:pPr>
                        <w:pStyle w:val="7"/>
                      </w:pPr>
                    </w:p>
                  </w:txbxContent>
                </v:textbox>
              </v:shape>
            </w:pict>
          </mc:Fallback>
        </mc:AlternateContent>
      </w:r>
      <w:r>
        <w:rPr>
          <w:b/>
          <w:sz w:val="22"/>
          <w:szCs w:val="21"/>
        </w:rPr>
        <w:t>符合性审查</w:t>
      </w:r>
    </w:p>
    <w:tbl>
      <w:tblPr>
        <w:tblStyle w:val="10"/>
        <w:tblpPr w:leftFromText="180" w:rightFromText="180" w:vertAnchor="text" w:horzAnchor="page" w:tblpX="1239" w:tblpY="33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441"/>
        <w:gridCol w:w="8163"/>
        <w:gridCol w:w="1092"/>
        <w:gridCol w:w="1089"/>
        <w:gridCol w:w="95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1" w:type="dxa"/>
          </w:tcPr>
          <w:p>
            <w:pPr>
              <w:pStyle w:val="13"/>
              <w:spacing w:before="14" w:line="306" w:lineRule="exact"/>
              <w:ind w:left="8"/>
              <w:jc w:val="center"/>
              <w:rPr>
                <w:sz w:val="24"/>
              </w:rPr>
            </w:pPr>
            <w:r>
              <w:rPr>
                <w:sz w:val="24"/>
              </w:rPr>
              <w:t>1</w:t>
            </w:r>
          </w:p>
        </w:tc>
        <w:tc>
          <w:tcPr>
            <w:tcW w:w="1441" w:type="dxa"/>
          </w:tcPr>
          <w:p>
            <w:pPr>
              <w:pStyle w:val="13"/>
              <w:spacing w:before="14" w:line="306" w:lineRule="exact"/>
              <w:ind w:left="107"/>
              <w:rPr>
                <w:sz w:val="24"/>
              </w:rPr>
            </w:pPr>
            <w:r>
              <w:rPr>
                <w:sz w:val="24"/>
              </w:rPr>
              <w:t>无效标审查</w:t>
            </w:r>
          </w:p>
        </w:tc>
        <w:tc>
          <w:tcPr>
            <w:tcW w:w="8163" w:type="dxa"/>
          </w:tcPr>
          <w:p>
            <w:pPr>
              <w:pStyle w:val="13"/>
              <w:spacing w:before="14" w:line="306" w:lineRule="exact"/>
              <w:ind w:left="107"/>
              <w:rPr>
                <w:sz w:val="24"/>
              </w:rPr>
            </w:pPr>
            <w:r>
              <w:rPr>
                <w:sz w:val="24"/>
              </w:rPr>
              <w:t>按本项目招标文件无效标条款规定，审查是否通过</w:t>
            </w:r>
          </w:p>
        </w:tc>
        <w:tc>
          <w:tcPr>
            <w:tcW w:w="1092" w:type="dxa"/>
          </w:tcPr>
          <w:p>
            <w:pPr>
              <w:pStyle w:val="13"/>
              <w:rPr>
                <w:rFonts w:ascii="Times New Roman"/>
                <w:sz w:val="22"/>
              </w:rPr>
            </w:pPr>
          </w:p>
        </w:tc>
        <w:tc>
          <w:tcPr>
            <w:tcW w:w="1089" w:type="dxa"/>
          </w:tcPr>
          <w:p>
            <w:pPr>
              <w:pStyle w:val="13"/>
              <w:rPr>
                <w:rFonts w:ascii="Times New Roman"/>
                <w:sz w:val="22"/>
              </w:rPr>
            </w:pPr>
          </w:p>
        </w:tc>
        <w:tc>
          <w:tcPr>
            <w:tcW w:w="955" w:type="dxa"/>
          </w:tcPr>
          <w:p>
            <w:pPr>
              <w:pStyle w:val="13"/>
              <w:rPr>
                <w:rFonts w:ascii="Times New Roman"/>
                <w:sz w:val="22"/>
              </w:rPr>
            </w:pPr>
          </w:p>
        </w:tc>
        <w:tc>
          <w:tcPr>
            <w:tcW w:w="106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135" w:type="dxa"/>
            <w:gridSpan w:val="3"/>
          </w:tcPr>
          <w:p>
            <w:pPr>
              <w:pStyle w:val="13"/>
              <w:spacing w:before="14" w:line="306" w:lineRule="exact"/>
              <w:ind w:left="3386"/>
              <w:rPr>
                <w:b/>
                <w:sz w:val="24"/>
              </w:rPr>
            </w:pPr>
            <w:r>
              <w:rPr>
                <w:b/>
                <w:sz w:val="24"/>
              </w:rPr>
              <w:t>初步审查结论（通过或不通过）</w:t>
            </w:r>
          </w:p>
        </w:tc>
        <w:tc>
          <w:tcPr>
            <w:tcW w:w="1092" w:type="dxa"/>
          </w:tcPr>
          <w:p>
            <w:pPr>
              <w:pStyle w:val="13"/>
              <w:rPr>
                <w:rFonts w:ascii="Times New Roman"/>
                <w:sz w:val="22"/>
              </w:rPr>
            </w:pPr>
          </w:p>
        </w:tc>
        <w:tc>
          <w:tcPr>
            <w:tcW w:w="1089" w:type="dxa"/>
          </w:tcPr>
          <w:p>
            <w:pPr>
              <w:pStyle w:val="13"/>
              <w:rPr>
                <w:rFonts w:ascii="Times New Roman"/>
                <w:sz w:val="22"/>
              </w:rPr>
            </w:pPr>
          </w:p>
        </w:tc>
        <w:tc>
          <w:tcPr>
            <w:tcW w:w="955" w:type="dxa"/>
          </w:tcPr>
          <w:p>
            <w:pPr>
              <w:pStyle w:val="13"/>
              <w:rPr>
                <w:rFonts w:ascii="Times New Roman"/>
                <w:sz w:val="22"/>
              </w:rPr>
            </w:pPr>
          </w:p>
        </w:tc>
        <w:tc>
          <w:tcPr>
            <w:tcW w:w="1064" w:type="dxa"/>
          </w:tcPr>
          <w:p>
            <w:pPr>
              <w:pStyle w:val="13"/>
              <w:rPr>
                <w:rFonts w:ascii="Times New Roman"/>
                <w:sz w:val="22"/>
              </w:rPr>
            </w:pPr>
          </w:p>
        </w:tc>
      </w:tr>
    </w:tbl>
    <w:p>
      <w:pPr>
        <w:numPr>
          <w:ilvl w:val="0"/>
          <w:numId w:val="0"/>
        </w:numPr>
        <w:spacing w:before="15" w:line="547" w:lineRule="auto"/>
        <w:ind w:left="220" w:leftChars="0" w:right="12652" w:rightChars="0"/>
        <w:jc w:val="left"/>
        <w:rPr>
          <w:b/>
          <w:sz w:val="22"/>
          <w:szCs w:val="21"/>
        </w:rPr>
      </w:pPr>
      <w:r>
        <w:rPr>
          <w:b/>
          <w:w w:val="95"/>
          <w:sz w:val="22"/>
          <w:szCs w:val="21"/>
        </w:rPr>
        <w:t>三、无效标审查</w:t>
      </w:r>
    </w:p>
    <w:p>
      <w:pPr>
        <w:pStyle w:val="7"/>
        <w:rPr>
          <w:b/>
        </w:rPr>
      </w:pPr>
    </w:p>
    <w:p>
      <w:pPr>
        <w:pStyle w:val="7"/>
        <w:spacing w:before="179"/>
        <w:ind w:left="220"/>
        <w:sectPr>
          <w:type w:val="continuous"/>
          <w:pgSz w:w="16840" w:h="11910" w:orient="landscape"/>
          <w:pgMar w:top="1600" w:right="1140" w:bottom="630" w:left="1140" w:header="720" w:footer="720" w:gutter="0"/>
          <w:pgNumType w:fmt="decimal"/>
          <w:cols w:space="720" w:num="1"/>
        </w:sectPr>
      </w:pPr>
      <w:r>
        <w:t>评标专家（签字</w:t>
      </w:r>
      <w:r>
        <w:rPr>
          <w:spacing w:val="-120"/>
        </w:rPr>
        <w:t>）</w:t>
      </w:r>
      <w:r>
        <w:t>：</w:t>
      </w:r>
    </w:p>
    <w:p>
      <w:pPr>
        <w:spacing w:after="0"/>
        <w:rPr>
          <w:sz w:val="19"/>
        </w:rPr>
        <w:sectPr>
          <w:pgSz w:w="16840" w:h="11910" w:orient="landscape"/>
          <w:pgMar w:top="1100" w:right="1140" w:bottom="1020" w:left="1140" w:header="0" w:footer="824" w:gutter="0"/>
          <w:pgNumType w:fmt="decimal"/>
          <w:cols w:space="720" w:num="1"/>
        </w:sectPr>
      </w:pPr>
    </w:p>
    <w:p>
      <w:pPr>
        <w:pStyle w:val="7"/>
        <w:ind w:firstLine="240" w:firstLineChars="100"/>
      </w:pPr>
      <w:r>
        <w:t>2.评分表</w:t>
      </w:r>
    </w:p>
    <w:p>
      <w:pPr>
        <w:pStyle w:val="7"/>
      </w:pPr>
    </w:p>
    <w:p>
      <w:pPr>
        <w:pStyle w:val="7"/>
        <w:spacing w:before="11"/>
      </w:pPr>
    </w:p>
    <w:p>
      <w:pPr>
        <w:pStyle w:val="7"/>
        <w:ind w:left="904"/>
      </w:pPr>
      <w:r>
        <w:t>项目名称：</w:t>
      </w:r>
    </w:p>
    <w:p>
      <w:pPr>
        <w:pStyle w:val="7"/>
        <w:spacing w:before="7"/>
        <w:rPr>
          <w:sz w:val="41"/>
        </w:rPr>
      </w:pPr>
      <w:r>
        <w:br w:type="column"/>
      </w:r>
    </w:p>
    <w:p>
      <w:pPr>
        <w:spacing w:before="0"/>
        <w:ind w:left="448" w:right="0" w:firstLine="0"/>
        <w:jc w:val="left"/>
        <w:rPr>
          <w:b/>
          <w:sz w:val="36"/>
        </w:rPr>
      </w:pPr>
      <w:r>
        <w:rPr>
          <w:b/>
          <w:sz w:val="36"/>
          <w:u w:val="single"/>
        </w:rPr>
        <w:t>评 分 表</w:t>
      </w:r>
    </w:p>
    <w:p>
      <w:pPr>
        <w:spacing w:after="0"/>
        <w:jc w:val="left"/>
        <w:rPr>
          <w:sz w:val="36"/>
        </w:rPr>
        <w:sectPr>
          <w:type w:val="continuous"/>
          <w:pgSz w:w="16840" w:h="11910" w:orient="landscape"/>
          <w:pgMar w:top="1600" w:right="1140" w:bottom="940" w:left="1140" w:header="720" w:footer="720" w:gutter="0"/>
          <w:pgNumType w:fmt="decimal"/>
          <w:cols w:equalWidth="0" w:num="2">
            <w:col w:w="2145" w:space="3963"/>
            <w:col w:w="8452"/>
          </w:cols>
        </w:sectPr>
      </w:pPr>
    </w:p>
    <w:tbl>
      <w:tblPr>
        <w:tblStyle w:val="10"/>
        <w:tblpPr w:leftFromText="180" w:rightFromText="180" w:vertAnchor="page" w:horzAnchor="page" w:tblpXSpec="center" w:tblpY="2837"/>
        <w:tblOverlap w:val="never"/>
        <w:tblW w:w="13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239"/>
        <w:gridCol w:w="5917"/>
        <w:gridCol w:w="779"/>
        <w:gridCol w:w="1146"/>
        <w:gridCol w:w="1087"/>
        <w:gridCol w:w="1051"/>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jc w:val="center"/>
        </w:trPr>
        <w:tc>
          <w:tcPr>
            <w:tcW w:w="9119" w:type="dxa"/>
            <w:gridSpan w:val="4"/>
          </w:tcPr>
          <w:p>
            <w:pPr>
              <w:pStyle w:val="13"/>
              <w:spacing w:before="2"/>
              <w:ind w:left="108" w:firstLine="2100" w:firstLineChars="1000"/>
              <w:rPr>
                <w:sz w:val="24"/>
              </w:rPr>
            </w:pPr>
            <w:r>
              <mc:AlternateContent>
                <mc:Choice Requires="wps">
                  <w:drawing>
                    <wp:anchor distT="0" distB="0" distL="114300" distR="114300" simplePos="0" relativeHeight="251661312" behindDoc="1" locked="0" layoutInCell="1" allowOverlap="1">
                      <wp:simplePos x="0" y="0"/>
                      <wp:positionH relativeFrom="page">
                        <wp:posOffset>90170</wp:posOffset>
                      </wp:positionH>
                      <wp:positionV relativeFrom="paragraph">
                        <wp:posOffset>15875</wp:posOffset>
                      </wp:positionV>
                      <wp:extent cx="5697855" cy="1005840"/>
                      <wp:effectExtent l="635" t="4445" r="16510" b="18415"/>
                      <wp:wrapNone/>
                      <wp:docPr id="26" name="直线 22"/>
                      <wp:cNvGraphicFramePr/>
                      <a:graphic xmlns:a="http://schemas.openxmlformats.org/drawingml/2006/main">
                        <a:graphicData uri="http://schemas.microsoft.com/office/word/2010/wordprocessingShape">
                          <wps:wsp>
                            <wps:cNvCnPr/>
                            <wps:spPr>
                              <a:xfrm>
                                <a:off x="0" y="0"/>
                                <a:ext cx="5697855" cy="10058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7.1pt;margin-top:1.25pt;height:79.2pt;width:448.65pt;mso-position-horizontal-relative:page;z-index:-251655168;mso-width-relative:page;mso-height-relative:page;" filled="f" stroked="t" coordsize="21600,21600" o:gfxdata="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mh/61AAAAAgBAAAPAAAAAAAAAAEAIAAAACIAAABkcnMvZG93bnJldi54bWxQSwECFAAUAAAA&#10;CACHTuJAmkHyzPIBAADjAwAADgAAAAAAAAABACAAAAAjAQAAZHJzL2Uyb0RvYy54bWxQSwUGAAAA&#10;AAYABgBZAQAAhwUAAAAA&#10;">
                      <v:fill on="f" focussize="0,0"/>
                      <v:stroke weight="0.5pt" color="#000000" joinstyle="round"/>
                      <v:imagedata o:title=""/>
                      <o:lock v:ext="edit" aspectratio="f"/>
                    </v:line>
                  </w:pict>
                </mc:Fallback>
              </mc:AlternateContent>
            </w:r>
            <w:r>
              <w:rPr>
                <w:sz w:val="24"/>
              </w:rPr>
              <w:t>供应商名称</w:t>
            </w:r>
          </w:p>
          <w:p>
            <w:pPr>
              <w:pStyle w:val="13"/>
              <w:rPr>
                <w:b/>
                <w:sz w:val="22"/>
              </w:rPr>
            </w:pPr>
          </w:p>
          <w:p>
            <w:pPr>
              <w:pStyle w:val="13"/>
              <w:spacing w:before="1" w:line="291" w:lineRule="exact"/>
              <w:ind w:left="108"/>
              <w:rPr>
                <w:sz w:val="24"/>
              </w:rPr>
            </w:pPr>
            <w:r>
              <w:rPr>
                <w:sz w:val="24"/>
              </w:rPr>
              <w:t>评分项及评分标准</w:t>
            </w:r>
          </w:p>
        </w:tc>
        <w:tc>
          <w:tcPr>
            <w:tcW w:w="1146" w:type="dxa"/>
          </w:tcPr>
          <w:p>
            <w:pPr>
              <w:pStyle w:val="13"/>
              <w:spacing w:before="141" w:line="242" w:lineRule="auto"/>
              <w:ind w:left="162" w:right="69" w:hanging="32"/>
              <w:rPr>
                <w:sz w:val="24"/>
              </w:rPr>
            </w:pPr>
            <w:r>
              <w:rPr>
                <w:sz w:val="24"/>
              </w:rPr>
              <w:t>供应商1</w:t>
            </w:r>
          </w:p>
        </w:tc>
        <w:tc>
          <w:tcPr>
            <w:tcW w:w="1087" w:type="dxa"/>
          </w:tcPr>
          <w:p>
            <w:pPr>
              <w:pStyle w:val="13"/>
              <w:spacing w:before="141" w:line="242" w:lineRule="auto"/>
              <w:ind w:right="-23" w:rightChars="0"/>
              <w:rPr>
                <w:sz w:val="24"/>
              </w:rPr>
            </w:pPr>
            <w:r>
              <w:rPr>
                <w:sz w:val="24"/>
              </w:rPr>
              <w:t>供应商 2</w:t>
            </w:r>
          </w:p>
        </w:tc>
        <w:tc>
          <w:tcPr>
            <w:tcW w:w="1051" w:type="dxa"/>
          </w:tcPr>
          <w:p>
            <w:pPr>
              <w:pStyle w:val="13"/>
              <w:spacing w:before="141" w:line="242" w:lineRule="auto"/>
              <w:ind w:right="159"/>
              <w:rPr>
                <w:sz w:val="24"/>
              </w:rPr>
            </w:pPr>
            <w:r>
              <w:rPr>
                <w:sz w:val="24"/>
              </w:rPr>
              <w:t>供应商3</w:t>
            </w:r>
          </w:p>
        </w:tc>
        <w:tc>
          <w:tcPr>
            <w:tcW w:w="1157" w:type="dxa"/>
          </w:tcPr>
          <w:p>
            <w:pPr>
              <w:pStyle w:val="13"/>
              <w:spacing w:before="141" w:line="242" w:lineRule="auto"/>
              <w:ind w:right="159"/>
              <w:rPr>
                <w:rFonts w:hint="eastAsia" w:eastAsia="仿宋"/>
                <w:sz w:val="24"/>
                <w:lang w:val="en-US" w:eastAsia="zh-CN"/>
              </w:rPr>
            </w:pPr>
            <w:r>
              <w:rPr>
                <w:sz w:val="24"/>
              </w:rPr>
              <w:t xml:space="preserve">供应商 </w:t>
            </w: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184" w:type="dxa"/>
            <w:vAlign w:val="center"/>
          </w:tcPr>
          <w:p>
            <w:pPr>
              <w:pStyle w:val="13"/>
              <w:spacing w:before="94"/>
              <w:ind w:left="108"/>
              <w:jc w:val="center"/>
              <w:rPr>
                <w:sz w:val="24"/>
                <w:highlight w:val="none"/>
              </w:rPr>
            </w:pPr>
            <w:r>
              <w:rPr>
                <w:sz w:val="24"/>
                <w:highlight w:val="none"/>
              </w:rPr>
              <w:t>价格分</w:t>
            </w:r>
          </w:p>
          <w:p>
            <w:pPr>
              <w:pStyle w:val="13"/>
              <w:spacing w:before="2"/>
              <w:ind w:left="108"/>
              <w:rPr>
                <w:sz w:val="24"/>
                <w:highlight w:val="none"/>
              </w:rPr>
            </w:pPr>
            <w:r>
              <w:rPr>
                <w:sz w:val="24"/>
                <w:highlight w:val="none"/>
              </w:rPr>
              <w:t>（</w:t>
            </w:r>
            <w:r>
              <w:rPr>
                <w:rFonts w:hint="eastAsia"/>
                <w:sz w:val="24"/>
                <w:highlight w:val="none"/>
                <w:lang w:val="en-US" w:eastAsia="zh-CN"/>
              </w:rPr>
              <w:t>4</w:t>
            </w:r>
            <w:r>
              <w:rPr>
                <w:sz w:val="24"/>
                <w:highlight w:val="none"/>
              </w:rPr>
              <w:t>0</w:t>
            </w:r>
            <w:r>
              <w:rPr>
                <w:spacing w:val="-30"/>
                <w:sz w:val="24"/>
                <w:highlight w:val="none"/>
              </w:rPr>
              <w:t xml:space="preserve"> 分</w:t>
            </w:r>
            <w:r>
              <w:rPr>
                <w:sz w:val="24"/>
                <w:highlight w:val="none"/>
              </w:rPr>
              <w:t>）</w:t>
            </w:r>
          </w:p>
        </w:tc>
        <w:tc>
          <w:tcPr>
            <w:tcW w:w="7156" w:type="dxa"/>
            <w:gridSpan w:val="2"/>
            <w:vAlign w:val="center"/>
          </w:tcPr>
          <w:p>
            <w:pPr>
              <w:pStyle w:val="13"/>
              <w:spacing w:before="6"/>
              <w:rPr>
                <w:b/>
                <w:sz w:val="19"/>
                <w:highlight w:val="none"/>
              </w:rPr>
            </w:pPr>
          </w:p>
          <w:p>
            <w:pPr>
              <w:pStyle w:val="13"/>
              <w:spacing w:before="1"/>
              <w:ind w:left="107"/>
              <w:rPr>
                <w:sz w:val="24"/>
                <w:highlight w:val="none"/>
              </w:rPr>
            </w:pPr>
            <w:r>
              <w:rPr>
                <w:sz w:val="24"/>
                <w:highlight w:val="none"/>
              </w:rPr>
              <w:t>投标报价得分＝（评标基准价／有效投标报价）×</w:t>
            </w:r>
            <w:r>
              <w:rPr>
                <w:rFonts w:hint="eastAsia"/>
                <w:sz w:val="24"/>
                <w:highlight w:val="none"/>
                <w:lang w:val="en-US" w:eastAsia="zh-CN"/>
              </w:rPr>
              <w:t>4</w:t>
            </w:r>
            <w:r>
              <w:rPr>
                <w:sz w:val="24"/>
                <w:highlight w:val="none"/>
              </w:rPr>
              <w:t>0×100</w:t>
            </w:r>
          </w:p>
        </w:tc>
        <w:tc>
          <w:tcPr>
            <w:tcW w:w="779" w:type="dxa"/>
          </w:tcPr>
          <w:p>
            <w:pPr>
              <w:pStyle w:val="13"/>
              <w:spacing w:before="1"/>
              <w:jc w:val="both"/>
              <w:rPr>
                <w:sz w:val="24"/>
              </w:rPr>
            </w:pPr>
          </w:p>
          <w:p>
            <w:pPr>
              <w:pStyle w:val="13"/>
              <w:spacing w:before="1"/>
              <w:jc w:val="center"/>
              <w:rPr>
                <w:sz w:val="24"/>
              </w:rPr>
            </w:pPr>
            <w:r>
              <w:rPr>
                <w:rFonts w:hint="eastAsia"/>
                <w:sz w:val="24"/>
                <w:lang w:val="en-US" w:eastAsia="zh-CN"/>
              </w:rPr>
              <w:t>40</w:t>
            </w:r>
            <w:r>
              <w:rPr>
                <w:sz w:val="24"/>
              </w:rPr>
              <w:t>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184" w:type="dxa"/>
            <w:vMerge w:val="restart"/>
          </w:tcPr>
          <w:p>
            <w:pPr>
              <w:pStyle w:val="13"/>
              <w:rPr>
                <w:b/>
                <w:sz w:val="24"/>
              </w:rPr>
            </w:pPr>
          </w:p>
          <w:p>
            <w:pPr>
              <w:pStyle w:val="13"/>
              <w:rPr>
                <w:b/>
                <w:sz w:val="24"/>
              </w:rPr>
            </w:pPr>
          </w:p>
          <w:p>
            <w:pPr>
              <w:pStyle w:val="13"/>
              <w:spacing w:before="1"/>
              <w:rPr>
                <w:b/>
                <w:sz w:val="17"/>
              </w:rPr>
            </w:pPr>
          </w:p>
          <w:p>
            <w:pPr>
              <w:pStyle w:val="13"/>
              <w:ind w:firstLine="240" w:firstLineChars="100"/>
              <w:rPr>
                <w:sz w:val="24"/>
              </w:rPr>
            </w:pPr>
          </w:p>
          <w:p>
            <w:pPr>
              <w:pStyle w:val="13"/>
              <w:ind w:firstLine="240" w:firstLineChars="100"/>
              <w:rPr>
                <w:sz w:val="24"/>
              </w:rPr>
            </w:pPr>
          </w:p>
          <w:p>
            <w:pPr>
              <w:pStyle w:val="13"/>
              <w:ind w:firstLine="240" w:firstLineChars="100"/>
              <w:rPr>
                <w:sz w:val="24"/>
              </w:rPr>
            </w:pPr>
          </w:p>
          <w:p>
            <w:pPr>
              <w:pStyle w:val="13"/>
              <w:ind w:firstLine="240" w:firstLineChars="100"/>
              <w:rPr>
                <w:sz w:val="24"/>
              </w:rPr>
            </w:pPr>
          </w:p>
          <w:p>
            <w:pPr>
              <w:pStyle w:val="13"/>
              <w:ind w:firstLine="240" w:firstLineChars="100"/>
              <w:rPr>
                <w:sz w:val="24"/>
              </w:rPr>
            </w:pPr>
          </w:p>
          <w:p>
            <w:pPr>
              <w:pStyle w:val="13"/>
              <w:jc w:val="center"/>
              <w:rPr>
                <w:sz w:val="24"/>
              </w:rPr>
            </w:pPr>
            <w:r>
              <w:rPr>
                <w:sz w:val="24"/>
              </w:rPr>
              <w:t>技术分</w:t>
            </w:r>
          </w:p>
          <w:p>
            <w:pPr>
              <w:pStyle w:val="13"/>
              <w:spacing w:before="5"/>
              <w:ind w:left="108"/>
              <w:rPr>
                <w:sz w:val="24"/>
              </w:rPr>
            </w:pPr>
            <w:r>
              <w:rPr>
                <w:sz w:val="24"/>
              </w:rPr>
              <w:t>（40</w:t>
            </w:r>
            <w:r>
              <w:rPr>
                <w:spacing w:val="-30"/>
                <w:sz w:val="24"/>
              </w:rPr>
              <w:t xml:space="preserve"> 分</w:t>
            </w:r>
            <w:r>
              <w:rPr>
                <w:sz w:val="24"/>
              </w:rPr>
              <w:t>）</w:t>
            </w:r>
          </w:p>
        </w:tc>
        <w:tc>
          <w:tcPr>
            <w:tcW w:w="1239" w:type="dxa"/>
            <w:vMerge w:val="restart"/>
            <w:tcBorders>
              <w:right w:val="single" w:color="auto" w:sz="4" w:space="0"/>
            </w:tcBorders>
            <w:vAlign w:val="center"/>
          </w:tcPr>
          <w:p>
            <w:pPr>
              <w:pStyle w:val="13"/>
              <w:spacing w:before="1"/>
              <w:ind w:left="107"/>
              <w:jc w:val="center"/>
              <w:rPr>
                <w:sz w:val="24"/>
                <w:lang w:val="en-US" w:eastAsia="zh-CN"/>
              </w:rPr>
            </w:pPr>
            <w:r>
              <w:rPr>
                <w:sz w:val="24"/>
                <w:lang w:val="en-US" w:eastAsia="zh-CN"/>
              </w:rPr>
              <w:t>施工组</w:t>
            </w:r>
          </w:p>
          <w:p>
            <w:pPr>
              <w:pStyle w:val="13"/>
              <w:spacing w:before="1"/>
              <w:ind w:left="107"/>
              <w:jc w:val="center"/>
              <w:rPr>
                <w:sz w:val="24"/>
              </w:rPr>
            </w:pPr>
            <w:r>
              <w:rPr>
                <w:sz w:val="24"/>
                <w:lang w:val="en-US" w:eastAsia="zh-CN"/>
              </w:rPr>
              <w:t>织设计</w:t>
            </w:r>
          </w:p>
        </w:tc>
        <w:tc>
          <w:tcPr>
            <w:tcW w:w="5917" w:type="dxa"/>
            <w:tcBorders>
              <w:left w:val="single" w:color="auto" w:sz="4" w:space="0"/>
            </w:tcBorders>
            <w:vAlign w:val="top"/>
          </w:tcPr>
          <w:p>
            <w:pPr>
              <w:spacing w:line="400" w:lineRule="exact"/>
              <w:ind w:left="0" w:leftChars="0" w:right="0" w:rightChars="0"/>
              <w:jc w:val="left"/>
              <w:rPr>
                <w:rFonts w:hint="default" w:eastAsia="仿宋"/>
                <w:sz w:val="28"/>
                <w:szCs w:val="24"/>
                <w:lang w:val="en-US" w:eastAsia="zh-CN"/>
              </w:rPr>
            </w:pPr>
            <w:r>
              <w:rPr>
                <w:sz w:val="24"/>
                <w:szCs w:val="22"/>
              </w:rPr>
              <w:t>施工方案与技术措施</w:t>
            </w:r>
            <w:r>
              <w:rPr>
                <w:rFonts w:hint="eastAsia"/>
                <w:sz w:val="24"/>
                <w:szCs w:val="22"/>
                <w:lang w:eastAsia="zh-CN"/>
              </w:rPr>
              <w:t>：</w:t>
            </w:r>
            <w:r>
              <w:rPr>
                <w:rFonts w:hint="eastAsia"/>
                <w:sz w:val="24"/>
                <w:szCs w:val="22"/>
                <w:lang w:val="en-US" w:eastAsia="zh-CN"/>
              </w:rPr>
              <w:t>好：4-2.6 分；较好：2.5-1.5分；差：1.5-0.1分 ；缺项0分。</w:t>
            </w:r>
          </w:p>
        </w:tc>
        <w:tc>
          <w:tcPr>
            <w:tcW w:w="779" w:type="dxa"/>
            <w:vAlign w:val="center"/>
          </w:tcPr>
          <w:p>
            <w:pPr>
              <w:pStyle w:val="13"/>
              <w:spacing w:before="30"/>
              <w:ind w:left="106" w:right="34" w:rightChars="16"/>
              <w:jc w:val="center"/>
              <w:rPr>
                <w:rFonts w:hint="default" w:eastAsia="仿宋"/>
                <w:sz w:val="24"/>
                <w:lang w:val="en-US" w:eastAsia="zh-CN"/>
              </w:rPr>
            </w:pPr>
            <w:r>
              <w:rPr>
                <w:rFonts w:hint="eastAsia"/>
                <w:sz w:val="24"/>
                <w:lang w:val="en-US" w:eastAsia="zh-CN"/>
              </w:rPr>
              <w:t>4-0分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184" w:type="dxa"/>
            <w:vMerge w:val="continue"/>
            <w:tcBorders>
              <w:top w:val="nil"/>
            </w:tcBorders>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left w:val="single" w:color="auto" w:sz="4" w:space="0"/>
            </w:tcBorders>
            <w:vAlign w:val="top"/>
          </w:tcPr>
          <w:p>
            <w:pPr>
              <w:spacing w:line="400" w:lineRule="exact"/>
              <w:ind w:left="0" w:leftChars="0" w:right="0" w:rightChars="0"/>
              <w:jc w:val="left"/>
              <w:rPr>
                <w:rFonts w:hint="eastAsia"/>
                <w:sz w:val="24"/>
                <w:szCs w:val="22"/>
                <w:lang w:val="en-US" w:eastAsia="zh-CN"/>
              </w:rPr>
            </w:pPr>
            <w:r>
              <w:rPr>
                <w:sz w:val="24"/>
                <w:szCs w:val="24"/>
              </w:rPr>
              <w:t>质量保证措施</w:t>
            </w:r>
            <w:r>
              <w:rPr>
                <w:rFonts w:hint="eastAsia"/>
                <w:sz w:val="24"/>
                <w:szCs w:val="24"/>
                <w:lang w:eastAsia="zh-CN"/>
              </w:rPr>
              <w:t>：</w:t>
            </w:r>
            <w:r>
              <w:rPr>
                <w:rFonts w:hint="eastAsia"/>
                <w:sz w:val="24"/>
                <w:szCs w:val="22"/>
                <w:lang w:val="en-US" w:eastAsia="zh-CN"/>
              </w:rPr>
              <w:t>好：4-2.6 分；较好：2.5-1.5分；</w:t>
            </w:r>
          </w:p>
          <w:p>
            <w:pPr>
              <w:spacing w:line="400" w:lineRule="exact"/>
              <w:ind w:left="0" w:leftChars="0" w:right="0" w:rightChars="0"/>
              <w:jc w:val="left"/>
              <w:rPr>
                <w:rFonts w:hint="eastAsia" w:eastAsia="仿宋"/>
                <w:sz w:val="28"/>
                <w:szCs w:val="24"/>
                <w:lang w:eastAsia="zh-CN"/>
              </w:rPr>
            </w:pPr>
            <w:r>
              <w:rPr>
                <w:rFonts w:hint="eastAsia"/>
                <w:sz w:val="24"/>
                <w:szCs w:val="22"/>
                <w:lang w:val="en-US" w:eastAsia="zh-CN"/>
              </w:rPr>
              <w:t>差：1.5-0.1分 ；缺项0分。</w:t>
            </w:r>
          </w:p>
        </w:tc>
        <w:tc>
          <w:tcPr>
            <w:tcW w:w="779" w:type="dxa"/>
            <w:vAlign w:val="center"/>
          </w:tcPr>
          <w:p>
            <w:pPr>
              <w:pStyle w:val="13"/>
              <w:spacing w:before="31"/>
              <w:jc w:val="center"/>
              <w:rPr>
                <w:sz w:val="24"/>
              </w:rPr>
            </w:pPr>
            <w:r>
              <w:rPr>
                <w:rFonts w:hint="eastAsia"/>
                <w:sz w:val="24"/>
                <w:lang w:val="en-US" w:eastAsia="zh-CN"/>
              </w:rPr>
              <w:t>4-0分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184" w:type="dxa"/>
            <w:vMerge w:val="continue"/>
            <w:tcBorders>
              <w:top w:val="nil"/>
            </w:tcBorders>
          </w:tcPr>
          <w:p>
            <w:pPr>
              <w:rPr>
                <w:sz w:val="2"/>
                <w:szCs w:val="2"/>
              </w:rPr>
            </w:pPr>
          </w:p>
        </w:tc>
        <w:tc>
          <w:tcPr>
            <w:tcW w:w="1239" w:type="dxa"/>
            <w:vMerge w:val="continue"/>
            <w:tcBorders>
              <w:right w:val="single" w:color="auto" w:sz="4" w:space="0"/>
            </w:tcBorders>
          </w:tcPr>
          <w:p>
            <w:pPr>
              <w:pStyle w:val="13"/>
              <w:ind w:left="107"/>
              <w:rPr>
                <w:sz w:val="24"/>
              </w:rPr>
            </w:pPr>
          </w:p>
        </w:tc>
        <w:tc>
          <w:tcPr>
            <w:tcW w:w="5917" w:type="dxa"/>
            <w:tcBorders>
              <w:left w:val="single" w:color="auto" w:sz="4" w:space="0"/>
            </w:tcBorders>
            <w:vAlign w:val="top"/>
          </w:tcPr>
          <w:p>
            <w:pPr>
              <w:spacing w:line="400" w:lineRule="exact"/>
              <w:ind w:left="0" w:leftChars="0" w:right="0" w:rightChars="0"/>
              <w:jc w:val="left"/>
              <w:rPr>
                <w:rFonts w:hint="eastAsia" w:eastAsia="仿宋"/>
                <w:sz w:val="28"/>
                <w:szCs w:val="24"/>
                <w:lang w:eastAsia="zh-CN"/>
              </w:rPr>
            </w:pPr>
            <w:r>
              <w:rPr>
                <w:sz w:val="24"/>
                <w:szCs w:val="22"/>
              </w:rPr>
              <w:t>施工总进度（包括施工进度计划横道图、网络图）及保证措施</w:t>
            </w:r>
            <w:r>
              <w:rPr>
                <w:rFonts w:hint="eastAsia"/>
                <w:sz w:val="24"/>
                <w:szCs w:val="22"/>
                <w:lang w:eastAsia="zh-CN"/>
              </w:rPr>
              <w:t>：</w:t>
            </w:r>
            <w:r>
              <w:rPr>
                <w:rFonts w:hint="eastAsia"/>
                <w:sz w:val="24"/>
                <w:szCs w:val="22"/>
                <w:lang w:val="en-US" w:eastAsia="zh-CN"/>
              </w:rPr>
              <w:t>好：4-2.6 分；较好：2.5-1.5分；差：1.5-0.1分 ；缺项0分。</w:t>
            </w:r>
          </w:p>
        </w:tc>
        <w:tc>
          <w:tcPr>
            <w:tcW w:w="779" w:type="dxa"/>
            <w:vAlign w:val="center"/>
          </w:tcPr>
          <w:p>
            <w:pPr>
              <w:pStyle w:val="13"/>
              <w:tabs>
                <w:tab w:val="left" w:pos="1100"/>
              </w:tabs>
              <w:spacing w:before="31"/>
              <w:jc w:val="center"/>
              <w:rPr>
                <w:sz w:val="24"/>
              </w:rPr>
            </w:pPr>
            <w:r>
              <w:rPr>
                <w:rFonts w:hint="eastAsia"/>
                <w:sz w:val="24"/>
                <w:lang w:val="en-US" w:eastAsia="zh-CN"/>
              </w:rPr>
              <w:t>4-0分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184" w:type="dxa"/>
            <w:vMerge w:val="continue"/>
            <w:tcBorders>
              <w:top w:val="nil"/>
            </w:tcBorders>
          </w:tcPr>
          <w:p>
            <w:pPr>
              <w:rPr>
                <w:sz w:val="2"/>
                <w:szCs w:val="2"/>
              </w:rPr>
            </w:pPr>
          </w:p>
        </w:tc>
        <w:tc>
          <w:tcPr>
            <w:tcW w:w="1239" w:type="dxa"/>
            <w:vMerge w:val="continue"/>
            <w:tcBorders>
              <w:right w:val="single" w:color="auto" w:sz="4" w:space="0"/>
            </w:tcBorders>
          </w:tcPr>
          <w:p>
            <w:pPr>
              <w:pStyle w:val="13"/>
              <w:spacing w:before="1"/>
              <w:ind w:left="107"/>
              <w:rPr>
                <w:sz w:val="24"/>
              </w:rPr>
            </w:pPr>
          </w:p>
        </w:tc>
        <w:tc>
          <w:tcPr>
            <w:tcW w:w="5917" w:type="dxa"/>
            <w:tcBorders>
              <w:left w:val="single" w:color="auto" w:sz="4" w:space="0"/>
            </w:tcBorders>
            <w:vAlign w:val="top"/>
          </w:tcPr>
          <w:p>
            <w:pPr>
              <w:spacing w:line="400" w:lineRule="exact"/>
              <w:ind w:left="0" w:leftChars="0" w:right="0" w:rightChars="0"/>
              <w:jc w:val="left"/>
              <w:rPr>
                <w:rFonts w:hint="eastAsia"/>
                <w:sz w:val="24"/>
                <w:szCs w:val="22"/>
                <w:lang w:val="en-US" w:eastAsia="zh-CN"/>
              </w:rPr>
            </w:pPr>
            <w:r>
              <w:rPr>
                <w:sz w:val="24"/>
                <w:szCs w:val="24"/>
              </w:rPr>
              <w:t>施工安全措施</w:t>
            </w:r>
            <w:r>
              <w:rPr>
                <w:rFonts w:hint="eastAsia"/>
                <w:sz w:val="24"/>
                <w:szCs w:val="24"/>
                <w:lang w:eastAsia="zh-CN"/>
              </w:rPr>
              <w:t>：</w:t>
            </w:r>
            <w:r>
              <w:rPr>
                <w:rFonts w:hint="eastAsia"/>
                <w:sz w:val="24"/>
                <w:szCs w:val="22"/>
                <w:lang w:val="en-US" w:eastAsia="zh-CN"/>
              </w:rPr>
              <w:t>好：4-2.6 分；较好：2.5-1.5分；</w:t>
            </w:r>
          </w:p>
          <w:p>
            <w:pPr>
              <w:spacing w:line="400" w:lineRule="exact"/>
              <w:ind w:left="0" w:leftChars="0" w:right="0" w:rightChars="0"/>
              <w:jc w:val="left"/>
              <w:rPr>
                <w:rFonts w:hint="eastAsia" w:eastAsia="仿宋"/>
                <w:sz w:val="28"/>
                <w:szCs w:val="24"/>
                <w:lang w:eastAsia="zh-CN"/>
              </w:rPr>
            </w:pPr>
            <w:r>
              <w:rPr>
                <w:rFonts w:hint="eastAsia"/>
                <w:sz w:val="24"/>
                <w:szCs w:val="22"/>
                <w:lang w:val="en-US" w:eastAsia="zh-CN"/>
              </w:rPr>
              <w:t>差：1.5-0.1分 ；缺项0分。</w:t>
            </w:r>
          </w:p>
        </w:tc>
        <w:tc>
          <w:tcPr>
            <w:tcW w:w="779" w:type="dxa"/>
            <w:vAlign w:val="center"/>
          </w:tcPr>
          <w:p>
            <w:pPr>
              <w:pStyle w:val="13"/>
              <w:spacing w:before="32"/>
              <w:jc w:val="center"/>
              <w:rPr>
                <w:sz w:val="24"/>
              </w:rPr>
            </w:pPr>
            <w:r>
              <w:rPr>
                <w:rFonts w:hint="eastAsia"/>
                <w:sz w:val="24"/>
                <w:lang w:val="en-US" w:eastAsia="zh-CN"/>
              </w:rPr>
              <w:t>4-0分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184" w:type="dxa"/>
            <w:vMerge w:val="continue"/>
            <w:tcBorders>
              <w:top w:val="nil"/>
            </w:tcBorders>
          </w:tcPr>
          <w:p>
            <w:pPr>
              <w:rPr>
                <w:sz w:val="2"/>
                <w:szCs w:val="2"/>
              </w:rPr>
            </w:pPr>
          </w:p>
        </w:tc>
        <w:tc>
          <w:tcPr>
            <w:tcW w:w="1239" w:type="dxa"/>
            <w:vMerge w:val="continue"/>
            <w:tcBorders>
              <w:right w:val="single" w:color="auto" w:sz="4" w:space="0"/>
            </w:tcBorders>
          </w:tcPr>
          <w:p>
            <w:pPr>
              <w:pStyle w:val="13"/>
              <w:spacing w:before="1"/>
              <w:ind w:left="107"/>
              <w:rPr>
                <w:sz w:val="24"/>
              </w:rPr>
            </w:pPr>
          </w:p>
        </w:tc>
        <w:tc>
          <w:tcPr>
            <w:tcW w:w="5917" w:type="dxa"/>
            <w:tcBorders>
              <w:left w:val="single" w:color="auto" w:sz="4" w:space="0"/>
            </w:tcBorders>
            <w:vAlign w:val="top"/>
          </w:tcPr>
          <w:p>
            <w:pPr>
              <w:spacing w:line="400" w:lineRule="exact"/>
              <w:ind w:left="0" w:leftChars="0" w:right="0" w:rightChars="0"/>
              <w:jc w:val="left"/>
              <w:rPr>
                <w:rFonts w:hint="eastAsia"/>
                <w:sz w:val="24"/>
                <w:szCs w:val="22"/>
                <w:lang w:val="en-US" w:eastAsia="zh-CN"/>
              </w:rPr>
            </w:pPr>
            <w:r>
              <w:rPr>
                <w:sz w:val="24"/>
                <w:szCs w:val="24"/>
              </w:rPr>
              <w:t>文明施工措施</w:t>
            </w:r>
            <w:r>
              <w:rPr>
                <w:rFonts w:hint="eastAsia"/>
                <w:sz w:val="24"/>
                <w:szCs w:val="24"/>
                <w:lang w:eastAsia="zh-CN"/>
              </w:rPr>
              <w:t>：</w:t>
            </w:r>
            <w:r>
              <w:rPr>
                <w:rFonts w:hint="eastAsia"/>
                <w:sz w:val="24"/>
                <w:szCs w:val="22"/>
                <w:lang w:val="en-US" w:eastAsia="zh-CN"/>
              </w:rPr>
              <w:t>好：4-2.6 分；较好：2.5-1.5分；</w:t>
            </w:r>
          </w:p>
          <w:p>
            <w:pPr>
              <w:spacing w:line="400" w:lineRule="exact"/>
              <w:ind w:left="0" w:leftChars="0" w:right="0" w:rightChars="0"/>
              <w:jc w:val="left"/>
              <w:rPr>
                <w:rFonts w:hint="eastAsia" w:eastAsia="仿宋"/>
                <w:sz w:val="28"/>
                <w:szCs w:val="24"/>
                <w:lang w:eastAsia="zh-CN"/>
              </w:rPr>
            </w:pPr>
            <w:r>
              <w:rPr>
                <w:rFonts w:hint="eastAsia"/>
                <w:sz w:val="24"/>
                <w:szCs w:val="22"/>
                <w:lang w:val="en-US" w:eastAsia="zh-CN"/>
              </w:rPr>
              <w:t>差：1.5-0.1分 ；缺项0分。</w:t>
            </w:r>
          </w:p>
        </w:tc>
        <w:tc>
          <w:tcPr>
            <w:tcW w:w="779" w:type="dxa"/>
            <w:vAlign w:val="center"/>
          </w:tcPr>
          <w:p>
            <w:pPr>
              <w:pStyle w:val="13"/>
              <w:spacing w:before="30"/>
              <w:jc w:val="center"/>
              <w:rPr>
                <w:sz w:val="24"/>
              </w:rPr>
            </w:pPr>
            <w:r>
              <w:rPr>
                <w:rFonts w:hint="eastAsia"/>
                <w:sz w:val="24"/>
                <w:lang w:val="en-US" w:eastAsia="zh-CN"/>
              </w:rPr>
              <w:t>4-0分</w:t>
            </w:r>
          </w:p>
        </w:tc>
        <w:tc>
          <w:tcPr>
            <w:tcW w:w="1146" w:type="dxa"/>
          </w:tcPr>
          <w:p>
            <w:pPr>
              <w:pStyle w:val="13"/>
              <w:rPr>
                <w:rFonts w:ascii="Times New Roman"/>
                <w:sz w:val="24"/>
              </w:rPr>
            </w:pPr>
          </w:p>
        </w:tc>
        <w:tc>
          <w:tcPr>
            <w:tcW w:w="1087" w:type="dxa"/>
          </w:tcPr>
          <w:p>
            <w:pPr>
              <w:pStyle w:val="13"/>
              <w:rPr>
                <w:rFonts w:ascii="Times New Roman"/>
                <w:sz w:val="24"/>
              </w:rPr>
            </w:pPr>
          </w:p>
        </w:tc>
        <w:tc>
          <w:tcPr>
            <w:tcW w:w="1051" w:type="dxa"/>
          </w:tcPr>
          <w:p>
            <w:pPr>
              <w:pStyle w:val="13"/>
              <w:rPr>
                <w:rFonts w:ascii="Times New Roman"/>
                <w:sz w:val="24"/>
              </w:rPr>
            </w:pPr>
          </w:p>
        </w:tc>
        <w:tc>
          <w:tcPr>
            <w:tcW w:w="1157"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184" w:type="dxa"/>
            <w:vMerge w:val="continue"/>
            <w:tcBorders>
              <w:top w:val="nil"/>
            </w:tcBorders>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left w:val="single" w:color="auto" w:sz="4" w:space="0"/>
              <w:bottom w:val="single" w:color="auto" w:sz="4" w:space="0"/>
            </w:tcBorders>
            <w:vAlign w:val="top"/>
          </w:tcPr>
          <w:p>
            <w:pPr>
              <w:spacing w:line="400" w:lineRule="exact"/>
              <w:ind w:left="0" w:leftChars="0" w:right="0" w:rightChars="0"/>
              <w:jc w:val="left"/>
              <w:rPr>
                <w:rFonts w:hint="eastAsia" w:eastAsia="仿宋"/>
                <w:sz w:val="28"/>
                <w:szCs w:val="24"/>
                <w:lang w:eastAsia="zh-CN"/>
              </w:rPr>
            </w:pPr>
            <w:r>
              <w:rPr>
                <w:sz w:val="24"/>
                <w:szCs w:val="22"/>
              </w:rPr>
              <w:t>施工场地治安保卫管理</w:t>
            </w:r>
            <w:r>
              <w:rPr>
                <w:rFonts w:hint="eastAsia"/>
                <w:sz w:val="24"/>
                <w:szCs w:val="22"/>
                <w:lang w:eastAsia="zh-CN"/>
              </w:rPr>
              <w:t>：</w:t>
            </w:r>
            <w:r>
              <w:rPr>
                <w:rFonts w:hint="eastAsia"/>
                <w:sz w:val="24"/>
                <w:szCs w:val="22"/>
                <w:lang w:val="en-US" w:eastAsia="zh-CN"/>
              </w:rPr>
              <w:t>好：4-2.6 分；较好：2.5-1.5分；差：1.5-0.1分 ；缺项0分。</w:t>
            </w:r>
          </w:p>
        </w:tc>
        <w:tc>
          <w:tcPr>
            <w:tcW w:w="779" w:type="dxa"/>
            <w:tcBorders>
              <w:bottom w:val="single" w:color="auto" w:sz="4" w:space="0"/>
            </w:tcBorders>
            <w:vAlign w:val="center"/>
          </w:tcPr>
          <w:p>
            <w:pPr>
              <w:pStyle w:val="13"/>
              <w:spacing w:before="31"/>
              <w:jc w:val="center"/>
              <w:rPr>
                <w:sz w:val="24"/>
              </w:rPr>
            </w:pPr>
            <w:r>
              <w:rPr>
                <w:rFonts w:hint="eastAsia"/>
                <w:sz w:val="24"/>
                <w:lang w:val="en-US" w:eastAsia="zh-CN"/>
              </w:rPr>
              <w:t>4-0分</w:t>
            </w:r>
          </w:p>
        </w:tc>
        <w:tc>
          <w:tcPr>
            <w:tcW w:w="1146" w:type="dxa"/>
            <w:tcBorders>
              <w:bottom w:val="single" w:color="auto" w:sz="4" w:space="0"/>
            </w:tcBorders>
          </w:tcPr>
          <w:p>
            <w:pPr>
              <w:pStyle w:val="13"/>
              <w:rPr>
                <w:rFonts w:ascii="Times New Roman"/>
                <w:sz w:val="24"/>
              </w:rPr>
            </w:pPr>
          </w:p>
        </w:tc>
        <w:tc>
          <w:tcPr>
            <w:tcW w:w="1087" w:type="dxa"/>
            <w:tcBorders>
              <w:bottom w:val="single" w:color="auto" w:sz="4" w:space="0"/>
            </w:tcBorders>
          </w:tcPr>
          <w:p>
            <w:pPr>
              <w:pStyle w:val="13"/>
              <w:rPr>
                <w:rFonts w:ascii="Times New Roman"/>
                <w:sz w:val="24"/>
              </w:rPr>
            </w:pPr>
          </w:p>
        </w:tc>
        <w:tc>
          <w:tcPr>
            <w:tcW w:w="1051" w:type="dxa"/>
            <w:tcBorders>
              <w:bottom w:val="single" w:color="auto" w:sz="4" w:space="0"/>
            </w:tcBorders>
          </w:tcPr>
          <w:p>
            <w:pPr>
              <w:pStyle w:val="13"/>
              <w:rPr>
                <w:rFonts w:ascii="Times New Roman"/>
                <w:sz w:val="24"/>
              </w:rPr>
            </w:pPr>
          </w:p>
        </w:tc>
        <w:tc>
          <w:tcPr>
            <w:tcW w:w="1157" w:type="dxa"/>
            <w:tcBorders>
              <w:bottom w:val="single" w:color="auto" w:sz="4" w:space="0"/>
            </w:tcBorders>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184" w:type="dxa"/>
            <w:vMerge w:val="continue"/>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top w:val="single" w:color="auto" w:sz="4" w:space="0"/>
              <w:left w:val="single" w:color="auto" w:sz="4" w:space="0"/>
              <w:bottom w:val="single" w:color="auto" w:sz="4" w:space="0"/>
            </w:tcBorders>
            <w:vAlign w:val="top"/>
          </w:tcPr>
          <w:p>
            <w:pPr>
              <w:spacing w:line="400" w:lineRule="exact"/>
              <w:ind w:left="0" w:leftChars="0" w:right="0" w:rightChars="0"/>
              <w:jc w:val="left"/>
              <w:rPr>
                <w:rFonts w:hint="eastAsia"/>
                <w:sz w:val="24"/>
                <w:szCs w:val="22"/>
                <w:lang w:val="en-US" w:eastAsia="zh-CN"/>
              </w:rPr>
            </w:pPr>
            <w:r>
              <w:rPr>
                <w:sz w:val="24"/>
                <w:szCs w:val="24"/>
              </w:rPr>
              <w:t>施工环保措施</w:t>
            </w:r>
            <w:r>
              <w:rPr>
                <w:rFonts w:hint="eastAsia"/>
                <w:sz w:val="24"/>
                <w:szCs w:val="24"/>
                <w:lang w:eastAsia="zh-CN"/>
              </w:rPr>
              <w:t>：</w:t>
            </w:r>
            <w:r>
              <w:rPr>
                <w:rFonts w:hint="eastAsia"/>
                <w:sz w:val="24"/>
                <w:szCs w:val="22"/>
                <w:lang w:val="en-US" w:eastAsia="zh-CN"/>
              </w:rPr>
              <w:t>好：4-2.6 分；较好：2.5-1.5分；</w:t>
            </w:r>
          </w:p>
          <w:p>
            <w:pPr>
              <w:spacing w:line="400" w:lineRule="exact"/>
              <w:ind w:left="0" w:leftChars="0" w:right="0" w:rightChars="0"/>
              <w:jc w:val="left"/>
              <w:rPr>
                <w:rFonts w:hint="eastAsia" w:eastAsia="仿宋"/>
                <w:sz w:val="28"/>
                <w:szCs w:val="24"/>
                <w:lang w:eastAsia="zh-CN"/>
              </w:rPr>
            </w:pPr>
            <w:r>
              <w:rPr>
                <w:rFonts w:hint="eastAsia"/>
                <w:sz w:val="24"/>
                <w:szCs w:val="22"/>
                <w:lang w:val="en-US" w:eastAsia="zh-CN"/>
              </w:rPr>
              <w:t>差：1.5-0.1分 ；缺项0分。</w:t>
            </w:r>
          </w:p>
        </w:tc>
        <w:tc>
          <w:tcPr>
            <w:tcW w:w="779" w:type="dxa"/>
            <w:tcBorders>
              <w:top w:val="single" w:color="auto" w:sz="4" w:space="0"/>
              <w:bottom w:val="single" w:color="auto" w:sz="4" w:space="0"/>
            </w:tcBorders>
            <w:vAlign w:val="center"/>
          </w:tcPr>
          <w:p>
            <w:pPr>
              <w:pStyle w:val="13"/>
              <w:spacing w:before="31"/>
              <w:jc w:val="center"/>
              <w:rPr>
                <w:sz w:val="24"/>
              </w:rPr>
            </w:pPr>
            <w:r>
              <w:rPr>
                <w:rFonts w:hint="eastAsia"/>
                <w:sz w:val="24"/>
                <w:lang w:val="en-US" w:eastAsia="zh-CN"/>
              </w:rPr>
              <w:t>4-0分</w:t>
            </w:r>
          </w:p>
        </w:tc>
        <w:tc>
          <w:tcPr>
            <w:tcW w:w="1146" w:type="dxa"/>
            <w:tcBorders>
              <w:top w:val="single" w:color="auto" w:sz="4" w:space="0"/>
              <w:bottom w:val="single" w:color="auto" w:sz="4" w:space="0"/>
            </w:tcBorders>
          </w:tcPr>
          <w:p>
            <w:pPr>
              <w:pStyle w:val="13"/>
              <w:rPr>
                <w:rFonts w:ascii="Times New Roman"/>
                <w:sz w:val="24"/>
              </w:rPr>
            </w:pPr>
          </w:p>
        </w:tc>
        <w:tc>
          <w:tcPr>
            <w:tcW w:w="1087" w:type="dxa"/>
            <w:tcBorders>
              <w:top w:val="single" w:color="auto" w:sz="4" w:space="0"/>
              <w:bottom w:val="single" w:color="auto" w:sz="4" w:space="0"/>
            </w:tcBorders>
          </w:tcPr>
          <w:p>
            <w:pPr>
              <w:pStyle w:val="13"/>
              <w:rPr>
                <w:rFonts w:ascii="Times New Roman"/>
                <w:sz w:val="24"/>
              </w:rPr>
            </w:pPr>
          </w:p>
        </w:tc>
        <w:tc>
          <w:tcPr>
            <w:tcW w:w="1051" w:type="dxa"/>
            <w:tcBorders>
              <w:top w:val="single" w:color="auto" w:sz="4" w:space="0"/>
              <w:bottom w:val="single" w:color="auto" w:sz="4" w:space="0"/>
            </w:tcBorders>
          </w:tcPr>
          <w:p>
            <w:pPr>
              <w:pStyle w:val="13"/>
              <w:rPr>
                <w:rFonts w:ascii="Times New Roman"/>
                <w:sz w:val="24"/>
              </w:rPr>
            </w:pPr>
          </w:p>
        </w:tc>
        <w:tc>
          <w:tcPr>
            <w:tcW w:w="1157" w:type="dxa"/>
            <w:tcBorders>
              <w:top w:val="single" w:color="auto" w:sz="4" w:space="0"/>
              <w:bottom w:val="single" w:color="auto" w:sz="4" w:space="0"/>
            </w:tcBorders>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184" w:type="dxa"/>
            <w:vMerge w:val="continue"/>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top w:val="single" w:color="auto" w:sz="4" w:space="0"/>
              <w:left w:val="single" w:color="auto" w:sz="4" w:space="0"/>
              <w:bottom w:val="single" w:color="auto" w:sz="4" w:space="0"/>
            </w:tcBorders>
            <w:vAlign w:val="top"/>
          </w:tcPr>
          <w:p>
            <w:pPr>
              <w:spacing w:line="400" w:lineRule="exact"/>
              <w:ind w:left="0" w:leftChars="0" w:right="0" w:rightChars="0"/>
              <w:jc w:val="left"/>
              <w:rPr>
                <w:rFonts w:hint="eastAsia" w:eastAsia="仿宋"/>
                <w:sz w:val="28"/>
                <w:szCs w:val="24"/>
                <w:lang w:eastAsia="zh-CN"/>
              </w:rPr>
            </w:pPr>
            <w:r>
              <w:rPr>
                <w:sz w:val="24"/>
                <w:szCs w:val="24"/>
              </w:rPr>
              <w:t>施工现场总平面布置图</w:t>
            </w:r>
            <w:r>
              <w:rPr>
                <w:rFonts w:hint="eastAsia"/>
                <w:sz w:val="24"/>
                <w:szCs w:val="24"/>
                <w:lang w:eastAsia="zh-CN"/>
              </w:rPr>
              <w:t>：</w:t>
            </w:r>
            <w:r>
              <w:rPr>
                <w:rFonts w:hint="eastAsia"/>
                <w:sz w:val="24"/>
                <w:szCs w:val="22"/>
                <w:lang w:val="en-US" w:eastAsia="zh-CN"/>
              </w:rPr>
              <w:t>好：4-2.6 分；较好：2.5-1.5分；差：1.5-0.1分 ；缺项0分。</w:t>
            </w:r>
          </w:p>
        </w:tc>
        <w:tc>
          <w:tcPr>
            <w:tcW w:w="779" w:type="dxa"/>
            <w:tcBorders>
              <w:top w:val="single" w:color="auto" w:sz="4" w:space="0"/>
              <w:bottom w:val="single" w:color="auto" w:sz="4" w:space="0"/>
            </w:tcBorders>
            <w:vAlign w:val="center"/>
          </w:tcPr>
          <w:p>
            <w:pPr>
              <w:spacing w:before="31"/>
              <w:ind w:left="0" w:leftChars="0" w:right="0" w:rightChars="0"/>
              <w:jc w:val="center"/>
              <w:rPr>
                <w:sz w:val="24"/>
              </w:rPr>
            </w:pPr>
            <w:r>
              <w:rPr>
                <w:rFonts w:hint="eastAsia"/>
                <w:sz w:val="24"/>
                <w:lang w:val="en-US" w:eastAsia="zh-CN"/>
              </w:rPr>
              <w:t>4-0分</w:t>
            </w:r>
          </w:p>
        </w:tc>
        <w:tc>
          <w:tcPr>
            <w:tcW w:w="1146" w:type="dxa"/>
            <w:tcBorders>
              <w:top w:val="single" w:color="auto" w:sz="4" w:space="0"/>
              <w:bottom w:val="single" w:color="auto" w:sz="4" w:space="0"/>
            </w:tcBorders>
          </w:tcPr>
          <w:p>
            <w:pPr>
              <w:pStyle w:val="13"/>
              <w:rPr>
                <w:rFonts w:ascii="Times New Roman"/>
                <w:sz w:val="24"/>
              </w:rPr>
            </w:pPr>
          </w:p>
        </w:tc>
        <w:tc>
          <w:tcPr>
            <w:tcW w:w="1087" w:type="dxa"/>
            <w:tcBorders>
              <w:top w:val="single" w:color="auto" w:sz="4" w:space="0"/>
              <w:bottom w:val="single" w:color="auto" w:sz="4" w:space="0"/>
            </w:tcBorders>
          </w:tcPr>
          <w:p>
            <w:pPr>
              <w:pStyle w:val="13"/>
              <w:rPr>
                <w:rFonts w:ascii="Times New Roman"/>
                <w:sz w:val="24"/>
              </w:rPr>
            </w:pPr>
          </w:p>
        </w:tc>
        <w:tc>
          <w:tcPr>
            <w:tcW w:w="1051" w:type="dxa"/>
            <w:tcBorders>
              <w:top w:val="single" w:color="auto" w:sz="4" w:space="0"/>
              <w:bottom w:val="single" w:color="auto" w:sz="4" w:space="0"/>
            </w:tcBorders>
          </w:tcPr>
          <w:p>
            <w:pPr>
              <w:pStyle w:val="13"/>
              <w:rPr>
                <w:rFonts w:ascii="Times New Roman"/>
                <w:sz w:val="24"/>
              </w:rPr>
            </w:pPr>
          </w:p>
        </w:tc>
        <w:tc>
          <w:tcPr>
            <w:tcW w:w="1157" w:type="dxa"/>
            <w:tcBorders>
              <w:top w:val="single" w:color="auto" w:sz="4" w:space="0"/>
              <w:bottom w:val="single" w:color="auto" w:sz="4" w:space="0"/>
            </w:tcBorders>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184" w:type="dxa"/>
            <w:vMerge w:val="continue"/>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top w:val="single" w:color="auto" w:sz="4" w:space="0"/>
              <w:left w:val="single" w:color="auto" w:sz="4" w:space="0"/>
              <w:bottom w:val="single" w:color="auto" w:sz="4" w:space="0"/>
            </w:tcBorders>
            <w:vAlign w:val="top"/>
          </w:tcPr>
          <w:p>
            <w:pPr>
              <w:spacing w:line="400" w:lineRule="exact"/>
              <w:ind w:left="0" w:leftChars="0" w:right="0" w:rightChars="0"/>
              <w:jc w:val="left"/>
              <w:rPr>
                <w:rFonts w:hint="eastAsia" w:eastAsia="仿宋"/>
                <w:sz w:val="28"/>
                <w:szCs w:val="24"/>
                <w:lang w:eastAsia="zh-CN"/>
              </w:rPr>
            </w:pPr>
            <w:r>
              <w:rPr>
                <w:sz w:val="24"/>
                <w:szCs w:val="24"/>
              </w:rPr>
              <w:t>现场组织管理机构</w:t>
            </w:r>
            <w:r>
              <w:rPr>
                <w:rFonts w:hint="eastAsia"/>
                <w:sz w:val="24"/>
                <w:szCs w:val="24"/>
                <w:lang w:eastAsia="zh-CN"/>
              </w:rPr>
              <w:t>：</w:t>
            </w:r>
            <w:r>
              <w:rPr>
                <w:rFonts w:hint="eastAsia"/>
                <w:sz w:val="24"/>
                <w:szCs w:val="22"/>
                <w:lang w:val="en-US" w:eastAsia="zh-CN"/>
              </w:rPr>
              <w:t>好：4-2.6 分；较好：2.5-1.5分；差：1.5-0.1分 ；缺项0分。</w:t>
            </w:r>
          </w:p>
        </w:tc>
        <w:tc>
          <w:tcPr>
            <w:tcW w:w="779" w:type="dxa"/>
            <w:tcBorders>
              <w:top w:val="single" w:color="auto" w:sz="4" w:space="0"/>
              <w:bottom w:val="single" w:color="auto" w:sz="4" w:space="0"/>
            </w:tcBorders>
            <w:vAlign w:val="center"/>
          </w:tcPr>
          <w:p>
            <w:pPr>
              <w:spacing w:before="31"/>
              <w:ind w:left="0" w:leftChars="0" w:right="0" w:rightChars="0"/>
              <w:jc w:val="center"/>
              <w:rPr>
                <w:sz w:val="24"/>
              </w:rPr>
            </w:pPr>
            <w:r>
              <w:rPr>
                <w:rFonts w:hint="eastAsia"/>
                <w:sz w:val="24"/>
                <w:lang w:val="en-US" w:eastAsia="zh-CN"/>
              </w:rPr>
              <w:t>4-0分</w:t>
            </w:r>
          </w:p>
        </w:tc>
        <w:tc>
          <w:tcPr>
            <w:tcW w:w="1146" w:type="dxa"/>
            <w:tcBorders>
              <w:top w:val="single" w:color="auto" w:sz="4" w:space="0"/>
              <w:bottom w:val="single" w:color="auto" w:sz="4" w:space="0"/>
            </w:tcBorders>
          </w:tcPr>
          <w:p>
            <w:pPr>
              <w:pStyle w:val="13"/>
              <w:rPr>
                <w:rFonts w:ascii="Times New Roman"/>
                <w:sz w:val="24"/>
              </w:rPr>
            </w:pPr>
          </w:p>
        </w:tc>
        <w:tc>
          <w:tcPr>
            <w:tcW w:w="1087" w:type="dxa"/>
            <w:tcBorders>
              <w:top w:val="single" w:color="auto" w:sz="4" w:space="0"/>
              <w:bottom w:val="single" w:color="auto" w:sz="4" w:space="0"/>
            </w:tcBorders>
          </w:tcPr>
          <w:p>
            <w:pPr>
              <w:pStyle w:val="13"/>
              <w:rPr>
                <w:rFonts w:ascii="Times New Roman"/>
                <w:sz w:val="24"/>
              </w:rPr>
            </w:pPr>
          </w:p>
        </w:tc>
        <w:tc>
          <w:tcPr>
            <w:tcW w:w="1051" w:type="dxa"/>
            <w:tcBorders>
              <w:top w:val="single" w:color="auto" w:sz="4" w:space="0"/>
              <w:bottom w:val="single" w:color="auto" w:sz="4" w:space="0"/>
            </w:tcBorders>
          </w:tcPr>
          <w:p>
            <w:pPr>
              <w:pStyle w:val="13"/>
              <w:rPr>
                <w:rFonts w:ascii="Times New Roman"/>
                <w:sz w:val="24"/>
              </w:rPr>
            </w:pPr>
          </w:p>
        </w:tc>
        <w:tc>
          <w:tcPr>
            <w:tcW w:w="1157" w:type="dxa"/>
            <w:tcBorders>
              <w:top w:val="single" w:color="auto" w:sz="4" w:space="0"/>
              <w:bottom w:val="single" w:color="auto" w:sz="4" w:space="0"/>
            </w:tcBorders>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184" w:type="dxa"/>
            <w:vMerge w:val="continue"/>
          </w:tcPr>
          <w:p>
            <w:pPr>
              <w:rPr>
                <w:sz w:val="2"/>
                <w:szCs w:val="2"/>
              </w:rPr>
            </w:pPr>
          </w:p>
        </w:tc>
        <w:tc>
          <w:tcPr>
            <w:tcW w:w="1239" w:type="dxa"/>
            <w:vMerge w:val="continue"/>
            <w:tcBorders>
              <w:right w:val="single" w:color="auto" w:sz="4" w:space="0"/>
            </w:tcBorders>
          </w:tcPr>
          <w:p>
            <w:pPr>
              <w:pStyle w:val="13"/>
              <w:spacing w:before="2"/>
              <w:ind w:left="107"/>
              <w:rPr>
                <w:sz w:val="24"/>
              </w:rPr>
            </w:pPr>
          </w:p>
        </w:tc>
        <w:tc>
          <w:tcPr>
            <w:tcW w:w="5917" w:type="dxa"/>
            <w:tcBorders>
              <w:top w:val="single" w:color="auto" w:sz="4" w:space="0"/>
              <w:left w:val="single" w:color="auto" w:sz="4" w:space="0"/>
            </w:tcBorders>
            <w:vAlign w:val="top"/>
          </w:tcPr>
          <w:p>
            <w:pPr>
              <w:spacing w:line="400" w:lineRule="exact"/>
              <w:ind w:left="0" w:leftChars="0" w:right="0" w:rightChars="0"/>
              <w:jc w:val="left"/>
              <w:rPr>
                <w:rFonts w:hint="eastAsia" w:eastAsia="仿宋"/>
                <w:sz w:val="28"/>
                <w:szCs w:val="24"/>
                <w:lang w:eastAsia="zh-CN"/>
              </w:rPr>
            </w:pPr>
            <w:r>
              <w:rPr>
                <w:sz w:val="24"/>
                <w:szCs w:val="22"/>
              </w:rPr>
              <w:t>与发包人、监理及设计单位的配合</w:t>
            </w:r>
            <w:r>
              <w:rPr>
                <w:rFonts w:hint="eastAsia"/>
                <w:sz w:val="24"/>
                <w:szCs w:val="22"/>
                <w:lang w:eastAsia="zh-CN"/>
              </w:rPr>
              <w:t>：</w:t>
            </w:r>
            <w:r>
              <w:rPr>
                <w:rFonts w:hint="eastAsia"/>
                <w:sz w:val="24"/>
                <w:szCs w:val="22"/>
                <w:lang w:val="en-US" w:eastAsia="zh-CN"/>
              </w:rPr>
              <w:t>好：4-2.6分；较好：2.5-1.5分；差：1.5-0.1分 ；缺项0分。</w:t>
            </w:r>
          </w:p>
        </w:tc>
        <w:tc>
          <w:tcPr>
            <w:tcW w:w="779" w:type="dxa"/>
            <w:tcBorders>
              <w:top w:val="single" w:color="auto" w:sz="4" w:space="0"/>
              <w:bottom w:val="single" w:color="auto" w:sz="4" w:space="0"/>
            </w:tcBorders>
            <w:vAlign w:val="center"/>
          </w:tcPr>
          <w:p>
            <w:pPr>
              <w:spacing w:before="31"/>
              <w:ind w:left="0" w:leftChars="0" w:right="0" w:rightChars="0"/>
              <w:jc w:val="center"/>
              <w:rPr>
                <w:sz w:val="24"/>
              </w:rPr>
            </w:pPr>
            <w:r>
              <w:rPr>
                <w:rFonts w:hint="eastAsia"/>
                <w:sz w:val="24"/>
                <w:lang w:val="en-US" w:eastAsia="zh-CN"/>
              </w:rPr>
              <w:t>4-0分</w:t>
            </w:r>
          </w:p>
        </w:tc>
        <w:tc>
          <w:tcPr>
            <w:tcW w:w="1146" w:type="dxa"/>
            <w:tcBorders>
              <w:top w:val="single" w:color="auto" w:sz="4" w:space="0"/>
              <w:bottom w:val="single" w:color="auto" w:sz="4" w:space="0"/>
            </w:tcBorders>
          </w:tcPr>
          <w:p>
            <w:pPr>
              <w:pStyle w:val="13"/>
              <w:rPr>
                <w:rFonts w:ascii="Times New Roman"/>
                <w:sz w:val="24"/>
              </w:rPr>
            </w:pPr>
          </w:p>
        </w:tc>
        <w:tc>
          <w:tcPr>
            <w:tcW w:w="1087" w:type="dxa"/>
            <w:tcBorders>
              <w:top w:val="single" w:color="auto" w:sz="4" w:space="0"/>
              <w:bottom w:val="single" w:color="auto" w:sz="4" w:space="0"/>
            </w:tcBorders>
          </w:tcPr>
          <w:p>
            <w:pPr>
              <w:pStyle w:val="13"/>
              <w:rPr>
                <w:rFonts w:ascii="Times New Roman"/>
                <w:sz w:val="24"/>
              </w:rPr>
            </w:pPr>
          </w:p>
        </w:tc>
        <w:tc>
          <w:tcPr>
            <w:tcW w:w="1051" w:type="dxa"/>
            <w:tcBorders>
              <w:top w:val="single" w:color="auto" w:sz="4" w:space="0"/>
              <w:bottom w:val="single" w:color="auto" w:sz="4" w:space="0"/>
            </w:tcBorders>
          </w:tcPr>
          <w:p>
            <w:pPr>
              <w:pStyle w:val="13"/>
              <w:rPr>
                <w:rFonts w:ascii="Times New Roman"/>
                <w:sz w:val="24"/>
              </w:rPr>
            </w:pPr>
          </w:p>
        </w:tc>
        <w:tc>
          <w:tcPr>
            <w:tcW w:w="1157" w:type="dxa"/>
            <w:tcBorders>
              <w:top w:val="single" w:color="auto" w:sz="4" w:space="0"/>
              <w:bottom w:val="single" w:color="auto" w:sz="4" w:space="0"/>
            </w:tcBorders>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84" w:type="dxa"/>
            <w:vMerge w:val="restart"/>
          </w:tcPr>
          <w:p>
            <w:pPr>
              <w:pStyle w:val="13"/>
              <w:rPr>
                <w:b/>
                <w:sz w:val="24"/>
              </w:rPr>
            </w:pPr>
          </w:p>
          <w:p>
            <w:pPr>
              <w:pStyle w:val="13"/>
              <w:rPr>
                <w:b/>
                <w:sz w:val="24"/>
              </w:rPr>
            </w:pPr>
          </w:p>
          <w:p>
            <w:pPr>
              <w:pStyle w:val="13"/>
              <w:spacing w:before="172"/>
              <w:jc w:val="center"/>
              <w:rPr>
                <w:sz w:val="24"/>
              </w:rPr>
            </w:pPr>
            <w:r>
              <w:rPr>
                <w:sz w:val="24"/>
              </w:rPr>
              <w:t>商务分</w:t>
            </w:r>
          </w:p>
          <w:p>
            <w:pPr>
              <w:pStyle w:val="13"/>
              <w:spacing w:before="4"/>
              <w:ind w:left="108"/>
              <w:rPr>
                <w:sz w:val="24"/>
              </w:rPr>
            </w:pPr>
            <w:r>
              <w:rPr>
                <w:sz w:val="24"/>
              </w:rPr>
              <w:t>（</w:t>
            </w:r>
            <w:r>
              <w:rPr>
                <w:rFonts w:hint="eastAsia"/>
                <w:sz w:val="24"/>
                <w:lang w:val="en-US" w:eastAsia="zh-CN"/>
              </w:rPr>
              <w:t>2</w:t>
            </w:r>
            <w:r>
              <w:rPr>
                <w:sz w:val="24"/>
              </w:rPr>
              <w:t>0</w:t>
            </w:r>
            <w:r>
              <w:rPr>
                <w:spacing w:val="-30"/>
                <w:sz w:val="24"/>
              </w:rPr>
              <w:t xml:space="preserve"> 分</w:t>
            </w:r>
            <w:r>
              <w:rPr>
                <w:sz w:val="24"/>
              </w:rPr>
              <w:t>）</w:t>
            </w:r>
          </w:p>
        </w:tc>
        <w:tc>
          <w:tcPr>
            <w:tcW w:w="1239" w:type="dxa"/>
            <w:tcBorders>
              <w:right w:val="single" w:color="auto" w:sz="4" w:space="0"/>
            </w:tcBorders>
            <w:vAlign w:val="center"/>
          </w:tcPr>
          <w:p>
            <w:pPr>
              <w:pStyle w:val="13"/>
              <w:spacing w:before="2" w:line="242" w:lineRule="auto"/>
              <w:ind w:left="107" w:right="-25" w:rightChars="0"/>
              <w:jc w:val="center"/>
              <w:rPr>
                <w:sz w:val="24"/>
                <w:highlight w:val="none"/>
              </w:rPr>
            </w:pPr>
            <w:r>
              <w:rPr>
                <w:rFonts w:hint="eastAsia"/>
                <w:sz w:val="24"/>
                <w:highlight w:val="none"/>
                <w:vertAlign w:val="baseline"/>
                <w:lang w:eastAsia="zh-CN"/>
              </w:rPr>
              <w:t>项目经理（</w:t>
            </w:r>
            <w:r>
              <w:rPr>
                <w:rFonts w:hint="eastAsia"/>
                <w:sz w:val="24"/>
                <w:highlight w:val="none"/>
                <w:vertAlign w:val="baseline"/>
                <w:lang w:val="en-US" w:eastAsia="zh-CN"/>
              </w:rPr>
              <w:t>4分</w:t>
            </w:r>
            <w:r>
              <w:rPr>
                <w:rFonts w:hint="eastAsia"/>
                <w:sz w:val="24"/>
                <w:highlight w:val="none"/>
                <w:vertAlign w:val="baseline"/>
                <w:lang w:eastAsia="zh-CN"/>
              </w:rPr>
              <w:t>）</w:t>
            </w:r>
          </w:p>
        </w:tc>
        <w:tc>
          <w:tcPr>
            <w:tcW w:w="5917" w:type="dxa"/>
            <w:tcBorders>
              <w:left w:val="single" w:color="auto" w:sz="4" w:space="0"/>
            </w:tcBorders>
            <w:vAlign w:val="center"/>
          </w:tcPr>
          <w:p>
            <w:pPr>
              <w:pStyle w:val="13"/>
              <w:spacing w:before="2" w:line="242" w:lineRule="auto"/>
              <w:ind w:right="97"/>
              <w:jc w:val="both"/>
              <w:rPr>
                <w:rFonts w:hint="eastAsia" w:eastAsia="仿宋"/>
                <w:sz w:val="24"/>
                <w:highlight w:val="none"/>
                <w:vertAlign w:val="baseline"/>
                <w:lang w:eastAsia="zh-CN"/>
              </w:rPr>
            </w:pPr>
            <w:r>
              <w:rPr>
                <w:rFonts w:hint="eastAsia"/>
                <w:sz w:val="24"/>
                <w:highlight w:val="none"/>
              </w:rPr>
              <w:t>具有</w:t>
            </w:r>
            <w:r>
              <w:rPr>
                <w:rFonts w:hint="eastAsia"/>
                <w:sz w:val="24"/>
                <w:highlight w:val="none"/>
                <w:lang w:val="en-US" w:eastAsia="zh-CN"/>
              </w:rPr>
              <w:t>中级及以上职称得4分，否则不得分。</w:t>
            </w:r>
          </w:p>
        </w:tc>
        <w:tc>
          <w:tcPr>
            <w:tcW w:w="779" w:type="dxa"/>
            <w:tcBorders>
              <w:top w:val="single" w:color="auto" w:sz="4" w:space="0"/>
            </w:tcBorders>
            <w:vAlign w:val="center"/>
          </w:tcPr>
          <w:p>
            <w:pPr>
              <w:pStyle w:val="13"/>
              <w:jc w:val="center"/>
              <w:rPr>
                <w:sz w:val="24"/>
              </w:rPr>
            </w:pPr>
            <w:r>
              <w:rPr>
                <w:rFonts w:hint="eastAsia"/>
                <w:sz w:val="24"/>
                <w:lang w:val="en-US" w:eastAsia="zh-CN"/>
              </w:rPr>
              <w:t>4-0</w:t>
            </w:r>
            <w:r>
              <w:rPr>
                <w:sz w:val="24"/>
              </w:rPr>
              <w:t>分</w:t>
            </w:r>
          </w:p>
        </w:tc>
        <w:tc>
          <w:tcPr>
            <w:tcW w:w="1146" w:type="dxa"/>
            <w:tcBorders>
              <w:top w:val="single" w:color="auto" w:sz="4" w:space="0"/>
            </w:tcBorders>
            <w:vAlign w:val="center"/>
          </w:tcPr>
          <w:p>
            <w:pPr>
              <w:pStyle w:val="13"/>
              <w:jc w:val="center"/>
              <w:rPr>
                <w:rFonts w:ascii="Times New Roman"/>
                <w:sz w:val="24"/>
              </w:rPr>
            </w:pPr>
          </w:p>
        </w:tc>
        <w:tc>
          <w:tcPr>
            <w:tcW w:w="1087" w:type="dxa"/>
            <w:tcBorders>
              <w:top w:val="single" w:color="auto" w:sz="4" w:space="0"/>
            </w:tcBorders>
            <w:vAlign w:val="center"/>
          </w:tcPr>
          <w:p>
            <w:pPr>
              <w:pStyle w:val="13"/>
              <w:jc w:val="center"/>
              <w:rPr>
                <w:rFonts w:ascii="Times New Roman"/>
                <w:sz w:val="24"/>
              </w:rPr>
            </w:pPr>
          </w:p>
        </w:tc>
        <w:tc>
          <w:tcPr>
            <w:tcW w:w="1051" w:type="dxa"/>
            <w:tcBorders>
              <w:top w:val="single" w:color="auto" w:sz="4" w:space="0"/>
            </w:tcBorders>
            <w:vAlign w:val="center"/>
          </w:tcPr>
          <w:p>
            <w:pPr>
              <w:pStyle w:val="13"/>
              <w:jc w:val="center"/>
              <w:rPr>
                <w:rFonts w:ascii="Times New Roman"/>
                <w:sz w:val="24"/>
              </w:rPr>
            </w:pPr>
          </w:p>
        </w:tc>
        <w:tc>
          <w:tcPr>
            <w:tcW w:w="1157" w:type="dxa"/>
            <w:tcBorders>
              <w:top w:val="single" w:color="auto" w:sz="4" w:space="0"/>
            </w:tcBorders>
            <w:vAlign w:val="center"/>
          </w:tcPr>
          <w:p>
            <w:pPr>
              <w:pStyle w:val="13"/>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84" w:type="dxa"/>
            <w:vMerge w:val="continue"/>
            <w:tcBorders>
              <w:top w:val="nil"/>
            </w:tcBorders>
          </w:tcPr>
          <w:p>
            <w:pPr>
              <w:rPr>
                <w:sz w:val="2"/>
                <w:szCs w:val="2"/>
              </w:rPr>
            </w:pPr>
          </w:p>
        </w:tc>
        <w:tc>
          <w:tcPr>
            <w:tcW w:w="1239" w:type="dxa"/>
            <w:tcBorders>
              <w:right w:val="single" w:color="auto" w:sz="4" w:space="0"/>
            </w:tcBorders>
            <w:vAlign w:val="center"/>
          </w:tcPr>
          <w:p>
            <w:pPr>
              <w:pStyle w:val="13"/>
              <w:spacing w:before="2" w:line="290" w:lineRule="exact"/>
              <w:jc w:val="both"/>
              <w:rPr>
                <w:rFonts w:hint="eastAsia"/>
                <w:sz w:val="24"/>
                <w:highlight w:val="none"/>
              </w:rPr>
            </w:pPr>
            <w:r>
              <w:rPr>
                <w:rFonts w:hint="eastAsia"/>
                <w:sz w:val="24"/>
                <w:highlight w:val="none"/>
              </w:rPr>
              <w:t>技术负责人</w:t>
            </w:r>
          </w:p>
          <w:p>
            <w:pPr>
              <w:pStyle w:val="13"/>
              <w:spacing w:before="2" w:line="290" w:lineRule="exact"/>
              <w:jc w:val="center"/>
              <w:rPr>
                <w:rFonts w:hint="eastAsia"/>
                <w:sz w:val="24"/>
                <w:highlight w:val="none"/>
              </w:rPr>
            </w:pPr>
            <w:r>
              <w:rPr>
                <w:rFonts w:hint="eastAsia"/>
                <w:sz w:val="24"/>
                <w:highlight w:val="none"/>
                <w:vertAlign w:val="baseline"/>
                <w:lang w:eastAsia="zh-CN"/>
              </w:rPr>
              <w:t>（</w:t>
            </w:r>
            <w:r>
              <w:rPr>
                <w:rFonts w:hint="eastAsia"/>
                <w:sz w:val="24"/>
                <w:highlight w:val="none"/>
                <w:vertAlign w:val="baseline"/>
                <w:lang w:val="en-US" w:eastAsia="zh-CN"/>
              </w:rPr>
              <w:t>4分</w:t>
            </w:r>
            <w:r>
              <w:rPr>
                <w:rFonts w:hint="eastAsia"/>
                <w:sz w:val="24"/>
                <w:highlight w:val="none"/>
                <w:vertAlign w:val="baseline"/>
                <w:lang w:eastAsia="zh-CN"/>
              </w:rPr>
              <w:t>）</w:t>
            </w:r>
          </w:p>
        </w:tc>
        <w:tc>
          <w:tcPr>
            <w:tcW w:w="5917" w:type="dxa"/>
            <w:tcBorders>
              <w:left w:val="single" w:color="auto" w:sz="4" w:space="0"/>
            </w:tcBorders>
            <w:vAlign w:val="center"/>
          </w:tcPr>
          <w:p>
            <w:pPr>
              <w:pStyle w:val="13"/>
              <w:spacing w:before="2" w:line="290" w:lineRule="exact"/>
              <w:ind w:right="0" w:rightChars="0"/>
              <w:jc w:val="both"/>
              <w:rPr>
                <w:sz w:val="24"/>
                <w:highlight w:val="none"/>
              </w:rPr>
            </w:pPr>
            <w:r>
              <w:rPr>
                <w:rFonts w:hint="eastAsia"/>
                <w:sz w:val="24"/>
                <w:highlight w:val="none"/>
              </w:rPr>
              <w:t>具有中级职称</w:t>
            </w:r>
            <w:r>
              <w:rPr>
                <w:rFonts w:hint="eastAsia"/>
                <w:sz w:val="24"/>
                <w:highlight w:val="none"/>
                <w:lang w:eastAsia="zh-CN"/>
              </w:rPr>
              <w:t>，</w:t>
            </w:r>
            <w:r>
              <w:rPr>
                <w:rFonts w:hint="eastAsia"/>
                <w:sz w:val="24"/>
                <w:highlight w:val="none"/>
                <w:lang w:val="en-US" w:eastAsia="zh-CN"/>
              </w:rPr>
              <w:t>且</w:t>
            </w:r>
            <w:r>
              <w:rPr>
                <w:rFonts w:hint="eastAsia"/>
                <w:sz w:val="24"/>
                <w:highlight w:val="none"/>
                <w:lang w:eastAsia="zh-CN"/>
              </w:rPr>
              <w:t>从事工程项目管理经验5年以上者</w:t>
            </w:r>
            <w:r>
              <w:rPr>
                <w:rFonts w:hint="eastAsia"/>
                <w:sz w:val="24"/>
                <w:highlight w:val="none"/>
              </w:rPr>
              <w:t>的得</w:t>
            </w:r>
            <w:r>
              <w:rPr>
                <w:rFonts w:hint="eastAsia"/>
                <w:sz w:val="24"/>
                <w:highlight w:val="none"/>
                <w:lang w:val="en-US" w:eastAsia="zh-CN"/>
              </w:rPr>
              <w:t>4</w:t>
            </w:r>
            <w:r>
              <w:rPr>
                <w:rFonts w:hint="eastAsia"/>
                <w:sz w:val="24"/>
                <w:highlight w:val="none"/>
              </w:rPr>
              <w:t>分</w:t>
            </w:r>
            <w:r>
              <w:rPr>
                <w:rFonts w:hint="eastAsia"/>
                <w:sz w:val="24"/>
                <w:highlight w:val="none"/>
                <w:lang w:eastAsia="zh-CN"/>
              </w:rPr>
              <w:t>；</w:t>
            </w:r>
            <w:r>
              <w:rPr>
                <w:rFonts w:hint="eastAsia"/>
                <w:sz w:val="24"/>
                <w:highlight w:val="none"/>
                <w:lang w:val="en-US" w:eastAsia="zh-CN"/>
              </w:rPr>
              <w:t>不提供不得分</w:t>
            </w:r>
            <w:r>
              <w:rPr>
                <w:rFonts w:hint="eastAsia"/>
                <w:sz w:val="24"/>
                <w:highlight w:val="none"/>
                <w:lang w:eastAsia="zh-CN"/>
              </w:rPr>
              <w:t>。工程项目管理经验</w:t>
            </w:r>
            <w:r>
              <w:rPr>
                <w:rFonts w:hint="eastAsia"/>
                <w:sz w:val="24"/>
                <w:highlight w:val="none"/>
                <w:lang w:val="en-US" w:eastAsia="zh-CN"/>
              </w:rPr>
              <w:t>承诺函由投标人自拟格式。</w:t>
            </w:r>
          </w:p>
        </w:tc>
        <w:tc>
          <w:tcPr>
            <w:tcW w:w="779" w:type="dxa"/>
            <w:vAlign w:val="center"/>
          </w:tcPr>
          <w:p>
            <w:pPr>
              <w:pStyle w:val="13"/>
              <w:spacing w:before="2" w:line="290" w:lineRule="exact"/>
              <w:jc w:val="center"/>
              <w:rPr>
                <w:sz w:val="24"/>
              </w:rPr>
            </w:pPr>
            <w:r>
              <w:rPr>
                <w:rFonts w:hint="eastAsia"/>
                <w:sz w:val="24"/>
                <w:lang w:val="en-US" w:eastAsia="zh-CN"/>
              </w:rPr>
              <w:t>4</w:t>
            </w:r>
            <w:r>
              <w:rPr>
                <w:sz w:val="24"/>
              </w:rPr>
              <w:t>-</w:t>
            </w:r>
            <w:r>
              <w:rPr>
                <w:rFonts w:hint="eastAsia"/>
                <w:sz w:val="24"/>
                <w:lang w:val="en-US" w:eastAsia="zh-CN"/>
              </w:rPr>
              <w:t>0</w:t>
            </w:r>
            <w:r>
              <w:rPr>
                <w:sz w:val="24"/>
              </w:rPr>
              <w:t>分</w:t>
            </w:r>
          </w:p>
        </w:tc>
        <w:tc>
          <w:tcPr>
            <w:tcW w:w="1146" w:type="dxa"/>
            <w:vAlign w:val="center"/>
          </w:tcPr>
          <w:p>
            <w:pPr>
              <w:pStyle w:val="13"/>
              <w:jc w:val="center"/>
              <w:rPr>
                <w:rFonts w:ascii="Times New Roman"/>
                <w:sz w:val="22"/>
              </w:rPr>
            </w:pPr>
          </w:p>
        </w:tc>
        <w:tc>
          <w:tcPr>
            <w:tcW w:w="1087" w:type="dxa"/>
            <w:vAlign w:val="center"/>
          </w:tcPr>
          <w:p>
            <w:pPr>
              <w:pStyle w:val="13"/>
              <w:jc w:val="center"/>
              <w:rPr>
                <w:rFonts w:ascii="Times New Roman"/>
                <w:sz w:val="22"/>
              </w:rPr>
            </w:pPr>
          </w:p>
        </w:tc>
        <w:tc>
          <w:tcPr>
            <w:tcW w:w="1051" w:type="dxa"/>
            <w:vAlign w:val="center"/>
          </w:tcPr>
          <w:p>
            <w:pPr>
              <w:pStyle w:val="13"/>
              <w:jc w:val="center"/>
              <w:rPr>
                <w:rFonts w:ascii="Times New Roman"/>
                <w:sz w:val="22"/>
              </w:rPr>
            </w:pPr>
          </w:p>
        </w:tc>
        <w:tc>
          <w:tcPr>
            <w:tcW w:w="1157" w:type="dxa"/>
            <w:vAlign w:val="center"/>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184" w:type="dxa"/>
            <w:vMerge w:val="continue"/>
            <w:tcBorders>
              <w:top w:val="nil"/>
            </w:tcBorders>
          </w:tcPr>
          <w:p>
            <w:pPr>
              <w:rPr>
                <w:sz w:val="2"/>
                <w:szCs w:val="2"/>
              </w:rPr>
            </w:pPr>
          </w:p>
        </w:tc>
        <w:tc>
          <w:tcPr>
            <w:tcW w:w="1239" w:type="dxa"/>
            <w:tcBorders>
              <w:bottom w:val="single" w:color="auto" w:sz="4" w:space="0"/>
              <w:right w:val="single" w:color="auto" w:sz="4" w:space="0"/>
            </w:tcBorders>
            <w:vAlign w:val="center"/>
          </w:tcPr>
          <w:p>
            <w:pPr>
              <w:pStyle w:val="13"/>
              <w:spacing w:before="2" w:line="242" w:lineRule="auto"/>
              <w:ind w:left="107" w:right="97"/>
              <w:jc w:val="center"/>
              <w:rPr>
                <w:sz w:val="24"/>
                <w:highlight w:val="none"/>
              </w:rPr>
            </w:pPr>
            <w:r>
              <w:rPr>
                <w:sz w:val="24"/>
                <w:highlight w:val="none"/>
              </w:rPr>
              <w:t>其他主要人员</w:t>
            </w:r>
          </w:p>
          <w:p>
            <w:pPr>
              <w:pStyle w:val="13"/>
              <w:spacing w:before="2" w:line="242" w:lineRule="auto"/>
              <w:ind w:left="107" w:right="97"/>
              <w:jc w:val="center"/>
              <w:rPr>
                <w:rFonts w:hint="eastAsia" w:eastAsia="仿宋"/>
                <w:sz w:val="24"/>
                <w:highlight w:val="none"/>
                <w:lang w:eastAsia="zh-CN"/>
              </w:rPr>
            </w:pPr>
            <w:r>
              <w:rPr>
                <w:rFonts w:hint="eastAsia"/>
                <w:sz w:val="24"/>
                <w:highlight w:val="none"/>
                <w:lang w:eastAsia="zh-CN"/>
              </w:rPr>
              <w:t>（</w:t>
            </w:r>
            <w:r>
              <w:rPr>
                <w:rFonts w:hint="eastAsia"/>
                <w:sz w:val="24"/>
                <w:highlight w:val="none"/>
                <w:lang w:val="en-US" w:eastAsia="zh-CN"/>
              </w:rPr>
              <w:t>4分</w:t>
            </w:r>
            <w:r>
              <w:rPr>
                <w:rFonts w:hint="eastAsia"/>
                <w:sz w:val="24"/>
                <w:highlight w:val="none"/>
                <w:lang w:eastAsia="zh-CN"/>
              </w:rPr>
              <w:t>）</w:t>
            </w:r>
          </w:p>
        </w:tc>
        <w:tc>
          <w:tcPr>
            <w:tcW w:w="5917" w:type="dxa"/>
            <w:tcBorders>
              <w:left w:val="single" w:color="auto" w:sz="4" w:space="0"/>
              <w:bottom w:val="single" w:color="auto" w:sz="4" w:space="0"/>
            </w:tcBorders>
            <w:vAlign w:val="center"/>
          </w:tcPr>
          <w:p>
            <w:pPr>
              <w:pStyle w:val="13"/>
              <w:spacing w:before="2" w:line="242" w:lineRule="auto"/>
              <w:ind w:right="97" w:rightChars="0"/>
              <w:jc w:val="both"/>
              <w:rPr>
                <w:rFonts w:hint="eastAsia" w:eastAsia="仿宋"/>
                <w:spacing w:val="-3"/>
                <w:sz w:val="24"/>
                <w:highlight w:val="none"/>
                <w:lang w:eastAsia="zh-CN"/>
              </w:rPr>
            </w:pPr>
            <w:r>
              <w:rPr>
                <w:spacing w:val="-3"/>
                <w:sz w:val="24"/>
                <w:highlight w:val="none"/>
              </w:rPr>
              <w:t>施工员、质检</w:t>
            </w:r>
            <w:r>
              <w:rPr>
                <w:sz w:val="24"/>
                <w:highlight w:val="none"/>
              </w:rPr>
              <w:t>（量</w:t>
            </w:r>
            <w:r>
              <w:rPr>
                <w:spacing w:val="-8"/>
                <w:sz w:val="24"/>
                <w:highlight w:val="none"/>
              </w:rPr>
              <w:t>）</w:t>
            </w:r>
            <w:r>
              <w:rPr>
                <w:spacing w:val="-5"/>
                <w:sz w:val="24"/>
                <w:highlight w:val="none"/>
              </w:rPr>
              <w:t>员、安全员、材料员、资料员应出具上岗证，安全员还</w:t>
            </w:r>
            <w:r>
              <w:rPr>
                <w:spacing w:val="-12"/>
                <w:sz w:val="24"/>
                <w:highlight w:val="none"/>
              </w:rPr>
              <w:t>应出具安全生产考核合格证。证件齐全得</w:t>
            </w:r>
            <w:r>
              <w:rPr>
                <w:rFonts w:hint="eastAsia"/>
                <w:spacing w:val="-12"/>
                <w:sz w:val="24"/>
                <w:highlight w:val="none"/>
                <w:lang w:val="en-US" w:eastAsia="zh-CN"/>
              </w:rPr>
              <w:t>4</w:t>
            </w:r>
            <w:r>
              <w:rPr>
                <w:spacing w:val="-16"/>
                <w:sz w:val="24"/>
                <w:highlight w:val="none"/>
              </w:rPr>
              <w:t xml:space="preserve">分，提供不全或没有提供的得 </w:t>
            </w:r>
            <w:r>
              <w:rPr>
                <w:sz w:val="24"/>
                <w:highlight w:val="none"/>
              </w:rPr>
              <w:t>0分</w:t>
            </w:r>
            <w:r>
              <w:rPr>
                <w:rFonts w:hint="eastAsia"/>
                <w:sz w:val="24"/>
                <w:highlight w:val="none"/>
                <w:lang w:eastAsia="zh-CN"/>
              </w:rPr>
              <w:t>。</w:t>
            </w:r>
          </w:p>
        </w:tc>
        <w:tc>
          <w:tcPr>
            <w:tcW w:w="779" w:type="dxa"/>
            <w:tcBorders>
              <w:bottom w:val="single" w:color="auto" w:sz="4" w:space="0"/>
            </w:tcBorders>
            <w:vAlign w:val="center"/>
          </w:tcPr>
          <w:p>
            <w:pPr>
              <w:pStyle w:val="13"/>
              <w:jc w:val="center"/>
              <w:rPr>
                <w:sz w:val="24"/>
              </w:rPr>
            </w:pPr>
            <w:r>
              <w:rPr>
                <w:rFonts w:hint="eastAsia"/>
                <w:sz w:val="24"/>
                <w:lang w:val="en-US" w:eastAsia="zh-CN"/>
              </w:rPr>
              <w:t>4</w:t>
            </w:r>
            <w:r>
              <w:rPr>
                <w:sz w:val="24"/>
              </w:rPr>
              <w:t>-</w:t>
            </w:r>
            <w:r>
              <w:rPr>
                <w:rFonts w:hint="eastAsia"/>
                <w:sz w:val="24"/>
                <w:lang w:val="en-US" w:eastAsia="zh-CN"/>
              </w:rPr>
              <w:t>0</w:t>
            </w:r>
            <w:r>
              <w:rPr>
                <w:sz w:val="24"/>
              </w:rPr>
              <w:t>分</w:t>
            </w:r>
          </w:p>
        </w:tc>
        <w:tc>
          <w:tcPr>
            <w:tcW w:w="1146" w:type="dxa"/>
            <w:tcBorders>
              <w:bottom w:val="single" w:color="auto" w:sz="4" w:space="0"/>
            </w:tcBorders>
            <w:vAlign w:val="center"/>
          </w:tcPr>
          <w:p>
            <w:pPr>
              <w:pStyle w:val="13"/>
              <w:jc w:val="center"/>
              <w:rPr>
                <w:rFonts w:ascii="Times New Roman"/>
                <w:sz w:val="24"/>
              </w:rPr>
            </w:pPr>
          </w:p>
        </w:tc>
        <w:tc>
          <w:tcPr>
            <w:tcW w:w="1087" w:type="dxa"/>
            <w:tcBorders>
              <w:bottom w:val="single" w:color="auto" w:sz="4" w:space="0"/>
            </w:tcBorders>
            <w:vAlign w:val="center"/>
          </w:tcPr>
          <w:p>
            <w:pPr>
              <w:pStyle w:val="13"/>
              <w:jc w:val="center"/>
              <w:rPr>
                <w:rFonts w:ascii="Times New Roman"/>
                <w:sz w:val="24"/>
              </w:rPr>
            </w:pPr>
          </w:p>
        </w:tc>
        <w:tc>
          <w:tcPr>
            <w:tcW w:w="1051" w:type="dxa"/>
            <w:tcBorders>
              <w:bottom w:val="single" w:color="auto" w:sz="4" w:space="0"/>
            </w:tcBorders>
            <w:vAlign w:val="center"/>
          </w:tcPr>
          <w:p>
            <w:pPr>
              <w:pStyle w:val="13"/>
              <w:jc w:val="center"/>
              <w:rPr>
                <w:rFonts w:ascii="Times New Roman"/>
                <w:sz w:val="24"/>
              </w:rPr>
            </w:pPr>
          </w:p>
        </w:tc>
        <w:tc>
          <w:tcPr>
            <w:tcW w:w="1157" w:type="dxa"/>
            <w:tcBorders>
              <w:bottom w:val="single" w:color="auto" w:sz="4" w:space="0"/>
            </w:tcBorders>
            <w:vAlign w:val="center"/>
          </w:tcPr>
          <w:p>
            <w:pPr>
              <w:pStyle w:val="13"/>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1184" w:type="dxa"/>
            <w:vMerge w:val="continue"/>
            <w:tcBorders>
              <w:top w:val="nil"/>
            </w:tcBorders>
          </w:tcPr>
          <w:p>
            <w:pPr>
              <w:rPr>
                <w:sz w:val="2"/>
                <w:szCs w:val="2"/>
              </w:rPr>
            </w:pPr>
          </w:p>
        </w:tc>
        <w:tc>
          <w:tcPr>
            <w:tcW w:w="1239" w:type="dxa"/>
            <w:tcBorders>
              <w:top w:val="single" w:color="auto" w:sz="4" w:space="0"/>
              <w:bottom w:val="single" w:color="auto" w:sz="4" w:space="0"/>
              <w:right w:val="single" w:color="auto" w:sz="4" w:space="0"/>
            </w:tcBorders>
            <w:vAlign w:val="center"/>
          </w:tcPr>
          <w:p>
            <w:pPr>
              <w:pStyle w:val="13"/>
              <w:spacing w:before="2" w:line="242" w:lineRule="auto"/>
              <w:ind w:left="107" w:right="97"/>
              <w:jc w:val="center"/>
              <w:rPr>
                <w:rFonts w:hint="eastAsia" w:eastAsia="仿宋"/>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企业业绩</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8分</w:t>
            </w:r>
            <w:r>
              <w:rPr>
                <w:rFonts w:hint="eastAsia"/>
                <w:color w:val="000000" w:themeColor="text1"/>
                <w:sz w:val="24"/>
                <w:highlight w:val="none"/>
                <w:lang w:eastAsia="zh-CN"/>
                <w14:textFill>
                  <w14:solidFill>
                    <w14:schemeClr w14:val="tx1"/>
                  </w14:solidFill>
                </w14:textFill>
              </w:rPr>
              <w:t>）</w:t>
            </w:r>
          </w:p>
        </w:tc>
        <w:tc>
          <w:tcPr>
            <w:tcW w:w="5917" w:type="dxa"/>
            <w:tcBorders>
              <w:top w:val="single" w:color="auto" w:sz="4" w:space="0"/>
              <w:left w:val="single" w:color="auto" w:sz="4" w:space="0"/>
              <w:bottom w:val="single" w:color="auto" w:sz="4" w:space="0"/>
            </w:tcBorders>
            <w:vAlign w:val="center"/>
          </w:tcPr>
          <w:p>
            <w:pPr>
              <w:pStyle w:val="13"/>
              <w:spacing w:before="2" w:line="242" w:lineRule="auto"/>
              <w:ind w:right="97" w:rightChars="0"/>
              <w:jc w:val="both"/>
              <w:rPr>
                <w:spacing w:val="-3"/>
                <w:sz w:val="24"/>
                <w:highlight w:val="none"/>
              </w:rPr>
            </w:pPr>
            <w:r>
              <w:rPr>
                <w:rFonts w:hint="eastAsia"/>
                <w:spacing w:val="-3"/>
                <w:sz w:val="24"/>
                <w:highlight w:val="none"/>
                <w:lang w:val="en-US" w:eastAsia="zh-CN"/>
              </w:rPr>
              <w:t>投标人提供2019年1月至今类似项目业绩，提供一个得2分，最多得8分。投标人需提供类似项目的中标通知书或合同复印件加盖公章佐证。</w:t>
            </w:r>
          </w:p>
        </w:tc>
        <w:tc>
          <w:tcPr>
            <w:tcW w:w="779" w:type="dxa"/>
            <w:tcBorders>
              <w:top w:val="single" w:color="auto" w:sz="4" w:space="0"/>
              <w:bottom w:val="single" w:color="auto" w:sz="4" w:space="0"/>
            </w:tcBorders>
            <w:vAlign w:val="center"/>
          </w:tcPr>
          <w:p>
            <w:pPr>
              <w:pStyle w:val="13"/>
              <w:ind w:left="106"/>
              <w:jc w:val="center"/>
              <w:rPr>
                <w:rFonts w:hint="default" w:eastAsia="仿宋"/>
                <w:sz w:val="24"/>
                <w:lang w:val="en-US" w:eastAsia="zh-CN"/>
              </w:rPr>
            </w:pPr>
            <w:r>
              <w:rPr>
                <w:rFonts w:hint="eastAsia"/>
                <w:sz w:val="24"/>
                <w:lang w:val="en-US" w:eastAsia="zh-CN"/>
              </w:rPr>
              <w:t>8-0分</w:t>
            </w:r>
          </w:p>
        </w:tc>
        <w:tc>
          <w:tcPr>
            <w:tcW w:w="1146" w:type="dxa"/>
            <w:tcBorders>
              <w:top w:val="single" w:color="auto" w:sz="4" w:space="0"/>
              <w:bottom w:val="single" w:color="auto" w:sz="4" w:space="0"/>
            </w:tcBorders>
            <w:vAlign w:val="center"/>
          </w:tcPr>
          <w:p>
            <w:pPr>
              <w:pStyle w:val="13"/>
              <w:jc w:val="center"/>
              <w:rPr>
                <w:rFonts w:ascii="Times New Roman"/>
                <w:sz w:val="24"/>
              </w:rPr>
            </w:pPr>
          </w:p>
        </w:tc>
        <w:tc>
          <w:tcPr>
            <w:tcW w:w="1087" w:type="dxa"/>
            <w:tcBorders>
              <w:top w:val="single" w:color="auto" w:sz="4" w:space="0"/>
              <w:bottom w:val="single" w:color="auto" w:sz="4" w:space="0"/>
            </w:tcBorders>
            <w:vAlign w:val="center"/>
          </w:tcPr>
          <w:p>
            <w:pPr>
              <w:pStyle w:val="13"/>
              <w:jc w:val="center"/>
              <w:rPr>
                <w:rFonts w:ascii="Times New Roman"/>
                <w:sz w:val="24"/>
              </w:rPr>
            </w:pPr>
          </w:p>
        </w:tc>
        <w:tc>
          <w:tcPr>
            <w:tcW w:w="1051" w:type="dxa"/>
            <w:tcBorders>
              <w:top w:val="single" w:color="auto" w:sz="4" w:space="0"/>
              <w:bottom w:val="single" w:color="auto" w:sz="4" w:space="0"/>
            </w:tcBorders>
            <w:vAlign w:val="center"/>
          </w:tcPr>
          <w:p>
            <w:pPr>
              <w:pStyle w:val="13"/>
              <w:jc w:val="center"/>
              <w:rPr>
                <w:rFonts w:ascii="Times New Roman"/>
                <w:sz w:val="24"/>
              </w:rPr>
            </w:pPr>
          </w:p>
        </w:tc>
        <w:tc>
          <w:tcPr>
            <w:tcW w:w="1157" w:type="dxa"/>
            <w:tcBorders>
              <w:top w:val="single" w:color="auto" w:sz="4" w:space="0"/>
              <w:bottom w:val="single" w:color="auto" w:sz="4" w:space="0"/>
            </w:tcBorders>
            <w:vAlign w:val="center"/>
          </w:tcPr>
          <w:p>
            <w:pPr>
              <w:pStyle w:val="13"/>
              <w:jc w:val="center"/>
              <w:rPr>
                <w:rFonts w:ascii="Times New Roman"/>
                <w:sz w:val="24"/>
              </w:rPr>
            </w:pPr>
          </w:p>
        </w:tc>
      </w:tr>
    </w:tbl>
    <w:p>
      <w:pPr>
        <w:pStyle w:val="7"/>
        <w:spacing w:before="58"/>
        <w:ind w:left="904"/>
      </w:pPr>
      <w:r>
        <w:t>评标专家（签字</w:t>
      </w:r>
      <w:r>
        <w:rPr>
          <w:spacing w:val="-120"/>
        </w:rPr>
        <w:t>）</w:t>
      </w:r>
      <w:r>
        <w:t>：</w:t>
      </w:r>
    </w:p>
    <w:p>
      <w:pPr>
        <w:spacing w:after="0"/>
        <w:sectPr>
          <w:type w:val="continuous"/>
          <w:pgSz w:w="16840" w:h="11910" w:orient="landscape"/>
          <w:pgMar w:top="1600" w:right="1140" w:bottom="940" w:left="1140" w:header="720" w:footer="720" w:gutter="0"/>
          <w:pgNumType w:fmt="decimal"/>
          <w:cols w:space="720" w:num="1"/>
        </w:sectPr>
      </w:pPr>
    </w:p>
    <w:tbl>
      <w:tblPr>
        <w:tblStyle w:val="10"/>
        <w:tblW w:w="0" w:type="auto"/>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5347"/>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947" w:type="dxa"/>
            <w:gridSpan w:val="3"/>
          </w:tcPr>
          <w:p>
            <w:pPr>
              <w:pStyle w:val="13"/>
              <w:spacing w:before="2"/>
              <w:ind w:left="3731" w:right="3725"/>
              <w:jc w:val="center"/>
              <w:rPr>
                <w:sz w:val="24"/>
              </w:rPr>
            </w:pPr>
            <w:r>
              <w:rPr>
                <w:sz w:val="24"/>
              </w:rPr>
              <w:t>政策加分条款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800" w:type="dxa"/>
            <w:vAlign w:val="center"/>
          </w:tcPr>
          <w:p>
            <w:pPr>
              <w:pStyle w:val="13"/>
              <w:spacing w:before="1"/>
              <w:ind w:left="10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小型或微型企</w:t>
            </w:r>
          </w:p>
          <w:p>
            <w:pPr>
              <w:pStyle w:val="13"/>
              <w:spacing w:before="1"/>
              <w:ind w:left="10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业政策加分</w:t>
            </w:r>
          </w:p>
        </w:tc>
        <w:tc>
          <w:tcPr>
            <w:tcW w:w="5347" w:type="dxa"/>
            <w:vAlign w:val="center"/>
          </w:tcPr>
          <w:p>
            <w:pPr>
              <w:pStyle w:val="13"/>
              <w:spacing w:before="1"/>
              <w:ind w:left="108"/>
              <w:rPr>
                <w:rFonts w:hint="default"/>
                <w:lang w:val="en-US" w:eastAsia="zh-CN"/>
              </w:rPr>
            </w:pPr>
            <w:r>
              <w:rPr>
                <w:rFonts w:hint="default"/>
                <w:spacing w:val="-11"/>
                <w:sz w:val="24"/>
                <w:lang w:val="en-US" w:eastAsia="zh-CN"/>
              </w:rPr>
              <w:t>本项目为</w:t>
            </w:r>
            <w:r>
              <w:rPr>
                <w:rFonts w:hint="eastAsia"/>
                <w:spacing w:val="-11"/>
                <w:sz w:val="24"/>
                <w:lang w:val="en-US" w:eastAsia="zh-CN"/>
              </w:rPr>
              <w:t>非</w:t>
            </w:r>
            <w:r>
              <w:rPr>
                <w:rFonts w:hint="default"/>
                <w:spacing w:val="-11"/>
                <w:sz w:val="24"/>
                <w:lang w:val="en-US" w:eastAsia="zh-CN"/>
              </w:rPr>
              <w:t>专门面向中小企业采购项目</w:t>
            </w:r>
            <w:r>
              <w:rPr>
                <w:rFonts w:hint="eastAsia"/>
                <w:spacing w:val="-11"/>
                <w:sz w:val="24"/>
                <w:lang w:val="en-US" w:eastAsia="zh-CN"/>
              </w:rPr>
              <w:t>，不再执行价格扣除。</w:t>
            </w:r>
          </w:p>
        </w:tc>
        <w:tc>
          <w:tcPr>
            <w:tcW w:w="1800" w:type="dxa"/>
            <w:vMerge w:val="restart"/>
          </w:tcPr>
          <w:p>
            <w:pPr>
              <w:pStyle w:val="13"/>
              <w:spacing w:before="2"/>
              <w:ind w:left="108"/>
              <w:jc w:val="left"/>
              <w:rPr>
                <w:rFonts w:hint="default"/>
                <w:lang w:val="en-US" w:eastAsia="zh-CN"/>
              </w:rPr>
            </w:pPr>
          </w:p>
          <w:p>
            <w:pPr>
              <w:pStyle w:val="13"/>
              <w:spacing w:before="2"/>
              <w:ind w:left="108"/>
              <w:jc w:val="left"/>
              <w:rPr>
                <w:rFonts w:hint="default"/>
                <w:sz w:val="24"/>
                <w:szCs w:val="24"/>
                <w:lang w:val="en-US" w:eastAsia="zh-CN"/>
              </w:rPr>
            </w:pPr>
            <w:r>
              <w:rPr>
                <w:rFonts w:hint="default"/>
                <w:sz w:val="24"/>
                <w:szCs w:val="24"/>
                <w:lang w:val="en-US" w:eastAsia="zh-CN"/>
              </w:rPr>
              <w:t>评审依据：1、财库</w:t>
            </w:r>
            <w:r>
              <w:rPr>
                <w:rFonts w:hint="eastAsia"/>
                <w:sz w:val="24"/>
                <w:szCs w:val="24"/>
                <w:lang w:val="en-US" w:eastAsia="zh-CN"/>
              </w:rPr>
              <w:t>（财库[2022]19号）</w:t>
            </w:r>
            <w:r>
              <w:rPr>
                <w:rFonts w:hint="default"/>
                <w:sz w:val="24"/>
                <w:szCs w:val="24"/>
                <w:lang w:val="en-US" w:eastAsia="zh-CN"/>
              </w:rPr>
              <w:t xml:space="preserve"> 号、工信部联企业〔2011〕300 号、黔财采〔</w:t>
            </w:r>
          </w:p>
          <w:p>
            <w:pPr>
              <w:pStyle w:val="13"/>
              <w:spacing w:before="2"/>
              <w:ind w:left="108"/>
              <w:rPr>
                <w:sz w:val="24"/>
              </w:rPr>
            </w:pPr>
            <w:r>
              <w:rPr>
                <w:rFonts w:hint="default"/>
                <w:sz w:val="24"/>
                <w:szCs w:val="24"/>
                <w:lang w:val="en-US" w:eastAsia="zh-CN"/>
              </w:rPr>
              <w:t>2014〕15 号；2、需由供应商对响应文件“政策加分条款”中作出说明，并提供相关权威部门的证明材料，经评委会认可、有效方为符合条件，予以加分。否则不予加分。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800" w:type="dxa"/>
            <w:tcBorders>
              <w:bottom w:val="nil"/>
            </w:tcBorders>
          </w:tcPr>
          <w:p>
            <w:pPr>
              <w:pStyle w:val="13"/>
              <w:rPr>
                <w:rFonts w:hint="eastAsia" w:ascii="仿宋" w:hAnsi="仿宋" w:eastAsia="仿宋" w:cs="仿宋"/>
                <w:sz w:val="24"/>
                <w:szCs w:val="24"/>
                <w:highlight w:val="none"/>
              </w:rPr>
            </w:pPr>
          </w:p>
        </w:tc>
        <w:tc>
          <w:tcPr>
            <w:tcW w:w="5347" w:type="dxa"/>
            <w:vMerge w:val="restart"/>
          </w:tcPr>
          <w:p>
            <w:pPr>
              <w:pStyle w:val="13"/>
              <w:spacing w:before="1"/>
              <w:ind w:left="108"/>
              <w:rPr>
                <w:sz w:val="24"/>
                <w:highlight w:val="none"/>
              </w:rPr>
            </w:pPr>
            <w:r>
              <w:rPr>
                <w:sz w:val="24"/>
                <w:highlight w:val="none"/>
              </w:rPr>
              <w:t>对投标产品属于“节能产品清单”或“环保产品</w:t>
            </w:r>
          </w:p>
          <w:p>
            <w:pPr>
              <w:pStyle w:val="13"/>
              <w:spacing w:before="74"/>
              <w:ind w:left="108"/>
              <w:rPr>
                <w:sz w:val="24"/>
                <w:highlight w:val="none"/>
              </w:rPr>
            </w:pPr>
            <w:r>
              <w:rPr>
                <w:sz w:val="24"/>
                <w:highlight w:val="none"/>
              </w:rPr>
              <w:t>清单”有效期内中的产品（强制采购产品除外</w:t>
            </w:r>
            <w:r>
              <w:rPr>
                <w:spacing w:val="-120"/>
                <w:sz w:val="24"/>
                <w:highlight w:val="none"/>
              </w:rPr>
              <w:t>）</w:t>
            </w:r>
            <w:r>
              <w:rPr>
                <w:sz w:val="24"/>
                <w:highlight w:val="none"/>
              </w:rPr>
              <w:t>，</w:t>
            </w:r>
          </w:p>
          <w:p>
            <w:pPr>
              <w:pStyle w:val="13"/>
              <w:spacing w:before="1"/>
              <w:ind w:left="108"/>
              <w:rPr>
                <w:sz w:val="24"/>
                <w:highlight w:val="none"/>
              </w:rPr>
            </w:pPr>
            <w:r>
              <w:rPr>
                <w:sz w:val="24"/>
                <w:highlight w:val="none"/>
              </w:rPr>
              <w:t>在招标采购评审工作过程中，给予适当加分，即</w:t>
            </w:r>
            <w:r>
              <w:rPr>
                <w:spacing w:val="-11"/>
                <w:sz w:val="24"/>
                <w:highlight w:val="none"/>
              </w:rPr>
              <w:t xml:space="preserve">在总得分基础上，每一项加 </w:t>
            </w:r>
            <w:r>
              <w:rPr>
                <w:rFonts w:ascii="Times New Roman" w:hAnsi="Times New Roman" w:eastAsia="Times New Roman"/>
                <w:sz w:val="24"/>
                <w:highlight w:val="none"/>
              </w:rPr>
              <w:t xml:space="preserve">0.3 </w:t>
            </w:r>
            <w:r>
              <w:rPr>
                <w:spacing w:val="-7"/>
                <w:sz w:val="24"/>
                <w:highlight w:val="none"/>
              </w:rPr>
              <w:t>分；如投标产品同</w:t>
            </w:r>
            <w:r>
              <w:rPr>
                <w:sz w:val="24"/>
                <w:highlight w:val="none"/>
              </w:rPr>
              <w:t>时属于“节能产品清单”和“环保产品清单”两</w:t>
            </w:r>
            <w:r>
              <w:rPr>
                <w:spacing w:val="-11"/>
                <w:sz w:val="24"/>
                <w:highlight w:val="none"/>
              </w:rPr>
              <w:t xml:space="preserve">个清单中产品的，每一项加 </w:t>
            </w:r>
            <w:r>
              <w:rPr>
                <w:rFonts w:ascii="Times New Roman" w:hAnsi="Times New Roman" w:eastAsia="Times New Roman"/>
                <w:sz w:val="24"/>
                <w:highlight w:val="none"/>
              </w:rPr>
              <w:t xml:space="preserve">0.5 </w:t>
            </w:r>
            <w:r>
              <w:rPr>
                <w:spacing w:val="-7"/>
                <w:sz w:val="24"/>
                <w:highlight w:val="none"/>
              </w:rPr>
              <w:t>分，最高不得超过</w:t>
            </w:r>
            <w:r>
              <w:rPr>
                <w:rFonts w:ascii="Times New Roman" w:eastAsia="Times New Roman"/>
                <w:sz w:val="24"/>
                <w:highlight w:val="none"/>
              </w:rPr>
              <w:t xml:space="preserve">2 </w:t>
            </w:r>
            <w:r>
              <w:rPr>
                <w:spacing w:val="-60"/>
                <w:sz w:val="24"/>
                <w:highlight w:val="none"/>
              </w:rPr>
              <w:t>分。</w:t>
            </w:r>
            <w:r>
              <w:rPr>
                <w:sz w:val="24"/>
                <w:highlight w:val="none"/>
              </w:rPr>
              <w:t>（以提供的目录清单复印件加盖公章为准）</w:t>
            </w:r>
            <w:r>
              <w:rPr>
                <w:rFonts w:hint="eastAsia"/>
                <w:highlight w:val="none"/>
                <w:lang w:val="en-US" w:eastAsia="zh-CN"/>
              </w:rPr>
              <w:t>。</w:t>
            </w:r>
          </w:p>
        </w:tc>
        <w:tc>
          <w:tcPr>
            <w:tcW w:w="180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00" w:type="dxa"/>
            <w:tcBorders>
              <w:top w:val="nil"/>
              <w:bottom w:val="nil"/>
            </w:tcBorders>
          </w:tcPr>
          <w:p>
            <w:pPr>
              <w:pStyle w:val="13"/>
              <w:rPr>
                <w:rFonts w:hint="eastAsia" w:ascii="仿宋" w:hAnsi="仿宋" w:eastAsia="仿宋" w:cs="仿宋"/>
                <w:sz w:val="24"/>
                <w:szCs w:val="24"/>
                <w:highlight w:val="none"/>
              </w:rPr>
            </w:pPr>
          </w:p>
        </w:tc>
        <w:tc>
          <w:tcPr>
            <w:tcW w:w="5347" w:type="dxa"/>
            <w:vMerge w:val="continue"/>
          </w:tcPr>
          <w:p>
            <w:pPr>
              <w:pStyle w:val="13"/>
              <w:spacing w:before="74"/>
              <w:ind w:left="108"/>
              <w:rPr>
                <w:sz w:val="24"/>
                <w:highlight w:val="none"/>
              </w:rPr>
            </w:pPr>
          </w:p>
        </w:tc>
        <w:tc>
          <w:tcPr>
            <w:tcW w:w="180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1800" w:type="dxa"/>
            <w:tcBorders>
              <w:top w:val="nil"/>
            </w:tcBorders>
          </w:tcPr>
          <w:p>
            <w:pPr>
              <w:pStyle w:val="13"/>
              <w:spacing w:before="1"/>
              <w:ind w:left="10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节能或环保产品政策加分</w:t>
            </w:r>
          </w:p>
        </w:tc>
        <w:tc>
          <w:tcPr>
            <w:tcW w:w="5347" w:type="dxa"/>
            <w:vMerge w:val="continue"/>
          </w:tcPr>
          <w:p>
            <w:pPr>
              <w:pStyle w:val="13"/>
              <w:spacing w:line="305" w:lineRule="exact"/>
              <w:ind w:left="108"/>
              <w:jc w:val="both"/>
              <w:rPr>
                <w:sz w:val="24"/>
                <w:highlight w:val="none"/>
              </w:rPr>
            </w:pPr>
          </w:p>
        </w:tc>
        <w:tc>
          <w:tcPr>
            <w:tcW w:w="180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800" w:type="dxa"/>
            <w:tcBorders>
              <w:bottom w:val="nil"/>
            </w:tcBorders>
          </w:tcPr>
          <w:p>
            <w:pPr>
              <w:pStyle w:val="13"/>
              <w:spacing w:before="1"/>
              <w:ind w:left="108"/>
              <w:rPr>
                <w:rFonts w:hint="eastAsia" w:ascii="仿宋" w:hAnsi="仿宋" w:eastAsia="仿宋" w:cs="仿宋"/>
                <w:sz w:val="24"/>
                <w:szCs w:val="24"/>
                <w:highlight w:val="none"/>
                <w:lang w:val="en-US" w:eastAsia="zh-CN"/>
              </w:rPr>
            </w:pPr>
          </w:p>
        </w:tc>
        <w:tc>
          <w:tcPr>
            <w:tcW w:w="5347" w:type="dxa"/>
            <w:vMerge w:val="restart"/>
          </w:tcPr>
          <w:p>
            <w:pPr>
              <w:pStyle w:val="13"/>
              <w:spacing w:before="2"/>
              <w:ind w:left="108"/>
              <w:rPr>
                <w:sz w:val="24"/>
                <w:highlight w:val="none"/>
              </w:rPr>
            </w:pPr>
            <w:r>
              <w:rPr>
                <w:rFonts w:hint="default"/>
                <w:spacing w:val="-11"/>
                <w:sz w:val="24"/>
                <w:highlight w:val="none"/>
                <w:lang w:val="en-US" w:eastAsia="zh-CN"/>
              </w:rPr>
              <w:t>根据《遵义市财政局关于印发&lt;政府采购营商环境整改提升工作方案&gt;》（遵财采〔2022〕17 号）、《遵义市财政局关于转发&lt;关于进一步加大政府采购支持中小企业力度的通知&gt; 的通知》（遵财采〔2022〕37 号）文件规定，对原产地在少数民族自治区和享受少数民族自治待遇的省份的投标主产品（不含附带产品），享受政策性加分和价格扣除优惠，即采用综合评分法或性价比法进行评审的，在总得分基础上加 3 分（以当地管理部门出具的证明为准）。注：享受少数民族自治待遇的省份为：云南、贵州、青海</w:t>
            </w:r>
            <w:r>
              <w:rPr>
                <w:rFonts w:hint="eastAsia"/>
                <w:spacing w:val="-11"/>
                <w:sz w:val="24"/>
                <w:highlight w:val="none"/>
                <w:lang w:val="en-US" w:eastAsia="zh-CN"/>
              </w:rPr>
              <w:t>。</w:t>
            </w:r>
          </w:p>
        </w:tc>
        <w:tc>
          <w:tcPr>
            <w:tcW w:w="180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1800" w:type="dxa"/>
            <w:tcBorders>
              <w:top w:val="nil"/>
            </w:tcBorders>
          </w:tcPr>
          <w:p>
            <w:pPr>
              <w:pStyle w:val="13"/>
              <w:spacing w:before="1"/>
              <w:ind w:left="10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少数民族政策</w:t>
            </w:r>
          </w:p>
          <w:p>
            <w:pPr>
              <w:pStyle w:val="13"/>
              <w:spacing w:before="1"/>
              <w:ind w:left="10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加分</w:t>
            </w:r>
          </w:p>
        </w:tc>
        <w:tc>
          <w:tcPr>
            <w:tcW w:w="5347" w:type="dxa"/>
            <w:vMerge w:val="continue"/>
          </w:tcPr>
          <w:p>
            <w:pPr>
              <w:pStyle w:val="13"/>
              <w:spacing w:before="160"/>
              <w:ind w:left="108"/>
              <w:rPr>
                <w:sz w:val="24"/>
              </w:rPr>
            </w:pPr>
          </w:p>
        </w:tc>
        <w:tc>
          <w:tcPr>
            <w:tcW w:w="1800" w:type="dxa"/>
            <w:vMerge w:val="continue"/>
            <w:tcBorders>
              <w:top w:val="nil"/>
            </w:tcBorders>
          </w:tcPr>
          <w:p>
            <w:pPr>
              <w:rPr>
                <w:sz w:val="2"/>
                <w:szCs w:val="2"/>
              </w:rPr>
            </w:pPr>
          </w:p>
        </w:tc>
      </w:tr>
    </w:tbl>
    <w:p>
      <w:pPr>
        <w:pStyle w:val="7"/>
        <w:spacing w:before="12"/>
        <w:rPr>
          <w:sz w:val="26"/>
        </w:rPr>
      </w:pPr>
    </w:p>
    <w:p>
      <w:pPr>
        <w:pStyle w:val="7"/>
        <w:spacing w:before="74"/>
        <w:ind w:left="368"/>
        <w:rPr>
          <w:rFonts w:hint="default" w:ascii="仿宋" w:hAnsi="仿宋" w:eastAsia="仿宋" w:cs="仿宋"/>
          <w:sz w:val="24"/>
          <w:szCs w:val="24"/>
          <w:lang w:val="en-US" w:eastAsia="zh-CN" w:bidi="ar-SA"/>
        </w:rPr>
      </w:pPr>
      <w:r>
        <w:rPr>
          <w:rFonts w:hint="default" w:ascii="仿宋" w:hAnsi="仿宋" w:eastAsia="仿宋" w:cs="仿宋"/>
          <w:sz w:val="24"/>
          <w:szCs w:val="24"/>
          <w:lang w:val="en-US" w:eastAsia="zh-CN" w:bidi="ar-SA"/>
        </w:rPr>
        <w:t>3.价格分的计算</w:t>
      </w:r>
    </w:p>
    <w:p>
      <w:pPr>
        <w:pStyle w:val="7"/>
        <w:spacing w:before="158" w:line="364" w:lineRule="auto"/>
        <w:ind w:left="368" w:right="405" w:firstLine="480"/>
      </w:pPr>
      <w:r>
        <w:t>价格分采用低价优先法计算，即满足采购文件要求的前提下，最低有效投标报价作为评标基准价，其价格分为满分。其余供应商价格分统一按照下列公式计算：</w:t>
      </w:r>
    </w:p>
    <w:p>
      <w:pPr>
        <w:pStyle w:val="7"/>
        <w:spacing w:before="2"/>
        <w:ind w:left="848"/>
        <w:rPr>
          <w:rFonts w:ascii="Times New Roman" w:hAnsi="Times New Roman" w:eastAsia="Times New Roman"/>
        </w:rPr>
      </w:pPr>
      <w:r>
        <w:t>投标报价得分＝（评标基准价／投标报价）×价格权值×</w:t>
      </w:r>
      <w:r>
        <w:rPr>
          <w:rFonts w:ascii="Times New Roman" w:hAnsi="Times New Roman" w:eastAsia="Times New Roman"/>
        </w:rPr>
        <w:t>100</w:t>
      </w:r>
    </w:p>
    <w:p>
      <w:pPr>
        <w:pStyle w:val="7"/>
        <w:spacing w:before="158"/>
        <w:ind w:left="848"/>
      </w:pPr>
      <w:r>
        <w:t>（</w:t>
      </w:r>
      <w:r>
        <w:rPr>
          <w:rFonts w:ascii="Times New Roman" w:eastAsia="Times New Roman"/>
        </w:rPr>
        <w:t>1</w:t>
      </w:r>
      <w:r>
        <w:t>）中小企业价格扣除</w:t>
      </w:r>
    </w:p>
    <w:p>
      <w:pPr>
        <w:pStyle w:val="7"/>
        <w:spacing w:before="46" w:line="362" w:lineRule="auto"/>
        <w:ind w:right="333" w:firstLine="452" w:firstLineChars="200"/>
      </w:pPr>
      <w:r>
        <w:rPr>
          <w:rFonts w:hint="default"/>
          <w:spacing w:val="-7"/>
          <w:lang w:val="en-US" w:eastAsia="zh-CN"/>
        </w:rPr>
        <w:t>①本项目为</w:t>
      </w:r>
      <w:r>
        <w:rPr>
          <w:rFonts w:hint="eastAsia"/>
          <w:spacing w:val="-7"/>
          <w:lang w:val="en-US" w:eastAsia="zh-CN"/>
        </w:rPr>
        <w:t>非</w:t>
      </w:r>
      <w:r>
        <w:rPr>
          <w:rFonts w:hint="default"/>
          <w:spacing w:val="-7"/>
          <w:lang w:val="en-US" w:eastAsia="zh-CN"/>
        </w:rPr>
        <w:t>专门面向中小企业采购项目</w:t>
      </w:r>
      <w:r>
        <w:rPr>
          <w:rFonts w:hint="eastAsia"/>
          <w:spacing w:val="-7"/>
          <w:lang w:val="en-US" w:eastAsia="zh-CN"/>
        </w:rPr>
        <w:t>，不再执行价格扣除</w:t>
      </w:r>
      <w: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yellow"/>
          <w:lang w:val="en-US" w:eastAsia="zh-CN"/>
        </w:rPr>
      </w:pPr>
      <w:r>
        <w:rPr>
          <w:rFonts w:ascii="仿宋" w:hAnsi="仿宋" w:eastAsia="仿宋" w:cs="仿宋"/>
          <w:sz w:val="24"/>
          <w:szCs w:val="24"/>
          <w:highlight w:val="none"/>
          <w:lang w:val="en-US" w:eastAsia="en-US" w:bidi="ar-SA"/>
        </w:rPr>
        <w:t>②小型和微型企业享受价格扣除须提供：《政府采购促进中小企业发展管理办法》规定的《中小企业声明函》</w:t>
      </w:r>
      <w:r>
        <w:rPr>
          <w:rFonts w:hint="eastAsia" w:cs="仿宋"/>
          <w:sz w:val="24"/>
          <w:szCs w:val="24"/>
          <w:highlight w:val="none"/>
          <w:lang w:val="en-US" w:eastAsia="zh-CN" w:bidi="ar-SA"/>
        </w:rPr>
        <w:t>，详见投标文件格式。</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13</w:t>
                          </w:r>
                          <w:r>
                            <w:fldChar w:fldCharType="end"/>
                          </w:r>
                          <w: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imT8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61eUOG5x4pfv3y4/fl1+fiV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sIpk/IAQAAmgMAAA4AAAAAAAAAAQAgAAAAHgEAAGRycy9lMm9Eb2Mu&#10;eG1sUEsFBgAAAAAGAAYAWQEAAFgFA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8ZL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3i3B23OPHzzx/nX4/nh+/k&#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vxkuyQEAAJoDAAAOAAAAAAAAAAEAIAAAAB4BAABkcnMvZTJvRG9j&#10;LnhtbFBLBQYAAAAABgAGAFkBAABZBQAAAAA=&#10;">
              <v:fill on="f" focussize="0,0"/>
              <v:stroke on="f"/>
              <v:imagedata o:title=""/>
              <o:lock v:ext="edit" aspectratio="f"/>
              <v:textbox inset="0mm,0mm,0mm,0mm" style="mso-fit-shape-to-text:t;">
                <w:txbxContent>
                  <w:p>
                    <w:pPr>
                      <w:pStyle w:val="9"/>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2CB3C"/>
    <w:multiLevelType w:val="singleLevel"/>
    <w:tmpl w:val="26B2CB3C"/>
    <w:lvl w:ilvl="0" w:tentative="0">
      <w:start w:val="2"/>
      <w:numFmt w:val="chineseCounting"/>
      <w:suff w:val="space"/>
      <w:lvlText w:val="第%1节"/>
      <w:lvlJc w:val="left"/>
      <w:rPr>
        <w:rFonts w:hint="eastAsia"/>
      </w:rPr>
    </w:lvl>
  </w:abstractNum>
  <w:abstractNum w:abstractNumId="1">
    <w:nsid w:val="37E6E514"/>
    <w:multiLevelType w:val="singleLevel"/>
    <w:tmpl w:val="37E6E514"/>
    <w:lvl w:ilvl="0" w:tentative="0">
      <w:start w:val="3"/>
      <w:numFmt w:val="chineseCounting"/>
      <w:suff w:val="nothing"/>
      <w:lvlText w:val="第%1章、"/>
      <w:lvlJc w:val="left"/>
      <w:rPr>
        <w:rFonts w:hint="eastAsia"/>
        <w:sz w:val="28"/>
        <w:szCs w:val="28"/>
      </w:rPr>
    </w:lvl>
  </w:abstractNum>
  <w:abstractNum w:abstractNumId="2">
    <w:nsid w:val="3EF98DE8"/>
    <w:multiLevelType w:val="singleLevel"/>
    <w:tmpl w:val="3EF98DE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Tg3YWJlNTRjN2IzMTE3OWExMmJkZGMyN2EzYWQifQ=="/>
  </w:docVars>
  <w:rsids>
    <w:rsidRoot w:val="57D763B9"/>
    <w:rsid w:val="57D7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6"/>
    <w:basedOn w:val="1"/>
    <w:next w:val="1"/>
    <w:qFormat/>
    <w:uiPriority w:val="1"/>
    <w:pPr>
      <w:spacing w:before="7"/>
      <w:ind w:right="1378"/>
      <w:jc w:val="center"/>
      <w:outlineLvl w:val="6"/>
    </w:pPr>
    <w:rPr>
      <w:rFonts w:ascii="黑体" w:hAnsi="黑体" w:eastAsia="黑体" w:cs="黑体"/>
      <w:sz w:val="28"/>
      <w:szCs w:val="28"/>
    </w:rPr>
  </w:style>
  <w:style w:type="paragraph" w:styleId="6">
    <w:name w:val="heading 7"/>
    <w:basedOn w:val="1"/>
    <w:next w:val="1"/>
    <w:qFormat/>
    <w:uiPriority w:val="1"/>
    <w:pPr>
      <w:ind w:left="848"/>
      <w:outlineLvl w:val="7"/>
    </w:pPr>
    <w:rPr>
      <w:rFonts w:ascii="宋体" w:hAnsi="宋体" w:eastAsia="宋体" w:cs="宋体"/>
      <w:b/>
      <w:bCs/>
      <w:sz w:val="24"/>
      <w:szCs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rPr>
      <w:rFonts w:ascii="Times New Roman" w:hAnsi="Times New Roman" w:eastAsia="黑体" w:cs="Times New Roman"/>
      <w:kern w:val="2"/>
      <w:sz w:val="21"/>
      <w:lang w:val="en-US" w:eastAsia="zh-CN" w:bidi="ar-SA"/>
    </w:rPr>
  </w:style>
  <w:style w:type="paragraph" w:styleId="3">
    <w:name w:val="Body Text Indent"/>
    <w:basedOn w:val="1"/>
    <w:next w:val="4"/>
    <w:qFormat/>
    <w:uiPriority w:val="0"/>
    <w:pPr>
      <w:ind w:firstLine="830" w:firstLineChars="352"/>
    </w:pPr>
    <w:rPr>
      <w:rFonts w:ascii="仿宋_GB2312" w:hAnsi="Times New Roman" w:eastAsia="仿宋_GB2312"/>
      <w:sz w:val="32"/>
      <w:szCs w:val="20"/>
    </w:rPr>
  </w:style>
  <w:style w:type="paragraph" w:customStyle="1" w:styleId="4">
    <w:name w:val="font5"/>
    <w:basedOn w:val="1"/>
    <w:qFormat/>
    <w:uiPriority w:val="0"/>
    <w:pPr>
      <w:widowControl/>
      <w:spacing w:before="100" w:beforeLines="0" w:beforeAutospacing="1" w:after="100" w:afterLines="0" w:afterAutospacing="1"/>
      <w:jc w:val="left"/>
    </w:pPr>
    <w:rPr>
      <w:rFonts w:ascii="宋体"/>
      <w:kern w:val="0"/>
      <w:sz w:val="18"/>
      <w:szCs w:val="18"/>
    </w:rPr>
  </w:style>
  <w:style w:type="paragraph" w:styleId="7">
    <w:name w:val="Body Text"/>
    <w:basedOn w:val="1"/>
    <w:next w:val="1"/>
    <w:qFormat/>
    <w:uiPriority w:val="1"/>
    <w:rPr>
      <w:rFonts w:ascii="仿宋" w:hAnsi="仿宋" w:eastAsia="仿宋" w:cs="仿宋"/>
      <w:sz w:val="24"/>
      <w:szCs w:val="24"/>
    </w:rPr>
  </w:style>
  <w:style w:type="paragraph" w:styleId="8">
    <w:name w:val="Body Text Indent 2"/>
    <w:basedOn w:val="1"/>
    <w:qFormat/>
    <w:uiPriority w:val="0"/>
    <w:pPr>
      <w:spacing w:after="120" w:afterLines="0" w:line="480" w:lineRule="auto"/>
      <w:ind w:left="420" w:leftChars="200"/>
    </w:pPr>
    <w:rPr>
      <w:rFonts w:eastAsia="宋体"/>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customStyle="1" w:styleId="12">
    <w:name w:val="样式 正文文本缩进 2 + 行距: 固定值 30 磅"/>
    <w:basedOn w:val="8"/>
    <w:qFormat/>
    <w:uiPriority w:val="0"/>
    <w:pPr>
      <w:ind w:firstLine="138" w:firstLineChars="49"/>
      <w:jc w:val="center"/>
    </w:pPr>
    <w:rPr>
      <w:rFonts w:ascii="宋体" w:eastAsia="宋体"/>
      <w:b/>
      <w:szCs w:val="32"/>
    </w:rPr>
  </w:style>
  <w:style w:type="paragraph" w:customStyle="1" w:styleId="13">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2023-05-18T02:31:00Z</dcterms:created>
  <dc:creator>。</dc:creator>
  <cp:lastModifiedBy>。</cp:lastModifiedBy>
  <dcterms:modified xsi:type="dcterms:W3CDTF">2023-05-18T02:33:59Z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E1929A07B6E84C3ABDE078015B9A8B2A_11</vt:lpwstr>
  </property>
</Properties>
</file>