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具有</w:t>
      </w:r>
      <w:r>
        <w:rPr>
          <w:rFonts w:hint="eastAsia" w:ascii="宋体" w:hAnsi="宋体" w:eastAsia="宋体" w:cs="宋体"/>
          <w:sz w:val="32"/>
          <w:szCs w:val="32"/>
        </w:rPr>
        <w:t>健全财务会计制度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的证明材料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供应商提供截至响应文件提交截止之日前一年内，经审计的财务报告（包含审计报告和审计报告中所涉及的财务报表和报表附注）或者银行出具的资信证明。未经审计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的提供财务报告（包括资产负债表、利润表、现金流量表、所有者权益变动表及其附注）。 供应商注册时间截至响应文件提交截止之日前不足一年的，也可提供在相关主管部门备案的公司章程等证明材料。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jYzMzZTgwZjY2NzhmMWJjMzIyOTY4Y2ExYzMwODIifQ=="/>
  </w:docVars>
  <w:rsids>
    <w:rsidRoot w:val="00000000"/>
    <w:rsid w:val="15C63E78"/>
    <w:rsid w:val="6519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2024-03-27T07:02:21Z</dcterms:created>
  <dcterms:modified xsi:type="dcterms:W3CDTF">2024-03-27T07:05:18Z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4C82FEAF41854E8EA26B8702D3258206_12</vt:lpwstr>
  </property>
</Properties>
</file>