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rPr>
          <w:rFonts w:ascii="黑体" w:hAnsi="黑体" w:eastAsia="黑体" w:cs="黑体"/>
          <w:sz w:val="32"/>
          <w:szCs w:val="32"/>
        </w:rPr>
      </w:pPr>
      <w:r>
        <w:rPr>
          <w:rFonts w:hint="eastAsia" w:ascii="黑体" w:hAnsi="黑体" w:eastAsia="黑体" w:cs="黑体"/>
          <w:sz w:val="32"/>
          <w:szCs w:val="32"/>
        </w:rPr>
        <w:t>附件2：</w:t>
      </w:r>
    </w:p>
    <w:p>
      <w:pPr>
        <w:adjustRightInd w:val="0"/>
        <w:spacing w:line="360" w:lineRule="auto"/>
        <w:jc w:val="center"/>
        <w:rPr>
          <w:rFonts w:asciiTheme="minorEastAsia" w:hAnsiTheme="minorEastAsia" w:eastAsiaTheme="minorEastAsia"/>
          <w:sz w:val="21"/>
          <w:szCs w:val="21"/>
        </w:rPr>
      </w:pPr>
      <w:r>
        <w:rPr>
          <w:rFonts w:hint="eastAsia" w:ascii="黑体" w:hAnsi="黑体" w:eastAsia="黑体" w:cs="黑体"/>
          <w:sz w:val="36"/>
          <w:szCs w:val="36"/>
        </w:rPr>
        <w:t>专用资格其他要求</w:t>
      </w:r>
    </w:p>
    <w:p>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一、安全质量要求：</w:t>
      </w:r>
    </w:p>
    <w:p>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1）不得存在：自开标日前三年内发生因应答人原因负同等及以上责任造成的重大质量事故（二级及以上质量事件）；一年内发生因应答人负同等及以上责任造成的较大及以上人身死亡事故（三级及以上人身安全事件）、较大及以上电网、设备事故（三级及以上电网、设备安全事件）；六个月内发生因应答人负同等及以上责任造成的一般人身死亡事故（四级人身安全事件）、一般电网、设备事故（四级电网、设备安全事件）或较大质量事故（三级质量事件）；三个月内发生因应答人负同等及以上责任造成的一般质量事故（四级质量事件）。</w:t>
      </w:r>
      <w:r>
        <w:rPr>
          <w:rFonts w:asciiTheme="minorEastAsia" w:hAnsiTheme="minorEastAsia" w:eastAsiaTheme="minorEastAsia"/>
          <w:sz w:val="21"/>
          <w:szCs w:val="21"/>
        </w:rPr>
        <w:t xml:space="preserve"> </w:t>
      </w:r>
    </w:p>
    <w:p>
      <w:pPr>
        <w:adjustRightIn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（2）不得在国家电网有限公司“安全黑名单”或国网江苏省电力有限公司Ⅰ级“安全负面清单”限入期限内。</w:t>
      </w:r>
    </w:p>
    <w:p>
      <w:pPr>
        <w:adjustRightIn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3）施工类标段：建筑施工企业主要负责人具有《建筑施工企业主要负责人安全生产知识考核合格证书》（安全A证），并提供安全A证持证人的社保证明（缴纳时间至少包括公告发布日前一个月或公告发布当月）或劳动合同关系证明（法定代表人可不提供社保证明及劳动合同关系证明）。</w:t>
      </w:r>
    </w:p>
    <w:p>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二、业绩要求：</w:t>
      </w:r>
    </w:p>
    <w:p>
      <w:pPr>
        <w:adjustRightInd w:val="0"/>
        <w:spacing w:line="360" w:lineRule="auto"/>
        <w:ind w:firstLine="420" w:firstLineChars="200"/>
        <w:rPr>
          <w:rFonts w:ascii="宋体" w:hAnsi="宋体"/>
          <w:sz w:val="21"/>
          <w:szCs w:val="21"/>
        </w:rPr>
      </w:pPr>
      <w:r>
        <w:rPr>
          <w:rFonts w:hint="eastAsia" w:ascii="宋体" w:hAnsi="宋体"/>
          <w:sz w:val="21"/>
          <w:szCs w:val="21"/>
        </w:rPr>
        <w:t>见采购需求一览表</w:t>
      </w:r>
    </w:p>
    <w:p>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（1）类似工程是指与招标项目在结构形式、使用功能、建设规模相同或相近的项目；</w:t>
      </w:r>
    </w:p>
    <w:p>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（2）业绩认定时间以合同签订时间为准，若合同无签署日期，且无其他可以证明合同签署日期的文件，则该项业绩无效。若合同上存在多个签署日期的，以最后一方签署的时间为准；</w:t>
      </w:r>
    </w:p>
    <w:p>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（3）工程业绩电压等级序列：1000（直流±1100、直流±800）千伏、750（直流±660）千伏、500（直流±500、直流±400）千伏、330（220、直流±320）千伏、110（66）千伏、35千伏、10千伏等；</w:t>
      </w:r>
    </w:p>
    <w:p>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（4）转包、违法分包业绩视为无效业绩；</w:t>
      </w:r>
    </w:p>
    <w:p>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（5）收购其他企业，被收购企业注销的，收购方可承继被收购方的业绩; 重组改制中涉及企业合并、分立、名称变更的，须提供充足的证明材料，方可承继原企业的业绩；</w:t>
      </w:r>
    </w:p>
    <w:p>
      <w:pPr>
        <w:adjustRightInd w:val="0"/>
        <w:snapToGrid w:val="0"/>
        <w:spacing w:line="360" w:lineRule="auto"/>
        <w:ind w:firstLine="420"/>
        <w:rPr>
          <w:rFonts w:asciiTheme="minorEastAsia" w:hAnsiTheme="minorEastAsia" w:eastAsiaTheme="minorEastAsia"/>
          <w:sz w:val="21"/>
          <w:szCs w:val="21"/>
          <w:highlight w:val="yellow"/>
        </w:rPr>
      </w:pPr>
      <w:r>
        <w:rPr>
          <w:rFonts w:hint="eastAsia" w:asciiTheme="minorEastAsia" w:hAnsiTheme="minorEastAsia" w:eastAsiaTheme="minorEastAsia"/>
          <w:sz w:val="21"/>
          <w:szCs w:val="21"/>
        </w:rPr>
        <w:t>（6）</w:t>
      </w:r>
      <w:bookmarkStart w:id="0" w:name="_GoBack"/>
      <w:r>
        <w:rPr>
          <w:rFonts w:hint="eastAsia" w:asciiTheme="minorEastAsia" w:hAnsiTheme="minorEastAsia" w:eastAsiaTheme="minorEastAsia"/>
          <w:sz w:val="21"/>
          <w:szCs w:val="21"/>
        </w:rPr>
        <w:t>近3年指：</w:t>
      </w:r>
      <w:r>
        <w:rPr>
          <w:rFonts w:hint="eastAsia" w:asciiTheme="minorEastAsia" w:hAnsiTheme="minorEastAsia" w:eastAsiaTheme="minorEastAsia"/>
          <w:sz w:val="21"/>
          <w:szCs w:val="21"/>
          <w:highlight w:val="yellow"/>
        </w:rPr>
        <w:t>202</w:t>
      </w:r>
      <w:r>
        <w:rPr>
          <w:rFonts w:hint="eastAsia" w:asciiTheme="minorEastAsia" w:hAnsiTheme="minorEastAsia" w:eastAsiaTheme="minorEastAsia"/>
          <w:sz w:val="21"/>
          <w:szCs w:val="21"/>
          <w:highlight w:val="yellow"/>
          <w:lang w:val="en-US" w:eastAsia="zh-CN"/>
        </w:rPr>
        <w:t>1</w:t>
      </w:r>
      <w:r>
        <w:rPr>
          <w:rFonts w:hint="eastAsia" w:asciiTheme="minorEastAsia" w:hAnsiTheme="minorEastAsia" w:eastAsiaTheme="minorEastAsia"/>
          <w:sz w:val="21"/>
          <w:szCs w:val="21"/>
          <w:highlight w:val="yellow"/>
        </w:rPr>
        <w:t>年1月1日至202</w:t>
      </w:r>
      <w:r>
        <w:rPr>
          <w:rFonts w:hint="eastAsia" w:asciiTheme="minorEastAsia" w:hAnsiTheme="minorEastAsia" w:eastAsiaTheme="minorEastAsia"/>
          <w:sz w:val="21"/>
          <w:szCs w:val="21"/>
          <w:highlight w:val="yellow"/>
          <w:lang w:val="en-US" w:eastAsia="zh-CN"/>
        </w:rPr>
        <w:t>4</w:t>
      </w:r>
      <w:r>
        <w:rPr>
          <w:rFonts w:hint="eastAsia" w:asciiTheme="minorEastAsia" w:hAnsiTheme="minorEastAsia" w:eastAsiaTheme="minorEastAsia"/>
          <w:sz w:val="21"/>
          <w:szCs w:val="21"/>
          <w:highlight w:val="yellow"/>
        </w:rPr>
        <w:t>年</w:t>
      </w:r>
      <w:r>
        <w:rPr>
          <w:rFonts w:hint="eastAsia" w:asciiTheme="minorEastAsia" w:hAnsiTheme="minorEastAsia" w:eastAsiaTheme="minorEastAsia"/>
          <w:sz w:val="21"/>
          <w:szCs w:val="21"/>
          <w:highlight w:val="yellow"/>
          <w:lang w:val="en-US" w:eastAsia="zh-CN"/>
        </w:rPr>
        <w:t>02</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29</w:t>
      </w:r>
      <w:r>
        <w:rPr>
          <w:rFonts w:hint="eastAsia" w:asciiTheme="minorEastAsia" w:hAnsiTheme="minorEastAsia" w:eastAsiaTheme="minorEastAsia"/>
          <w:sz w:val="21"/>
          <w:szCs w:val="21"/>
          <w:highlight w:val="yellow"/>
        </w:rPr>
        <w:t>日</w:t>
      </w:r>
      <w:r>
        <w:rPr>
          <w:rFonts w:hint="eastAsia" w:asciiTheme="minorEastAsia" w:hAnsiTheme="minorEastAsia" w:eastAsiaTheme="minorEastAsia"/>
          <w:sz w:val="21"/>
          <w:szCs w:val="21"/>
        </w:rPr>
        <w:t>；近5年指：</w:t>
      </w:r>
      <w:r>
        <w:rPr>
          <w:rFonts w:hint="eastAsia" w:asciiTheme="minorEastAsia" w:hAnsiTheme="minorEastAsia" w:eastAsiaTheme="minorEastAsia"/>
          <w:sz w:val="21"/>
          <w:szCs w:val="21"/>
          <w:highlight w:val="yellow"/>
        </w:rPr>
        <w:t>201</w:t>
      </w:r>
      <w:r>
        <w:rPr>
          <w:rFonts w:hint="eastAsia" w:asciiTheme="minorEastAsia" w:hAnsiTheme="minorEastAsia" w:eastAsiaTheme="minorEastAsia"/>
          <w:sz w:val="21"/>
          <w:szCs w:val="21"/>
          <w:highlight w:val="yellow"/>
          <w:lang w:val="en-US" w:eastAsia="zh-CN"/>
        </w:rPr>
        <w:t>9</w:t>
      </w:r>
      <w:r>
        <w:rPr>
          <w:rFonts w:hint="eastAsia" w:asciiTheme="minorEastAsia" w:hAnsiTheme="minorEastAsia" w:eastAsiaTheme="minorEastAsia"/>
          <w:sz w:val="21"/>
          <w:szCs w:val="21"/>
          <w:highlight w:val="yellow"/>
        </w:rPr>
        <w:t>年1月1日至202</w:t>
      </w:r>
      <w:r>
        <w:rPr>
          <w:rFonts w:hint="eastAsia" w:asciiTheme="minorEastAsia" w:hAnsiTheme="minorEastAsia" w:eastAsiaTheme="minorEastAsia"/>
          <w:sz w:val="21"/>
          <w:szCs w:val="21"/>
          <w:highlight w:val="yellow"/>
          <w:lang w:val="en-US" w:eastAsia="zh-CN"/>
        </w:rPr>
        <w:t>4</w:t>
      </w:r>
      <w:r>
        <w:rPr>
          <w:rFonts w:hint="eastAsia" w:asciiTheme="minorEastAsia" w:hAnsiTheme="minorEastAsia" w:eastAsiaTheme="minorEastAsia"/>
          <w:sz w:val="21"/>
          <w:szCs w:val="21"/>
          <w:highlight w:val="yellow"/>
        </w:rPr>
        <w:t>年</w:t>
      </w:r>
      <w:r>
        <w:rPr>
          <w:rFonts w:hint="eastAsia" w:asciiTheme="minorEastAsia" w:hAnsiTheme="minorEastAsia" w:eastAsiaTheme="minorEastAsia"/>
          <w:sz w:val="21"/>
          <w:szCs w:val="21"/>
          <w:highlight w:val="yellow"/>
          <w:lang w:val="en-US" w:eastAsia="zh-CN"/>
        </w:rPr>
        <w:t>02</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29</w:t>
      </w:r>
      <w:r>
        <w:rPr>
          <w:rFonts w:hint="eastAsia" w:asciiTheme="minorEastAsia" w:hAnsiTheme="minorEastAsia" w:eastAsiaTheme="minorEastAsia"/>
          <w:sz w:val="21"/>
          <w:szCs w:val="21"/>
          <w:highlight w:val="yellow"/>
        </w:rPr>
        <w:t>日</w:t>
      </w:r>
      <w:r>
        <w:rPr>
          <w:rFonts w:hint="eastAsia" w:asciiTheme="minorEastAsia" w:hAnsiTheme="minorEastAsia" w:eastAsiaTheme="minorEastAsia"/>
          <w:sz w:val="21"/>
          <w:szCs w:val="21"/>
        </w:rPr>
        <w:t>；</w:t>
      </w:r>
    </w:p>
    <w:p>
      <w:pPr>
        <w:pStyle w:val="6"/>
        <w:adjustRightInd w:val="0"/>
        <w:spacing w:line="360" w:lineRule="auto"/>
        <w:rPr>
          <w:rFonts w:ascii="宋体" w:hAnsi="宋体"/>
          <w:szCs w:val="21"/>
        </w:rPr>
      </w:pPr>
      <w:r>
        <w:rPr>
          <w:rFonts w:hint="eastAsia" w:ascii="宋体" w:hAnsi="宋体"/>
          <w:szCs w:val="21"/>
        </w:rPr>
        <w:t>（7）业绩上传要求：</w:t>
      </w:r>
    </w:p>
    <w:p>
      <w:pPr>
        <w:pStyle w:val="6"/>
        <w:adjustRightInd w:val="0"/>
        <w:spacing w:line="360" w:lineRule="auto"/>
        <w:rPr>
          <w:rFonts w:ascii="宋体" w:hAnsi="宋体"/>
          <w:szCs w:val="21"/>
        </w:rPr>
      </w:pPr>
      <w:r>
        <w:rPr>
          <w:rFonts w:hint="eastAsia" w:ascii="宋体" w:hAnsi="宋体"/>
          <w:szCs w:val="21"/>
        </w:rPr>
        <w:t>所有业绩证明材料原件应在</w:t>
      </w:r>
      <w:r>
        <w:rPr>
          <w:rFonts w:hint="eastAsia" w:cs="Times New Roman" w:asciiTheme="minorEastAsia" w:hAnsiTheme="minorEastAsia" w:eastAsiaTheme="minorEastAsia"/>
          <w:kern w:val="0"/>
          <w:sz w:val="21"/>
          <w:szCs w:val="21"/>
          <w:highlight w:val="yellow"/>
          <w:lang w:val="en-US" w:eastAsia="zh-CN" w:bidi="ar-SA"/>
        </w:rPr>
        <w:t>2024年02月29日</w:t>
      </w:r>
      <w:r>
        <w:rPr>
          <w:rFonts w:hint="eastAsia" w:asciiTheme="minorEastAsia" w:hAnsiTheme="minorEastAsia" w:eastAsiaTheme="minorEastAsia"/>
          <w:szCs w:val="21"/>
        </w:rPr>
        <w:t>及之</w:t>
      </w:r>
      <w:r>
        <w:rPr>
          <w:rFonts w:hint="eastAsia" w:ascii="宋体" w:hAnsi="宋体"/>
          <w:szCs w:val="21"/>
        </w:rPr>
        <w:t>前生成，并提供用户信息备查，必要时要求应答人提供原件核实。</w:t>
      </w:r>
      <w:bookmarkEnd w:id="0"/>
    </w:p>
    <w:p>
      <w:pPr>
        <w:pStyle w:val="6"/>
        <w:adjustRightInd w:val="0"/>
        <w:spacing w:line="360" w:lineRule="auto"/>
        <w:rPr>
          <w:rFonts w:ascii="宋体" w:hAnsi="宋体"/>
          <w:szCs w:val="21"/>
        </w:rPr>
      </w:pPr>
      <w:r>
        <w:rPr>
          <w:rFonts w:hint="eastAsia" w:ascii="宋体" w:hAnsi="宋体"/>
          <w:szCs w:val="21"/>
        </w:rPr>
        <w:t>1.提供的项目业绩应与应答人所投标包在本批采购需求一览表中“企业业绩要求”列要求的业绩</w:t>
      </w:r>
      <w:r>
        <w:rPr>
          <w:rFonts w:hint="eastAsia" w:ascii="宋体" w:hAnsi="宋体"/>
          <w:b/>
          <w:szCs w:val="21"/>
        </w:rPr>
        <w:t>类型一致</w:t>
      </w:r>
      <w:r>
        <w:rPr>
          <w:rFonts w:hint="eastAsia" w:ascii="宋体" w:hAnsi="宋体"/>
          <w:szCs w:val="21"/>
        </w:rPr>
        <w:t>。</w:t>
      </w:r>
    </w:p>
    <w:p>
      <w:pPr>
        <w:pStyle w:val="6"/>
        <w:adjustRightInd w:val="0"/>
        <w:spacing w:line="360" w:lineRule="auto"/>
        <w:rPr>
          <w:rFonts w:ascii="宋体" w:hAnsi="宋体"/>
          <w:szCs w:val="21"/>
        </w:rPr>
      </w:pPr>
      <w:r>
        <w:rPr>
          <w:rFonts w:hint="eastAsia" w:ascii="宋体" w:hAnsi="宋体"/>
          <w:szCs w:val="21"/>
        </w:rPr>
        <w:t>2.提供的项目业绩均应出具相关</w:t>
      </w:r>
      <w:r>
        <w:rPr>
          <w:rFonts w:hint="eastAsia" w:ascii="宋体" w:hAnsi="宋体"/>
          <w:b/>
          <w:szCs w:val="21"/>
        </w:rPr>
        <w:t>合同原件</w:t>
      </w:r>
      <w:r>
        <w:rPr>
          <w:rFonts w:hint="eastAsia" w:ascii="宋体" w:hAnsi="宋体"/>
          <w:szCs w:val="21"/>
        </w:rPr>
        <w:t>的关键部分（包括封面、合同协议书、签署页、关键条款等）和</w:t>
      </w:r>
      <w:r>
        <w:rPr>
          <w:rFonts w:hint="eastAsia" w:ascii="宋体" w:hAnsi="宋体"/>
          <w:b/>
          <w:szCs w:val="21"/>
        </w:rPr>
        <w:t>发票原件影印件</w:t>
      </w:r>
      <w:r>
        <w:rPr>
          <w:rFonts w:hint="eastAsia" w:ascii="宋体" w:hAnsi="宋体"/>
          <w:szCs w:val="21"/>
        </w:rPr>
        <w:t>（至少提供预付款、进度款、结算款三种发票中的一种，</w:t>
      </w:r>
      <w:r>
        <w:rPr>
          <w:rFonts w:ascii="Times New Roman" w:hAnsi="Times New Roman"/>
          <w:szCs w:val="21"/>
        </w:rPr>
        <w:t>发票扫描件需清晰可辨，发票二维码区不得遮挡、涂抹，如因扫描件模糊无法查验真伪的，该业绩可能不被认可</w:t>
      </w:r>
      <w:r>
        <w:rPr>
          <w:rFonts w:hint="eastAsia" w:ascii="宋体" w:hAnsi="宋体"/>
          <w:szCs w:val="21"/>
        </w:rPr>
        <w:t>）作为支撑材料（</w:t>
      </w:r>
      <w:r>
        <w:rPr>
          <w:rFonts w:hint="eastAsia" w:ascii="宋体" w:hAnsi="宋体"/>
          <w:b/>
          <w:bCs/>
          <w:szCs w:val="21"/>
        </w:rPr>
        <w:t>特别提醒：投标人可在国家税务总局全国增值税发票查验平台查询投标发票状态</w:t>
      </w:r>
      <w:r>
        <w:rPr>
          <w:rFonts w:hint="eastAsia" w:ascii="宋体" w:hAnsi="宋体"/>
          <w:szCs w:val="21"/>
        </w:rPr>
        <w:t>）；</w:t>
      </w:r>
    </w:p>
    <w:p>
      <w:pPr>
        <w:pStyle w:val="6"/>
        <w:adjustRightInd w:val="0"/>
        <w:spacing w:line="360" w:lineRule="auto"/>
        <w:rPr>
          <w:rFonts w:ascii="宋体" w:hAnsi="宋体"/>
          <w:szCs w:val="21"/>
        </w:rPr>
      </w:pPr>
      <w:r>
        <w:rPr>
          <w:rFonts w:hint="eastAsia" w:ascii="宋体" w:hAnsi="宋体"/>
          <w:szCs w:val="21"/>
        </w:rPr>
        <w:t>（8）框架协议项目业绩按框架协议合同数量计算。</w:t>
      </w:r>
    </w:p>
    <w:p>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三、主要人员要求：</w:t>
      </w:r>
    </w:p>
    <w:p>
      <w:pPr>
        <w:pStyle w:val="6"/>
        <w:adjustRightInd w:val="0"/>
        <w:spacing w:line="360" w:lineRule="auto"/>
        <w:rPr>
          <w:rFonts w:ascii="宋体" w:hAnsi="宋体"/>
          <w:b/>
          <w:szCs w:val="21"/>
        </w:rPr>
      </w:pPr>
      <w:r>
        <w:rPr>
          <w:rFonts w:hint="eastAsia" w:ascii="宋体" w:hAnsi="宋体"/>
          <w:szCs w:val="21"/>
        </w:rPr>
        <w:t>见采购需求一览表，上传要求详见下表。</w:t>
      </w:r>
      <w:r>
        <w:rPr>
          <w:rFonts w:hint="eastAsia" w:ascii="宋体" w:hAnsi="宋体"/>
          <w:b/>
          <w:szCs w:val="21"/>
        </w:rPr>
        <w:t>提示：所有标包均需响应项目负责人（或项目经理）。</w:t>
      </w:r>
    </w:p>
    <w:tbl>
      <w:tblPr>
        <w:tblStyle w:val="4"/>
        <w:tblW w:w="8522" w:type="dxa"/>
        <w:tblInd w:w="0" w:type="dxa"/>
        <w:tblLayout w:type="fixed"/>
        <w:tblCellMar>
          <w:top w:w="0" w:type="dxa"/>
          <w:left w:w="108" w:type="dxa"/>
          <w:bottom w:w="0" w:type="dxa"/>
          <w:right w:w="108" w:type="dxa"/>
        </w:tblCellMar>
      </w:tblPr>
      <w:tblGrid>
        <w:gridCol w:w="1908"/>
        <w:gridCol w:w="1366"/>
        <w:gridCol w:w="1629"/>
        <w:gridCol w:w="1810"/>
        <w:gridCol w:w="1809"/>
      </w:tblGrid>
      <w:tr>
        <w:tblPrEx>
          <w:tblCellMar>
            <w:top w:w="0" w:type="dxa"/>
            <w:left w:w="108" w:type="dxa"/>
            <w:bottom w:w="0" w:type="dxa"/>
            <w:right w:w="108" w:type="dxa"/>
          </w:tblCellMar>
        </w:tblPrEx>
        <w:trPr>
          <w:trHeight w:val="1040" w:hRule="atLeast"/>
          <w:tblHead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rPr>
            </w:pPr>
            <w:r>
              <w:rPr>
                <w:rFonts w:hint="eastAsia" w:ascii="宋体" w:hAnsi="宋体" w:cs="宋体"/>
                <w:b/>
                <w:bCs/>
                <w:color w:val="000000"/>
              </w:rPr>
              <w:t>主要人员证明材料</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rPr>
            </w:pPr>
            <w:r>
              <w:rPr>
                <w:rFonts w:hint="eastAsia" w:ascii="宋体" w:hAnsi="宋体" w:cs="宋体"/>
                <w:b/>
                <w:bCs/>
                <w:color w:val="000000"/>
              </w:rPr>
              <w:t>项目经理（适用于施工类分标）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rPr>
            </w:pPr>
            <w:r>
              <w:rPr>
                <w:rFonts w:hint="eastAsia" w:ascii="宋体" w:hAnsi="宋体" w:cs="宋体"/>
                <w:b/>
                <w:bCs/>
                <w:color w:val="000000"/>
              </w:rPr>
              <w:t>项目负责人（适用于设计类、可研设计一体化类、监理类、服务类分标）</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bCs/>
                <w:color w:val="000000"/>
              </w:rPr>
            </w:pPr>
            <w:r>
              <w:rPr>
                <w:rFonts w:hint="eastAsia" w:ascii="宋体" w:hAnsi="宋体" w:cs="宋体"/>
                <w:b/>
                <w:bCs/>
                <w:color w:val="000000"/>
              </w:rPr>
              <w:t>公告采购需求一览表“主要人员要求”列要求的其他人员（如有，适用于所有分标）</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color w:val="000000"/>
              </w:rPr>
            </w:pPr>
            <w:r>
              <w:rPr>
                <w:rFonts w:hint="eastAsia" w:ascii="宋体" w:hAnsi="宋体" w:cs="宋体"/>
                <w:b/>
                <w:color w:val="000000"/>
              </w:rPr>
              <w:t>招标文件中要求的其他人员（如有）</w:t>
            </w:r>
          </w:p>
        </w:tc>
      </w:tr>
      <w:tr>
        <w:tblPrEx>
          <w:tblCellMar>
            <w:top w:w="0" w:type="dxa"/>
            <w:left w:w="108" w:type="dxa"/>
            <w:bottom w:w="0" w:type="dxa"/>
            <w:right w:w="108" w:type="dxa"/>
          </w:tblCellMar>
        </w:tblPrEx>
        <w:trPr>
          <w:trHeight w:val="48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项目经理安全生产考核证书（安全B证）</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w:t>
            </w:r>
          </w:p>
        </w:tc>
      </w:tr>
      <w:tr>
        <w:tblPrEx>
          <w:tblCellMar>
            <w:top w:w="0" w:type="dxa"/>
            <w:left w:w="108" w:type="dxa"/>
            <w:bottom w:w="0" w:type="dxa"/>
            <w:right w:w="108" w:type="dxa"/>
          </w:tblCellMar>
        </w:tblPrEx>
        <w:trPr>
          <w:trHeight w:val="72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资格证书（按公告采购需求一览表“主要人员要求”列提供）</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√（如有要求）</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√（如有要求）</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√（如有要求）</w:t>
            </w:r>
          </w:p>
        </w:tc>
      </w:tr>
      <w:tr>
        <w:tblPrEx>
          <w:tblCellMar>
            <w:top w:w="0" w:type="dxa"/>
            <w:left w:w="108" w:type="dxa"/>
            <w:bottom w:w="0" w:type="dxa"/>
            <w:right w:w="108" w:type="dxa"/>
          </w:tblCellMar>
        </w:tblPrEx>
        <w:trPr>
          <w:trHeight w:val="27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职称证</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√（如有要求）</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√（如有要求）</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√（如有要求）</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√（如有要求）</w:t>
            </w:r>
          </w:p>
        </w:tc>
      </w:tr>
      <w:tr>
        <w:tblPrEx>
          <w:tblCellMar>
            <w:top w:w="0" w:type="dxa"/>
            <w:left w:w="108" w:type="dxa"/>
            <w:bottom w:w="0" w:type="dxa"/>
            <w:right w:w="108" w:type="dxa"/>
          </w:tblCellMar>
        </w:tblPrEx>
        <w:trPr>
          <w:trHeight w:val="27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学历证明</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√（如有要求）</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√（如有要求）</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√（如有要求）</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√（如有要求）</w:t>
            </w:r>
          </w:p>
        </w:tc>
      </w:tr>
      <w:tr>
        <w:tblPrEx>
          <w:tblCellMar>
            <w:top w:w="0" w:type="dxa"/>
            <w:left w:w="108" w:type="dxa"/>
            <w:bottom w:w="0" w:type="dxa"/>
            <w:right w:w="108" w:type="dxa"/>
          </w:tblCellMar>
        </w:tblPrEx>
        <w:trPr>
          <w:trHeight w:val="48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社保证明（缴纳时间至少包括公告发布日前一个月或公告发布当月）或劳动合同关系证明</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rPr>
            </w:pPr>
            <w:r>
              <w:rPr>
                <w:rFonts w:hint="eastAsia" w:ascii="宋体" w:hAnsi="宋体" w:cs="宋体"/>
                <w:color w:val="000000"/>
              </w:rPr>
              <w:t>√</w:t>
            </w:r>
          </w:p>
        </w:tc>
        <w:tc>
          <w:tcPr>
            <w:tcW w:w="181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r>
              <w:rPr>
                <w:rFonts w:hint="eastAsia" w:ascii="宋体" w:hAnsi="宋体" w:cs="宋体"/>
                <w:color w:val="000000"/>
              </w:rPr>
              <w:t>√</w:t>
            </w:r>
          </w:p>
        </w:tc>
      </w:tr>
    </w:tbl>
    <w:p>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四、财务要求</w:t>
      </w:r>
    </w:p>
    <w:p>
      <w:pPr>
        <w:adjustRightInd w:val="0"/>
        <w:spacing w:line="360" w:lineRule="auto"/>
        <w:ind w:firstLine="420" w:firstLineChars="200"/>
      </w:pPr>
      <w:r>
        <w:rPr>
          <w:rFonts w:hint="eastAsia" w:ascii="宋体" w:hAnsi="宋体" w:cs="宋体"/>
          <w:sz w:val="21"/>
          <w:szCs w:val="21"/>
        </w:rPr>
        <w:t>提供开标日前三个会计年度(2020年至2022年)</w:t>
      </w:r>
      <w:r>
        <w:rPr>
          <w:rFonts w:hint="eastAsia" w:ascii="宋体" w:hAnsi="宋体" w:cs="宋体"/>
          <w:bCs/>
          <w:color w:val="000000" w:themeColor="text1"/>
          <w:sz w:val="21"/>
          <w:szCs w:val="21"/>
          <w14:textFill>
            <w14:solidFill>
              <w14:schemeClr w14:val="tx1"/>
            </w14:solidFill>
          </w14:textFill>
        </w:rPr>
        <w:t>经有资质的会计师事务所或审计机构审计的</w:t>
      </w:r>
      <w:r>
        <w:rPr>
          <w:rFonts w:hint="eastAsia" w:asciiTheme="minorEastAsia" w:hAnsiTheme="minorEastAsia" w:eastAsiaTheme="minorEastAsia" w:cstheme="minorEastAsia"/>
          <w:sz w:val="21"/>
          <w:szCs w:val="21"/>
        </w:rPr>
        <w:t>财务审计报告</w:t>
      </w:r>
      <w:r>
        <w:rPr>
          <w:rFonts w:hint="eastAsia" w:ascii="宋体" w:hAnsi="宋体" w:cs="宋体"/>
          <w:bCs/>
          <w:color w:val="000000" w:themeColor="text1"/>
          <w:sz w:val="21"/>
          <w:szCs w:val="21"/>
          <w14:textFill>
            <w14:solidFill>
              <w14:schemeClr w14:val="tx1"/>
            </w14:solidFill>
          </w14:textFill>
        </w:rPr>
        <w:t>（</w:t>
      </w:r>
      <w:r>
        <w:rPr>
          <w:rFonts w:hint="eastAsia" w:ascii="宋体" w:hAnsi="宋体" w:cs="宋体"/>
          <w:sz w:val="21"/>
          <w:szCs w:val="21"/>
        </w:rPr>
        <w:t>包括但不限于签署页、资产负债表、现金流量表、利润表和财务情况说明书等</w:t>
      </w:r>
      <w:r>
        <w:rPr>
          <w:rFonts w:hint="eastAsia" w:ascii="宋体" w:hAnsi="宋体" w:cs="宋体"/>
          <w:bCs/>
          <w:color w:val="000000" w:themeColor="text1"/>
          <w:sz w:val="21"/>
          <w:szCs w:val="21"/>
          <w14:textFill>
            <w14:solidFill>
              <w14:schemeClr w14:val="tx1"/>
            </w14:solidFill>
          </w14:textFill>
        </w:rPr>
        <w:t>财务会计报表），如应答人为</w:t>
      </w:r>
      <w:r>
        <w:rPr>
          <w:rFonts w:hint="eastAsia" w:asciiTheme="minorEastAsia" w:hAnsiTheme="minorEastAsia" w:eastAsiaTheme="minorEastAsia" w:cstheme="minorEastAsia"/>
          <w:sz w:val="21"/>
          <w:szCs w:val="21"/>
        </w:rPr>
        <w:t>财政拨款的科研事业单位、高等院校等非营利性单位及律师事务所可不提供（需提供事业单位法人证影印件等支撑证明材料）</w:t>
      </w:r>
      <w:r>
        <w:rPr>
          <w:rFonts w:hint="eastAsia" w:ascii="宋体" w:hAnsi="宋体" w:cs="宋体"/>
          <w:sz w:val="21"/>
          <w:szCs w:val="21"/>
        </w:rPr>
        <w:t>。公司成立时间不足三年的，需出具成立年度</w:t>
      </w:r>
      <w:r>
        <w:rPr>
          <w:rFonts w:hint="eastAsia" w:ascii="宋体" w:hAnsi="宋体" w:cs="宋体"/>
          <w:b/>
          <w:sz w:val="21"/>
          <w:szCs w:val="21"/>
        </w:rPr>
        <w:t>（7月1日及以后成立的从成立年度次年起开始提供）</w:t>
      </w:r>
      <w:r>
        <w:rPr>
          <w:rFonts w:hint="eastAsia" w:ascii="宋体" w:hAnsi="宋体" w:cs="宋体"/>
          <w:sz w:val="21"/>
          <w:szCs w:val="21"/>
        </w:rPr>
        <w:t>至2022年财务审计报告且不得出现连续亏损。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kNjllODA2M2UzYTUxM2I4YjMxY2QzODk2MDFlMGUifQ=="/>
  </w:docVars>
  <w:rsids>
    <w:rsidRoot w:val="005815D0"/>
    <w:rsid w:val="005815D0"/>
    <w:rsid w:val="00FF2D21"/>
    <w:rsid w:val="04C277A1"/>
    <w:rsid w:val="059B0EF5"/>
    <w:rsid w:val="091845FF"/>
    <w:rsid w:val="094E147C"/>
    <w:rsid w:val="09F01E63"/>
    <w:rsid w:val="0C4D0B3C"/>
    <w:rsid w:val="0D6F63E1"/>
    <w:rsid w:val="119651AF"/>
    <w:rsid w:val="13170181"/>
    <w:rsid w:val="1B8324EE"/>
    <w:rsid w:val="1DC12531"/>
    <w:rsid w:val="2129628E"/>
    <w:rsid w:val="25147A1C"/>
    <w:rsid w:val="28961766"/>
    <w:rsid w:val="37E676A9"/>
    <w:rsid w:val="393C3EC2"/>
    <w:rsid w:val="3A146EA7"/>
    <w:rsid w:val="3BAB12CA"/>
    <w:rsid w:val="3C20149A"/>
    <w:rsid w:val="3CF116AB"/>
    <w:rsid w:val="3E414E27"/>
    <w:rsid w:val="415A7149"/>
    <w:rsid w:val="43243339"/>
    <w:rsid w:val="477063AC"/>
    <w:rsid w:val="49354A14"/>
    <w:rsid w:val="49D6492F"/>
    <w:rsid w:val="49F44EF8"/>
    <w:rsid w:val="4C5516AD"/>
    <w:rsid w:val="4C7D423B"/>
    <w:rsid w:val="4E3526AF"/>
    <w:rsid w:val="53022115"/>
    <w:rsid w:val="53E41AAF"/>
    <w:rsid w:val="551507B2"/>
    <w:rsid w:val="578C1C53"/>
    <w:rsid w:val="595E62B8"/>
    <w:rsid w:val="5B630F6E"/>
    <w:rsid w:val="5C673DD0"/>
    <w:rsid w:val="5DA25460"/>
    <w:rsid w:val="5E9E613C"/>
    <w:rsid w:val="5EDC76A6"/>
    <w:rsid w:val="5EF7234F"/>
    <w:rsid w:val="614F3216"/>
    <w:rsid w:val="6233731A"/>
    <w:rsid w:val="6274112E"/>
    <w:rsid w:val="62BD6BF2"/>
    <w:rsid w:val="645D165D"/>
    <w:rsid w:val="676D7267"/>
    <w:rsid w:val="6DDB6CC8"/>
    <w:rsid w:val="6EA82728"/>
    <w:rsid w:val="731549D2"/>
    <w:rsid w:val="75D30613"/>
    <w:rsid w:val="76A53569"/>
    <w:rsid w:val="77DE0E99"/>
    <w:rsid w:val="785F626A"/>
    <w:rsid w:val="7B230ACE"/>
    <w:rsid w:val="7E6A0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next w:val="1"/>
    <w:autoRedefine/>
    <w:qFormat/>
    <w:uiPriority w:val="1"/>
    <w:pPr>
      <w:widowControl w:val="0"/>
      <w:ind w:left="100"/>
    </w:pPr>
    <w:rPr>
      <w:rFonts w:ascii="宋体" w:hAnsi="宋体"/>
      <w:sz w:val="21"/>
      <w:szCs w:val="21"/>
      <w:lang w:eastAsia="en-US"/>
    </w:rPr>
  </w:style>
  <w:style w:type="paragraph" w:styleId="3">
    <w:name w:val="annotation text"/>
    <w:basedOn w:val="1"/>
    <w:autoRedefine/>
    <w:qFormat/>
    <w:uiPriority w:val="0"/>
  </w:style>
  <w:style w:type="paragraph" w:styleId="6">
    <w:name w:val="List Paragraph"/>
    <w:basedOn w:val="1"/>
    <w:qFormat/>
    <w:uiPriority w:val="34"/>
    <w:pPr>
      <w:widowControl w:val="0"/>
      <w:ind w:firstLine="420" w:firstLineChars="200"/>
      <w:jc w:val="both"/>
    </w:pPr>
    <w:rPr>
      <w:rFonts w:ascii="Calibri" w:hAnsi="Calibri"/>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263</Words>
  <Characters>1503</Characters>
  <Lines>12</Lines>
  <Paragraphs>3</Paragraphs>
  <TotalTime>12</TotalTime>
  <ScaleCrop>false</ScaleCrop>
  <LinksUpToDate>false</LinksUpToDate>
  <CharactersWithSpaces>1763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2023-04-30T04:23:00Z</dcterms:created>
  <dc:creator>朱昆</dc:creator>
  <cp:lastModifiedBy>Yヾ</cp:lastModifiedBy>
  <dcterms:modified xsi:type="dcterms:W3CDTF">2024-02-29T08:10:46Z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7C7310FB1AB94623A455F1CAD0AA021B_12</vt:lpwstr>
  </property>
</Properties>
</file>