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wordWrap/>
        <w:overflowPunct/>
        <w:topLinePunct w:val="0"/>
        <w:autoSpaceDE/>
        <w:autoSpaceDN/>
        <w:bidi w:val="0"/>
        <w:adjustRightInd w:val="0"/>
        <w:snapToGrid w:val="0"/>
        <w:spacing w:after="0" w:line="240" w:lineRule="auto"/>
        <w:jc w:val="center"/>
        <w:textAlignment w:val="auto"/>
        <w:rPr>
          <w:rFonts w:hint="eastAsia" w:ascii="黑体" w:eastAsia="黑体" w:cs="Times New Roman"/>
          <w:color w:val="auto"/>
          <w:sz w:val="28"/>
          <w:szCs w:val="28"/>
          <w:highlight w:val="none"/>
          <w:lang w:eastAsia="zh-CN"/>
        </w:rPr>
      </w:pPr>
      <w:bookmarkStart w:id="0" w:name="_Toc62222031"/>
      <w:bookmarkStart w:id="1" w:name="_Toc2259"/>
      <w:bookmarkStart w:id="2" w:name="_Toc62221763"/>
      <w:bookmarkStart w:id="3" w:name="_Toc23588"/>
      <w:bookmarkStart w:id="4" w:name="_Toc13670"/>
      <w:bookmarkStart w:id="5" w:name="_Toc1021"/>
      <w:bookmarkStart w:id="6" w:name="_Toc23924"/>
      <w:bookmarkStart w:id="7" w:name="_Toc62549138"/>
      <w:bookmarkStart w:id="8" w:name="_Toc1951"/>
      <w:bookmarkStart w:id="9" w:name="_Toc22989"/>
      <w:bookmarkStart w:id="10" w:name="_Toc13168"/>
      <w:bookmarkStart w:id="11" w:name="_Toc62549194"/>
      <w:bookmarkStart w:id="12" w:name="_Toc24381"/>
      <w:bookmarkStart w:id="13" w:name="_Toc11776"/>
      <w:bookmarkStart w:id="14" w:name="_Toc62222579"/>
      <w:bookmarkStart w:id="15" w:name="_Toc21906"/>
      <w:bookmarkStart w:id="16" w:name="_Toc18273"/>
      <w:bookmarkStart w:id="17" w:name="_Toc26150"/>
      <w:bookmarkStart w:id="18" w:name="_Toc1501"/>
      <w:bookmarkStart w:id="19" w:name="_Toc2457"/>
      <w:bookmarkStart w:id="20" w:name="_Toc1424"/>
      <w:bookmarkStart w:id="21" w:name="_Toc9224"/>
      <w:bookmarkStart w:id="22" w:name="_Toc11946"/>
      <w:bookmarkStart w:id="23" w:name="_Toc29981"/>
      <w:bookmarkStart w:id="24" w:name="_Toc62221472"/>
      <w:bookmarkStart w:id="25" w:name="_Toc3078"/>
      <w:bookmarkStart w:id="26" w:name="_Toc22876"/>
      <w:r>
        <w:rPr>
          <w:rFonts w:hint="eastAsia" w:ascii="黑体" w:eastAsia="黑体" w:cs="Times New Roman"/>
          <w:color w:val="auto"/>
          <w:sz w:val="28"/>
          <w:szCs w:val="28"/>
          <w:highlight w:val="none"/>
          <w:lang w:eastAsia="zh-CN"/>
        </w:rPr>
        <w:t>国网湖南电力2025年子公司丶战新产业丶原集体企业第三次物资公开招标采购</w:t>
      </w:r>
    </w:p>
    <w:p>
      <w:pPr>
        <w:keepNext w:val="0"/>
        <w:keepLines w:val="0"/>
        <w:pageBreakBefore w:val="0"/>
        <w:widowControl/>
        <w:kinsoku/>
        <w:wordWrap/>
        <w:overflowPunct/>
        <w:topLinePunct w:val="0"/>
        <w:autoSpaceDE/>
        <w:autoSpaceDN/>
        <w:bidi w:val="0"/>
        <w:adjustRightInd w:val="0"/>
        <w:snapToGrid w:val="0"/>
        <w:spacing w:after="0" w:line="240" w:lineRule="auto"/>
        <w:jc w:val="center"/>
        <w:textAlignment w:val="auto"/>
        <w:rPr>
          <w:rFonts w:hint="eastAsia" w:ascii="黑体" w:eastAsia="黑体" w:cs="Times New Roman"/>
          <w:color w:val="auto"/>
          <w:sz w:val="28"/>
          <w:szCs w:val="28"/>
          <w:highlight w:val="none"/>
        </w:rPr>
      </w:pPr>
      <w:bookmarkStart w:id="27" w:name="_Toc3331"/>
      <w:bookmarkStart w:id="28" w:name="_Toc21954"/>
      <w:bookmarkStart w:id="29" w:name="_Toc6951"/>
      <w:bookmarkStart w:id="30" w:name="_Toc1540"/>
      <w:bookmarkStart w:id="31" w:name="_Toc1901"/>
      <w:bookmarkStart w:id="32" w:name="_Toc7053"/>
      <w:bookmarkStart w:id="33" w:name="_Toc3173"/>
      <w:bookmarkStart w:id="34" w:name="_Toc7560"/>
      <w:bookmarkStart w:id="35" w:name="_Toc24661"/>
      <w:bookmarkStart w:id="36" w:name="_Toc6743"/>
      <w:bookmarkStart w:id="37" w:name="_Toc7563"/>
      <w:bookmarkStart w:id="38" w:name="_Toc12970"/>
      <w:bookmarkStart w:id="39" w:name="_Toc7870"/>
      <w:bookmarkStart w:id="40" w:name="_Toc25789"/>
      <w:bookmarkStart w:id="41" w:name="_Toc18789"/>
      <w:bookmarkStart w:id="42" w:name="_Toc24199"/>
      <w:bookmarkStart w:id="43" w:name="_Toc18179"/>
      <w:bookmarkStart w:id="44" w:name="_Toc8584"/>
      <w:bookmarkStart w:id="45" w:name="_Toc30735"/>
      <w:bookmarkStart w:id="46" w:name="_Toc12766"/>
      <w:r>
        <w:rPr>
          <w:rFonts w:hint="eastAsia" w:ascii="黑体" w:eastAsia="黑体" w:cs="Times New Roman"/>
          <w:color w:val="auto"/>
          <w:sz w:val="28"/>
          <w:szCs w:val="28"/>
          <w:highlight w:val="none"/>
        </w:rPr>
        <w:t>招标公告</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pPr>
        <w:keepNext w:val="0"/>
        <w:keepLines w:val="0"/>
        <w:pageBreakBefore w:val="0"/>
        <w:widowControl/>
        <w:kinsoku/>
        <w:wordWrap/>
        <w:overflowPunct/>
        <w:topLinePunct w:val="0"/>
        <w:autoSpaceDE/>
        <w:autoSpaceDN/>
        <w:bidi w:val="0"/>
        <w:adjustRightInd w:val="0"/>
        <w:snapToGrid w:val="0"/>
        <w:spacing w:after="0" w:line="240" w:lineRule="auto"/>
        <w:jc w:val="center"/>
        <w:textAlignment w:val="auto"/>
        <w:rPr>
          <w:rFonts w:hint="default" w:ascii="黑体" w:eastAsia="黑体" w:cs="Times New Roman"/>
          <w:color w:val="FF0000"/>
          <w:sz w:val="28"/>
          <w:szCs w:val="28"/>
          <w:highlight w:val="none"/>
          <w:lang w:val="en-US" w:eastAsia="zh-CN"/>
        </w:rPr>
      </w:pPr>
      <w:r>
        <w:rPr>
          <w:rFonts w:hint="eastAsia" w:ascii="黑体" w:eastAsia="黑体" w:cs="Times New Roman"/>
          <w:color w:val="auto"/>
          <w:sz w:val="28"/>
          <w:szCs w:val="28"/>
          <w:highlight w:val="none"/>
        </w:rPr>
        <w:t>招标编号：</w:t>
      </w:r>
      <w:r>
        <w:rPr>
          <w:rFonts w:hint="eastAsia" w:ascii="黑体" w:eastAsia="黑体" w:cs="Times New Roman"/>
          <w:color w:val="FF0000"/>
          <w:sz w:val="28"/>
          <w:szCs w:val="28"/>
          <w:highlight w:val="none"/>
          <w:lang w:eastAsia="zh-CN"/>
        </w:rPr>
        <w:t>CY1625J00</w:t>
      </w:r>
      <w:r>
        <w:rPr>
          <w:rFonts w:hint="eastAsia" w:ascii="黑体" w:eastAsia="黑体" w:cs="Times New Roman"/>
          <w:color w:val="FF0000"/>
          <w:sz w:val="28"/>
          <w:szCs w:val="28"/>
          <w:highlight w:val="none"/>
          <w:lang w:val="en-US" w:eastAsia="zh-CN"/>
        </w:rPr>
        <w:t>3</w:t>
      </w:r>
    </w:p>
    <w:p>
      <w:pPr>
        <w:adjustRightInd w:val="0"/>
        <w:snapToGrid w:val="0"/>
        <w:spacing w:before="240" w:beforeLines="100" w:after="120" w:afterLines="50"/>
        <w:outlineLvl w:val="1"/>
        <w:rPr>
          <w:rFonts w:hint="default" w:ascii="黑体" w:hAnsi="Calibri" w:eastAsia="黑体"/>
          <w:b/>
          <w:color w:val="auto"/>
          <w:sz w:val="24"/>
          <w:szCs w:val="22"/>
          <w:highlight w:val="none"/>
        </w:rPr>
      </w:pPr>
      <w:r>
        <w:rPr>
          <w:rFonts w:hint="eastAsia" w:ascii="黑体" w:hAnsi="Calibri" w:eastAsia="黑体"/>
          <w:b/>
          <w:color w:val="auto"/>
          <w:sz w:val="24"/>
          <w:szCs w:val="22"/>
          <w:highlight w:val="none"/>
        </w:rPr>
        <w:t>1.招标条件</w:t>
      </w:r>
    </w:p>
    <w:p>
      <w:pPr>
        <w:tabs>
          <w:tab w:val="left" w:pos="1134"/>
        </w:tabs>
        <w:adjustRightInd w:val="0"/>
        <w:snapToGrid w:val="0"/>
        <w:spacing w:beforeLines="0" w:afterLines="0" w:line="400" w:lineRule="exact"/>
        <w:ind w:firstLine="420" w:firstLineChars="200"/>
        <w:rPr>
          <w:rFonts w:hint="eastAsia" w:ascii="宋体" w:hAnsi="宋体" w:eastAsia="宋体" w:cs="宋体"/>
          <w:color w:val="auto"/>
          <w:sz w:val="21"/>
          <w:szCs w:val="22"/>
          <w:highlight w:val="none"/>
        </w:rPr>
      </w:pPr>
      <w:r>
        <w:rPr>
          <w:rFonts w:hint="eastAsia" w:ascii="宋体" w:hAnsi="宋体" w:eastAsia="宋体" w:cs="宋体"/>
          <w:color w:val="auto"/>
          <w:sz w:val="21"/>
          <w:szCs w:val="22"/>
          <w:highlight w:val="none"/>
        </w:rPr>
        <w:t>项目建设单位为国网湖南省电力有限公司（以下简称“项目单位”），</w:t>
      </w:r>
      <w:r>
        <w:rPr>
          <w:rFonts w:hint="eastAsia" w:ascii="宋体" w:hAnsi="宋体" w:eastAsia="宋体" w:cs="宋体"/>
          <w:color w:val="auto"/>
          <w:sz w:val="21"/>
          <w:szCs w:val="22"/>
          <w:highlight w:val="none"/>
          <w:lang w:val="en-US" w:eastAsia="zh-CN"/>
        </w:rPr>
        <w:t>需求单位为</w:t>
      </w:r>
      <w:r>
        <w:rPr>
          <w:rFonts w:hint="eastAsia" w:ascii="宋体" w:hAnsi="宋体" w:eastAsia="宋体" w:cs="宋体"/>
          <w:color w:val="auto"/>
          <w:sz w:val="21"/>
          <w:szCs w:val="22"/>
          <w:highlight w:val="none"/>
        </w:rPr>
        <w:t>国网湖南省电力有限公司</w:t>
      </w:r>
      <w:r>
        <w:rPr>
          <w:rFonts w:hint="eastAsia" w:ascii="宋体" w:hAnsi="宋体" w:eastAsia="宋体" w:cs="宋体"/>
          <w:color w:val="auto"/>
          <w:sz w:val="21"/>
          <w:szCs w:val="22"/>
          <w:highlight w:val="none"/>
          <w:lang w:val="en-US" w:eastAsia="zh-CN"/>
        </w:rPr>
        <w:t>各子公司、战新产业、原集体企业，</w:t>
      </w:r>
      <w:r>
        <w:rPr>
          <w:rFonts w:hint="eastAsia" w:ascii="宋体" w:hAnsi="宋体" w:eastAsia="宋体" w:cs="宋体"/>
          <w:color w:val="auto"/>
          <w:sz w:val="21"/>
          <w:szCs w:val="22"/>
          <w:highlight w:val="none"/>
        </w:rPr>
        <w:t>项目资金来自企业自有资金，出资比例为100%，资金来源已落实，招标人为</w:t>
      </w:r>
      <w:r>
        <w:rPr>
          <w:rFonts w:hint="eastAsia" w:ascii="宋体" w:hAnsi="宋体" w:eastAsia="宋体" w:cs="宋体"/>
          <w:color w:val="auto"/>
          <w:highlight w:val="none"/>
        </w:rPr>
        <w:t>国网湖南省电力有限公司</w:t>
      </w:r>
      <w:r>
        <w:rPr>
          <w:rFonts w:hint="eastAsia" w:ascii="宋体" w:hAnsi="宋体" w:eastAsia="宋体" w:cs="宋体"/>
          <w:color w:val="auto"/>
          <w:sz w:val="21"/>
          <w:szCs w:val="22"/>
          <w:highlight w:val="none"/>
        </w:rPr>
        <w:t>，并委托</w:t>
      </w:r>
      <w:r>
        <w:rPr>
          <w:rFonts w:hint="eastAsia" w:ascii="宋体" w:hAnsi="宋体" w:eastAsia="宋体" w:cs="宋体"/>
          <w:color w:val="auto"/>
          <w:highlight w:val="none"/>
        </w:rPr>
        <w:t>湖南湘能创业项目管理有限公司</w:t>
      </w:r>
      <w:r>
        <w:rPr>
          <w:rFonts w:hint="eastAsia" w:ascii="宋体" w:hAnsi="宋体" w:eastAsia="宋体" w:cs="宋体"/>
          <w:color w:val="auto"/>
          <w:highlight w:val="none"/>
          <w:lang w:eastAsia="zh-CN"/>
        </w:rPr>
        <w:t>、湖南湘能多经产业（集团）有限公司企业咨询分公司</w:t>
      </w:r>
      <w:r>
        <w:rPr>
          <w:rFonts w:hint="eastAsia" w:ascii="宋体" w:hAnsi="宋体" w:eastAsia="宋体" w:cs="宋体"/>
          <w:color w:val="auto"/>
          <w:sz w:val="21"/>
          <w:szCs w:val="22"/>
          <w:highlight w:val="none"/>
        </w:rPr>
        <w:t>为招标代理机构。项目已具备招标条件，现对该项目进行公开招标。</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lang w:eastAsia="zh-CN"/>
        </w:rPr>
      </w:pPr>
      <w:bookmarkStart w:id="47" w:name="_bookmark3"/>
      <w:bookmarkEnd w:id="47"/>
      <w:bookmarkStart w:id="48" w:name="_Toc62221465"/>
      <w:bookmarkStart w:id="49" w:name="_Toc62549131"/>
      <w:bookmarkStart w:id="50" w:name="_Toc18094"/>
      <w:bookmarkStart w:id="51" w:name="_Toc13249"/>
      <w:bookmarkStart w:id="52" w:name="_Toc16612"/>
      <w:bookmarkStart w:id="53" w:name="_Toc62549187"/>
      <w:bookmarkStart w:id="54" w:name="_Toc62221756"/>
      <w:bookmarkStart w:id="55" w:name="_Toc8851"/>
      <w:bookmarkStart w:id="56" w:name="_Toc21846"/>
      <w:bookmarkStart w:id="57" w:name="_Toc9526"/>
      <w:bookmarkStart w:id="58" w:name="_Toc14807"/>
      <w:bookmarkStart w:id="59" w:name="_Toc62222024"/>
      <w:bookmarkStart w:id="60" w:name="_Toc10669"/>
      <w:bookmarkStart w:id="61" w:name="_Toc22052"/>
      <w:bookmarkStart w:id="62" w:name="_Toc16297"/>
      <w:bookmarkStart w:id="63" w:name="_Toc62222572"/>
      <w:r>
        <w:rPr>
          <w:rFonts w:hint="eastAsia" w:asciiTheme="minorEastAsia" w:hAnsiTheme="minorEastAsia" w:eastAsiaTheme="minorEastAsia" w:cstheme="minorEastAsia"/>
          <w:color w:val="auto"/>
          <w:sz w:val="21"/>
          <w:szCs w:val="22"/>
          <w:highlight w:val="none"/>
        </w:rPr>
        <w:t>本项目积极响应《中共中央国务院关于开展质量提升行动的指导意见》，倡导潜在投标人用先进标准引领产品质量提升，有效治理质量突出问题，推动形成优质优价的采购机制。</w:t>
      </w:r>
      <w:r>
        <w:rPr>
          <w:rFonts w:hint="eastAsia" w:asciiTheme="minorEastAsia" w:hAnsiTheme="minorEastAsia" w:eastAsiaTheme="minorEastAsia" w:cstheme="minorEastAsia"/>
          <w:color w:val="auto"/>
          <w:sz w:val="21"/>
          <w:szCs w:val="22"/>
          <w:highlight w:val="none"/>
          <w:lang w:val="en-US" w:eastAsia="zh-CN"/>
        </w:rPr>
        <w:t xml:space="preserve"> </w:t>
      </w:r>
      <w:r>
        <w:rPr>
          <w:rFonts w:hint="eastAsia" w:asciiTheme="minorEastAsia" w:hAnsiTheme="minorEastAsia" w:eastAsiaTheme="minorEastAsia" w:cstheme="minorEastAsia"/>
          <w:color w:val="auto"/>
          <w:sz w:val="21"/>
          <w:szCs w:val="22"/>
          <w:highlight w:val="none"/>
        </w:rPr>
        <w:t>为保障电网和设备本质安全，维护良好电工装备质量生态环境，确保投标人提供优质产品。招标人有权对违反“</w:t>
      </w:r>
      <w:r>
        <w:rPr>
          <w:rFonts w:hint="eastAsia" w:asciiTheme="minorEastAsia" w:hAnsiTheme="minorEastAsia" w:eastAsiaTheme="minorEastAsia" w:cstheme="minorEastAsia"/>
          <w:color w:val="auto"/>
          <w:sz w:val="21"/>
          <w:szCs w:val="22"/>
          <w:highlight w:val="none"/>
          <w:lang w:val="en-US" w:eastAsia="zh-CN"/>
        </w:rPr>
        <w:t>投标函</w:t>
      </w:r>
      <w:r>
        <w:rPr>
          <w:rFonts w:hint="eastAsia" w:asciiTheme="minorEastAsia" w:hAnsiTheme="minorEastAsia" w:eastAsiaTheme="minorEastAsia" w:cstheme="minorEastAsia"/>
          <w:color w:val="auto"/>
          <w:sz w:val="21"/>
          <w:szCs w:val="22"/>
          <w:highlight w:val="none"/>
        </w:rPr>
        <w:t>”承诺的投标人加大不良行为处理力度</w:t>
      </w:r>
      <w:r>
        <w:rPr>
          <w:rFonts w:hint="eastAsia" w:asciiTheme="minorEastAsia" w:hAnsiTheme="minorEastAsia" w:eastAsiaTheme="minorEastAsia" w:cstheme="minorEastAsia"/>
          <w:color w:val="auto"/>
          <w:sz w:val="21"/>
          <w:szCs w:val="22"/>
          <w:highlight w:val="none"/>
          <w:lang w:eastAsia="zh-CN"/>
        </w:rPr>
        <w:t>。</w:t>
      </w:r>
    </w:p>
    <w:p>
      <w:pPr>
        <w:adjustRightInd w:val="0"/>
        <w:snapToGrid w:val="0"/>
        <w:spacing w:before="240" w:beforeLines="100" w:after="120" w:afterLines="50"/>
        <w:outlineLvl w:val="1"/>
        <w:rPr>
          <w:rFonts w:hint="default" w:ascii="黑体" w:hAnsi="Calibri" w:eastAsia="黑体"/>
          <w:b/>
          <w:color w:val="auto"/>
          <w:sz w:val="24"/>
          <w:szCs w:val="22"/>
          <w:highlight w:val="none"/>
        </w:rPr>
      </w:pPr>
      <w:r>
        <w:rPr>
          <w:rFonts w:hint="eastAsia" w:ascii="黑体" w:hAnsi="Calibri" w:eastAsia="黑体"/>
          <w:b/>
          <w:color w:val="auto"/>
          <w:sz w:val="24"/>
          <w:szCs w:val="22"/>
          <w:highlight w:val="none"/>
        </w:rPr>
        <w:t>2.项目概况与招标范围</w:t>
      </w:r>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pPr>
        <w:pStyle w:val="4"/>
        <w:adjustRightInd w:val="0"/>
        <w:snapToGrid w:val="0"/>
        <w:spacing w:beforeLines="0" w:afterLines="0" w:line="400" w:lineRule="exact"/>
        <w:rPr>
          <w:rStyle w:val="21"/>
          <w:rFonts w:hint="eastAsia" w:ascii="宋体" w:hAnsi="宋体" w:eastAsia="宋体" w:cs="宋体"/>
          <w:color w:val="000000"/>
          <w:sz w:val="21"/>
          <w:szCs w:val="22"/>
          <w:highlight w:val="yellow"/>
        </w:rPr>
      </w:pPr>
      <w:bookmarkStart w:id="64" w:name="_bookmark4"/>
      <w:bookmarkEnd w:id="64"/>
      <w:bookmarkStart w:id="65" w:name="_Toc62222025"/>
      <w:bookmarkStart w:id="66" w:name="_Toc3443"/>
      <w:bookmarkStart w:id="67" w:name="_Toc62221757"/>
      <w:bookmarkStart w:id="68" w:name="_Toc62549132"/>
      <w:bookmarkStart w:id="69" w:name="_Toc62222573"/>
      <w:bookmarkStart w:id="70" w:name="_Toc19813"/>
      <w:bookmarkStart w:id="71" w:name="_Toc30155"/>
      <w:bookmarkStart w:id="72" w:name="_Toc1793"/>
      <w:bookmarkStart w:id="73" w:name="_Toc19873"/>
      <w:bookmarkStart w:id="74" w:name="_Toc1794"/>
      <w:bookmarkStart w:id="75" w:name="_Toc62221466"/>
      <w:bookmarkStart w:id="76" w:name="_Toc32699"/>
      <w:bookmarkStart w:id="77" w:name="_Toc16135"/>
      <w:bookmarkStart w:id="78" w:name="_Toc23581"/>
      <w:bookmarkStart w:id="79" w:name="_Toc15959"/>
      <w:bookmarkStart w:id="80" w:name="_Toc62549188"/>
      <w:r>
        <w:rPr>
          <w:rStyle w:val="21"/>
          <w:rFonts w:hint="eastAsia" w:ascii="宋体" w:hAnsi="宋体" w:eastAsia="宋体" w:cs="宋体"/>
          <w:color w:val="000000"/>
          <w:spacing w:val="7"/>
          <w:sz w:val="21"/>
          <w:szCs w:val="22"/>
          <w:highlight w:val="yellow"/>
        </w:rPr>
        <w:t>●</w:t>
      </w:r>
      <w:r>
        <w:rPr>
          <w:rStyle w:val="21"/>
          <w:rFonts w:hint="eastAsia" w:ascii="宋体" w:hAnsi="宋体" w:eastAsia="宋体" w:cs="宋体"/>
          <w:color w:val="000000"/>
          <w:sz w:val="21"/>
          <w:szCs w:val="22"/>
          <w:highlight w:val="yellow"/>
        </w:rPr>
        <w:t>详见招标公告附件。（应列明合同包个数、采购货物及其数量、</w:t>
      </w:r>
      <w:r>
        <w:rPr>
          <w:rStyle w:val="21"/>
          <w:rFonts w:hint="eastAsia" w:ascii="宋体" w:hAnsi="宋体" w:eastAsia="宋体" w:cs="宋体"/>
          <w:color w:val="000000"/>
          <w:sz w:val="21"/>
          <w:szCs w:val="22"/>
          <w:highlight w:val="yellow"/>
          <w:lang w:val="en-US" w:eastAsia="zh-CN"/>
        </w:rPr>
        <w:t>实施</w:t>
      </w:r>
      <w:r>
        <w:rPr>
          <w:rStyle w:val="21"/>
          <w:rFonts w:hint="eastAsia" w:ascii="宋体" w:hAnsi="宋体" w:eastAsia="宋体" w:cs="宋体"/>
          <w:color w:val="000000"/>
          <w:sz w:val="21"/>
          <w:szCs w:val="22"/>
          <w:highlight w:val="yellow"/>
        </w:rPr>
        <w:t>地点等内容）</w:t>
      </w:r>
    </w:p>
    <w:p>
      <w:pPr>
        <w:pStyle w:val="4"/>
        <w:tabs>
          <w:tab w:val="left" w:pos="2688"/>
        </w:tabs>
        <w:adjustRightInd w:val="0"/>
        <w:snapToGrid w:val="0"/>
        <w:spacing w:beforeLines="0" w:afterLines="0" w:line="400" w:lineRule="exact"/>
        <w:rPr>
          <w:rStyle w:val="21"/>
          <w:rFonts w:hint="eastAsia" w:ascii="宋体" w:hAnsi="宋体" w:eastAsia="宋体" w:cs="宋体"/>
          <w:color w:val="000000"/>
          <w:sz w:val="21"/>
          <w:szCs w:val="22"/>
          <w:highlight w:val="yellow"/>
        </w:rPr>
      </w:pPr>
      <w:r>
        <w:rPr>
          <w:rStyle w:val="21"/>
          <w:rFonts w:hint="eastAsia" w:ascii="宋体" w:hAnsi="宋体" w:eastAsia="宋体" w:cs="宋体"/>
          <w:color w:val="000000"/>
          <w:spacing w:val="7"/>
          <w:sz w:val="21"/>
          <w:szCs w:val="22"/>
          <w:highlight w:val="yellow"/>
        </w:rPr>
        <w:t>●</w:t>
      </w:r>
      <w:r>
        <w:rPr>
          <w:rStyle w:val="21"/>
          <w:rFonts w:hint="eastAsia" w:ascii="宋体" w:hAnsi="宋体" w:eastAsia="宋体" w:cs="宋体"/>
          <w:color w:val="000000"/>
          <w:sz w:val="21"/>
          <w:szCs w:val="22"/>
          <w:highlight w:val="yellow"/>
        </w:rPr>
        <w:t>详见货物清单。（通过系统直接生成《货物清单》）</w:t>
      </w:r>
    </w:p>
    <w:p>
      <w:pPr>
        <w:adjustRightInd w:val="0"/>
        <w:snapToGrid w:val="0"/>
        <w:spacing w:before="240" w:beforeLines="100" w:after="120" w:afterLines="50"/>
        <w:outlineLvl w:val="1"/>
        <w:rPr>
          <w:rFonts w:hint="default" w:ascii="黑体" w:hAnsi="Calibri" w:eastAsia="黑体"/>
          <w:b/>
          <w:color w:val="auto"/>
          <w:sz w:val="24"/>
          <w:szCs w:val="22"/>
          <w:highlight w:val="none"/>
        </w:rPr>
      </w:pPr>
      <w:r>
        <w:rPr>
          <w:rFonts w:hint="eastAsia" w:ascii="黑体" w:hAnsi="Calibri" w:eastAsia="黑体"/>
          <w:b/>
          <w:color w:val="auto"/>
          <w:sz w:val="24"/>
          <w:szCs w:val="22"/>
          <w:highlight w:val="none"/>
        </w:rPr>
        <w:t>3.投标人资格要求</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3.1</w:t>
      </w:r>
      <w:r>
        <w:rPr>
          <w:rFonts w:hint="eastAsia" w:asciiTheme="minorEastAsia" w:hAnsiTheme="minorEastAsia" w:eastAsiaTheme="minorEastAsia" w:cstheme="minorEastAsia"/>
          <w:color w:val="auto"/>
          <w:sz w:val="21"/>
          <w:szCs w:val="22"/>
          <w:highlight w:val="none"/>
          <w:lang w:val="en-US" w:eastAsia="zh-CN"/>
        </w:rPr>
        <w:t xml:space="preserve"> </w:t>
      </w:r>
      <w:r>
        <w:rPr>
          <w:rFonts w:hint="eastAsia" w:asciiTheme="minorEastAsia" w:hAnsiTheme="minorEastAsia" w:eastAsiaTheme="minorEastAsia" w:cstheme="minorEastAsia"/>
          <w:color w:val="auto"/>
          <w:sz w:val="21"/>
          <w:szCs w:val="22"/>
          <w:highlight w:val="none"/>
        </w:rPr>
        <w:t>本次招标要求投标人须为中华人民共和国境内依法注册的法人或</w:t>
      </w:r>
      <w:r>
        <w:rPr>
          <w:rFonts w:hint="eastAsia" w:asciiTheme="minorEastAsia" w:hAnsiTheme="minorEastAsia" w:eastAsiaTheme="minorEastAsia" w:cstheme="minorEastAsia"/>
          <w:color w:val="auto"/>
          <w:sz w:val="21"/>
          <w:szCs w:val="22"/>
          <w:highlight w:val="none"/>
          <w:lang w:val="en-US" w:eastAsia="zh-CN"/>
        </w:rPr>
        <w:t>其他</w:t>
      </w:r>
      <w:r>
        <w:rPr>
          <w:rFonts w:hint="eastAsia" w:asciiTheme="minorEastAsia" w:hAnsiTheme="minorEastAsia" w:eastAsiaTheme="minorEastAsia" w:cstheme="minorEastAsia"/>
          <w:color w:val="auto"/>
          <w:sz w:val="21"/>
          <w:szCs w:val="22"/>
          <w:highlight w:val="none"/>
        </w:rPr>
        <w:t>组织，须具有与本招标项目相应的供货能力。</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3.2</w:t>
      </w:r>
      <w:r>
        <w:rPr>
          <w:rFonts w:hint="eastAsia" w:asciiTheme="minorEastAsia" w:hAnsiTheme="minorEastAsia" w:eastAsiaTheme="minorEastAsia" w:cstheme="minorEastAsia"/>
          <w:color w:val="auto"/>
          <w:sz w:val="21"/>
          <w:szCs w:val="22"/>
          <w:highlight w:val="none"/>
          <w:lang w:val="en-US" w:eastAsia="zh-CN"/>
        </w:rPr>
        <w:t xml:space="preserve"> </w:t>
      </w:r>
      <w:r>
        <w:rPr>
          <w:rFonts w:hint="eastAsia" w:asciiTheme="minorEastAsia" w:hAnsiTheme="minorEastAsia" w:eastAsiaTheme="minorEastAsia" w:cstheme="minorEastAsia"/>
          <w:color w:val="auto"/>
          <w:sz w:val="21"/>
          <w:szCs w:val="22"/>
          <w:highlight w:val="none"/>
        </w:rPr>
        <w:t>本次招标不接受联合体投标。</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3.3</w:t>
      </w:r>
      <w:r>
        <w:rPr>
          <w:rFonts w:hint="eastAsia" w:asciiTheme="minorEastAsia" w:hAnsiTheme="minorEastAsia" w:eastAsiaTheme="minorEastAsia" w:cstheme="minorEastAsia"/>
          <w:color w:val="auto"/>
          <w:sz w:val="21"/>
          <w:szCs w:val="22"/>
          <w:highlight w:val="none"/>
          <w:lang w:val="en-US" w:eastAsia="zh-CN"/>
        </w:rPr>
        <w:t xml:space="preserve"> </w:t>
      </w:r>
      <w:r>
        <w:rPr>
          <w:rFonts w:hint="eastAsia" w:asciiTheme="minorEastAsia" w:hAnsiTheme="minorEastAsia" w:eastAsiaTheme="minorEastAsia" w:cstheme="minorEastAsia"/>
          <w:color w:val="auto"/>
          <w:sz w:val="21"/>
          <w:szCs w:val="22"/>
          <w:highlight w:val="none"/>
        </w:rPr>
        <w:t>本次招标是否接受代理商投标见3.6专用资格要求。如接受代理商投标的，代理产品不得属于《机电产品国际招标投标实施办法（试行）》（商务部令2014年第1号）规定必须进行国际招标的产品。</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3.4 接受代理商或者外协外购产品投标时，其投标产品制造商须在境内具备相应货物的制造能力，并在人员、设备、资金等方面具有保障相应协作承制货物如期交货的能力。除特别注明外，这些资格、资质、业绩均系投标人本人或者其代理或外协产品制造商本人所拥有的权利权益。</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3.5 投标人及其投标产品须满足如下通用资格要求：</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（1）投标产品制造商必须具有生产投标产品所需的生产场地、生产设备、生产人员、产品及元器件检测能力。本招标活动不接受贴牌代工以及任何分包（招标</w:t>
      </w:r>
      <w:r>
        <w:rPr>
          <w:rFonts w:hint="eastAsia" w:asciiTheme="minorEastAsia" w:hAnsiTheme="minorEastAsia" w:eastAsiaTheme="minorEastAsia" w:cstheme="minorEastAsia"/>
          <w:color w:val="auto"/>
          <w:sz w:val="21"/>
          <w:szCs w:val="22"/>
          <w:highlight w:val="none"/>
          <w:lang w:val="en-US" w:eastAsia="zh-CN"/>
        </w:rPr>
        <w:t>文件</w:t>
      </w:r>
      <w:r>
        <w:rPr>
          <w:rFonts w:hint="eastAsia" w:asciiTheme="minorEastAsia" w:hAnsiTheme="minorEastAsia" w:eastAsiaTheme="minorEastAsia" w:cstheme="minorEastAsia"/>
          <w:color w:val="auto"/>
          <w:sz w:val="21"/>
          <w:szCs w:val="22"/>
          <w:highlight w:val="none"/>
        </w:rPr>
        <w:t>中规定的允许外购外协的除外）、转包行为的投标。</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这些制造、检测能力应当分别相当于或者优于招标人招投标交易平台信息系统（https://ecp.sgcc.com.cn）中发布的“供应商资质能力信息核实规范”提出的相应条款要求（查看路径：招投标交易平台信息系统首页→供应商管理→资质能力核实→资质能力核实规范标准）。</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2）在与规范相同或较规范更严格的条件下，投标产品的投运数量或供货数量及其成功运行时间满足招标文件的要求。如同一包内存在不同类别的产品，除外购外协的产品外，则投标人须分别满足包内各类别产品的资格要求；对于外购外协的产品，产品制造商应满足本公告资质相关业绩要求。</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（3）取得国家法律、法规、规章规定的有效许可证。取得招标文件要求的国家强制认证证书。</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（4）法定代表人（单位负责人）为同一人或者存在控股、管理关系的不同单位，不得参加同一标包投标或者未划分标包的同一招标项目投标。</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lang w:eastAsia="zh-CN"/>
        </w:rPr>
        <w:t>（5）应有良好的财务状况和商业信用。</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w:t>
      </w:r>
      <w:r>
        <w:rPr>
          <w:rFonts w:hint="eastAsia" w:asciiTheme="minorEastAsia" w:hAnsiTheme="minorEastAsia" w:eastAsiaTheme="minorEastAsia" w:cstheme="minorEastAsia"/>
          <w:color w:val="auto"/>
          <w:sz w:val="21"/>
          <w:szCs w:val="22"/>
          <w:highlight w:val="none"/>
          <w:lang w:val="en-US" w:eastAsia="zh-CN"/>
        </w:rPr>
        <w:t>6</w:t>
      </w:r>
      <w:r>
        <w:rPr>
          <w:rFonts w:hint="eastAsia" w:asciiTheme="minorEastAsia" w:hAnsiTheme="minorEastAsia" w:eastAsiaTheme="minorEastAsia" w:cstheme="minorEastAsia"/>
          <w:color w:val="auto"/>
          <w:sz w:val="21"/>
          <w:szCs w:val="22"/>
          <w:highlight w:val="none"/>
        </w:rPr>
        <w:t>）根据《国家电网有限公司供应商关系管理办法》的规定，若投标人为制造商，存在导致其被暂停中标资格或取消中标资格的不良行为且在处理有效期内的，投标人在投标截止之日至中标通知书到达之日前，任一日在《国家电网有限公司关于供应商不良行为处理情况的通报》处理期内的均适用不良行为处理结果，或投标人存在触发《国家电网有限公司供应商关系管理办法》第六十三条安全及质量重大问题“熔断机制”情形的，其投标将被否决。若投标人为代理商，投标人或其代理产品的制造商存在导致其被暂停中标资格或取消中标资格的不良行为且在处理有效期内的，投标人或其代理产品的制造商在投标截止之日至中标通知书到达之日前，任一日在《国家电网有限公司关于供应商不良行为处理情况的通报》处理期内的均适用不良行为处理结果，或投标人存在触发《国家电网有限公司供应商关系管理办法》第六十三条</w:t>
      </w:r>
      <w:r>
        <w:rPr>
          <w:rFonts w:hint="eastAsia" w:asciiTheme="minorEastAsia" w:hAnsiTheme="minorEastAsia" w:eastAsiaTheme="minorEastAsia" w:cstheme="minorEastAsia"/>
          <w:color w:val="auto"/>
          <w:sz w:val="21"/>
          <w:szCs w:val="22"/>
          <w:highlight w:val="none"/>
          <w:lang w:val="en-US" w:eastAsia="zh-CN"/>
        </w:rPr>
        <w:t>安全及质量</w:t>
      </w:r>
      <w:r>
        <w:rPr>
          <w:rFonts w:hint="eastAsia" w:asciiTheme="minorEastAsia" w:hAnsiTheme="minorEastAsia" w:eastAsiaTheme="minorEastAsia" w:cstheme="minorEastAsia"/>
          <w:color w:val="auto"/>
          <w:sz w:val="21"/>
          <w:szCs w:val="22"/>
          <w:highlight w:val="none"/>
        </w:rPr>
        <w:t>重大问题“熔断机制”情形的，其投标将被否决。即使投标人在投标截止日尚不存在上述情况，但在中标通知书到达之日前，出现上述情况的，招标人亦有权取消其中标资格。</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w:t>
      </w:r>
      <w:r>
        <w:rPr>
          <w:rFonts w:hint="eastAsia" w:asciiTheme="minorEastAsia" w:hAnsiTheme="minorEastAsia" w:eastAsiaTheme="minorEastAsia" w:cstheme="minorEastAsia"/>
          <w:color w:val="auto"/>
          <w:sz w:val="21"/>
          <w:szCs w:val="22"/>
          <w:highlight w:val="none"/>
          <w:lang w:val="en-US" w:eastAsia="zh-CN"/>
        </w:rPr>
        <w:t>7</w:t>
      </w:r>
      <w:r>
        <w:rPr>
          <w:rFonts w:hint="eastAsia" w:asciiTheme="minorEastAsia" w:hAnsiTheme="minorEastAsia" w:eastAsiaTheme="minorEastAsia" w:cstheme="minorEastAsia"/>
          <w:color w:val="auto"/>
          <w:sz w:val="21"/>
          <w:szCs w:val="22"/>
          <w:highlight w:val="none"/>
        </w:rPr>
        <w:t>）根据最高人民法院、国家发展改革委、国家铁路局等九部门联合印发的《关于在招标投标活动中对失信被执行人实施联合惩戒的通知》（法〔2016〕285号），投标人不得被人民法院列为失信被执行人。投标人不得存在违法失信行为，不得被“信用中国”网站（www.creditchina.gov.cn）列入严重失信主体名单。即使投标人在开标当日未出现被列入失信被执行人或严重失信主体名单的情形，但在中标通知书到达之日前，存在上述情形的，招标人有权取消其中标资格。</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lang w:eastAsia="zh-CN" w:bidi="ar"/>
        </w:rPr>
      </w:pPr>
      <w:r>
        <w:rPr>
          <w:rFonts w:hint="eastAsia" w:asciiTheme="minorEastAsia" w:hAnsiTheme="minorEastAsia" w:eastAsiaTheme="minorEastAsia" w:cstheme="minorEastAsia"/>
          <w:color w:val="auto"/>
          <w:sz w:val="21"/>
          <w:szCs w:val="22"/>
          <w:highlight w:val="none"/>
        </w:rPr>
        <w:t>（</w:t>
      </w:r>
      <w:r>
        <w:rPr>
          <w:rFonts w:hint="eastAsia" w:asciiTheme="minorEastAsia" w:hAnsiTheme="minorEastAsia" w:eastAsiaTheme="minorEastAsia" w:cstheme="minorEastAsia"/>
          <w:color w:val="auto"/>
          <w:sz w:val="21"/>
          <w:szCs w:val="22"/>
          <w:highlight w:val="none"/>
          <w:lang w:val="en-US" w:eastAsia="zh-CN"/>
        </w:rPr>
        <w:t>8</w:t>
      </w:r>
      <w:r>
        <w:rPr>
          <w:rFonts w:hint="eastAsia" w:asciiTheme="minorEastAsia" w:hAnsiTheme="minorEastAsia" w:eastAsiaTheme="minorEastAsia" w:cstheme="minorEastAsia"/>
          <w:color w:val="auto"/>
          <w:sz w:val="21"/>
          <w:szCs w:val="22"/>
          <w:highlight w:val="none"/>
        </w:rPr>
        <w:t>）投标人不得被市场监督管理机关在国家企业信用信息公示系统中列入严重违法失信企业名单或列入经营异常名录信息。投标人需同时在商务文件中提供在国家企业信用信息公示系统（www.gsxt.gov.cn）查询的，包含“营业执照信息”、“列入严重违法失信企业名单（黑名单）”、“列入经营异常名录信息”、“行政处罚信息”、“清算信息”的查询结果（查询日期应在投标截止日前20天内，查询结果应为网站自动生成的PDF文件的电子版）。如投标人未提供企业信用信息公示报告，或提供的报告不符合招标文件规定的格式与内容，或报告内容被评标委员会认定有异议的，投标人的“列入经营异常名录信息”和“列入严重违法失信企业名单（黑名单）信息”以评标委员会在国家企业信用信息公示系统（www.gsxt.gov.cn）查询的结果为准。投标人未提供或提供的企业信用信息公示报告不符合招标文件规定的格式与内容的，评标委员会将会对投标人进行不利评价。投标人提供虚假企业信用信息公示报告的，按照虚假投标进行否决，并根据《国家电网有限公司供应商关系管理办法》进行相应处理。即使投标人在开标当日未出现被市场监督管理机关列入经营异常名录或严重违法失信企业名单的情形，但在中标通知书到达之日前，存在上述情形的，招标人有权取消其中标资格。</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w:t>
      </w:r>
      <w:r>
        <w:rPr>
          <w:rFonts w:hint="eastAsia" w:asciiTheme="minorEastAsia" w:hAnsiTheme="minorEastAsia" w:eastAsiaTheme="minorEastAsia" w:cstheme="minorEastAsia"/>
          <w:color w:val="auto"/>
          <w:sz w:val="21"/>
          <w:szCs w:val="22"/>
          <w:highlight w:val="none"/>
          <w:lang w:val="en-US" w:eastAsia="zh-CN"/>
        </w:rPr>
        <w:t>9</w:t>
      </w:r>
      <w:r>
        <w:rPr>
          <w:rFonts w:hint="eastAsia" w:asciiTheme="minorEastAsia" w:hAnsiTheme="minorEastAsia" w:eastAsiaTheme="minorEastAsia" w:cstheme="minorEastAsia"/>
          <w:color w:val="auto"/>
          <w:sz w:val="21"/>
          <w:szCs w:val="22"/>
          <w:highlight w:val="none"/>
        </w:rPr>
        <w:t>）外购外协原材料、配套元件和外部委托加工及进口散装的部件应符合本招标技术规范要求。投标人应具备对外购外协原材料、配套元件和外部委托加工及进口散装的部件进行进厂验收所需的检验制度、检测手段和能力，和由材料、元件和部件供应商提供的检测合格证明。原材料组部件管理应当具有可追溯性。</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10）投标人不得选配国家电网有限公司《关于供应商不良行为处理情况的通报》中正接受暂停中标资格、取消中标资格的外购外协供应商或代理（集成服务）制造商的产品；不得选配涉嫌存在《招标投标法》第53条、《招标投标法实施条例》第51条所列违法行为，已被司法机关立案的外购外协供应商或代理（集成服务）制造商的产品。</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11）投标产品不得选配缺陷责任期（自设备投运之日起两年内）发生产品质量问题（包括但不限于接续、接触机械电气性能，支撑、封闭绝缘性能，以及电力电子性能下降、老化、毁损、丧失等）导致设备停运检修的组件材料制造商的产品。</w:t>
      </w:r>
    </w:p>
    <w:p>
      <w:pPr>
        <w:tabs>
          <w:tab w:val="left" w:pos="1134"/>
        </w:tabs>
        <w:adjustRightInd w:val="0"/>
        <w:snapToGrid w:val="0"/>
        <w:spacing w:beforeLines="0" w:afterLines="0" w:line="400" w:lineRule="exact"/>
        <w:ind w:firstLine="420" w:firstLineChars="200"/>
        <w:rPr>
          <w:rFonts w:hint="default" w:asciiTheme="minorEastAsia" w:hAnsiTheme="minorEastAsia" w:eastAsiaTheme="minorEastAsia" w:cstheme="minorEastAsia"/>
          <w:color w:val="auto"/>
          <w:sz w:val="21"/>
          <w:szCs w:val="22"/>
          <w:highlight w:val="green"/>
          <w:lang w:val="en-US"/>
        </w:rPr>
      </w:pPr>
      <w:r>
        <w:rPr>
          <w:rFonts w:hint="eastAsia" w:asciiTheme="minorEastAsia" w:hAnsiTheme="minorEastAsia" w:eastAsiaTheme="minorEastAsia" w:cstheme="minorEastAsia"/>
          <w:color w:val="auto"/>
          <w:sz w:val="21"/>
          <w:szCs w:val="22"/>
          <w:highlight w:val="none"/>
        </w:rPr>
        <w:t>（1</w:t>
      </w:r>
      <w:r>
        <w:rPr>
          <w:rFonts w:hint="eastAsia" w:asciiTheme="minorEastAsia" w:hAnsiTheme="minorEastAsia" w:eastAsiaTheme="minorEastAsia" w:cstheme="minorEastAsia"/>
          <w:color w:val="auto"/>
          <w:sz w:val="21"/>
          <w:szCs w:val="22"/>
          <w:highlight w:val="none"/>
          <w:lang w:val="en-US" w:eastAsia="zh-CN"/>
        </w:rPr>
        <w:t>2</w:t>
      </w:r>
      <w:r>
        <w:rPr>
          <w:rFonts w:hint="eastAsia" w:asciiTheme="minorEastAsia" w:hAnsiTheme="minorEastAsia" w:eastAsiaTheme="minorEastAsia" w:cstheme="minorEastAsia"/>
          <w:color w:val="auto"/>
          <w:sz w:val="21"/>
          <w:szCs w:val="22"/>
          <w:highlight w:val="none"/>
        </w:rPr>
        <w:t>）</w:t>
      </w:r>
      <w:r>
        <w:rPr>
          <w:rFonts w:hint="eastAsia" w:asciiTheme="minorEastAsia" w:hAnsiTheme="minorEastAsia" w:eastAsiaTheme="minorEastAsia" w:cstheme="minorEastAsia"/>
          <w:color w:val="auto"/>
          <w:sz w:val="21"/>
          <w:szCs w:val="22"/>
          <w:highlight w:val="none"/>
          <w:lang w:val="en-US" w:eastAsia="zh-CN"/>
        </w:rPr>
        <w:t>其他：</w:t>
      </w:r>
      <w:r>
        <w:rPr>
          <w:rFonts w:hint="eastAsia" w:asciiTheme="minorEastAsia" w:hAnsiTheme="minorEastAsia" w:eastAsiaTheme="minorEastAsia" w:cstheme="minorEastAsia"/>
          <w:color w:val="auto"/>
          <w:sz w:val="21"/>
          <w:szCs w:val="22"/>
          <w:highlight w:val="green"/>
          <w:lang w:val="en-US" w:eastAsia="zh-CN"/>
        </w:rPr>
        <w:t>低压电力电缆、10KV箱式变电站分标仅接受通过“配网电缆、架空绝缘线、集束绝缘导线、布电线”、“10kV箱式变电站（欧式，硅钢片）”标段资格预审的投标人参与投标。</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3.6 投标人及其投标产品须满足相应招标货物的专用资格要求如下：</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详见招标公告附件。</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3.7 本次</w:t>
      </w:r>
      <w:r>
        <w:rPr>
          <w:rFonts w:hint="eastAsia" w:asciiTheme="minorEastAsia" w:hAnsiTheme="minorEastAsia" w:eastAsiaTheme="minorEastAsia" w:cstheme="minorEastAsia"/>
          <w:color w:val="auto"/>
          <w:sz w:val="21"/>
          <w:szCs w:val="22"/>
          <w:highlight w:val="none"/>
          <w:lang w:val="en-US" w:eastAsia="zh-CN"/>
        </w:rPr>
        <w:t>招标</w:t>
      </w:r>
      <w:r>
        <w:rPr>
          <w:rFonts w:hint="eastAsia" w:asciiTheme="minorEastAsia" w:hAnsiTheme="minorEastAsia" w:eastAsiaTheme="minorEastAsia" w:cstheme="minorEastAsia"/>
          <w:color w:val="auto"/>
          <w:sz w:val="21"/>
          <w:szCs w:val="22"/>
          <w:highlight w:val="none"/>
        </w:rPr>
        <w:t>不接受投标人委托中介机构或者中间人编制投标文件或代行办理投标事宜。</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3.8 各投标人均可就本次招标的部分或全部标包投标。</w:t>
      </w:r>
    </w:p>
    <w:p>
      <w:pPr>
        <w:tabs>
          <w:tab w:val="left" w:pos="1134"/>
        </w:tabs>
        <w:adjustRightInd w:val="0"/>
        <w:snapToGrid w:val="0"/>
        <w:spacing w:beforeLines="0" w:afterLines="0" w:line="400" w:lineRule="exact"/>
        <w:ind w:firstLine="420" w:firstLineChars="200"/>
        <w:rPr>
          <w:rFonts w:hint="default" w:asciiTheme="minorEastAsia" w:hAnsiTheme="minorEastAsia" w:eastAsiaTheme="minorEastAsia" w:cstheme="minorEastAsia"/>
          <w:color w:val="auto"/>
          <w:sz w:val="21"/>
          <w:szCs w:val="22"/>
          <w:highlight w:val="none"/>
          <w:lang w:val="en-US" w:eastAsia="zh-CN"/>
        </w:rPr>
      </w:pPr>
      <w:r>
        <w:rPr>
          <w:rFonts w:hint="eastAsia" w:asciiTheme="minorEastAsia" w:hAnsiTheme="minorEastAsia" w:eastAsiaTheme="minorEastAsia" w:cstheme="minorEastAsia"/>
          <w:color w:val="auto"/>
          <w:sz w:val="21"/>
          <w:szCs w:val="22"/>
          <w:highlight w:val="none"/>
        </w:rPr>
        <w:t>3.9 其他</w:t>
      </w:r>
      <w:r>
        <w:rPr>
          <w:rFonts w:hint="eastAsia" w:asciiTheme="minorEastAsia" w:hAnsiTheme="minorEastAsia" w:eastAsiaTheme="minorEastAsia" w:cstheme="minorEastAsia"/>
          <w:color w:val="auto"/>
          <w:sz w:val="21"/>
          <w:szCs w:val="22"/>
          <w:highlight w:val="none"/>
          <w:lang w:eastAsia="zh-CN"/>
        </w:rPr>
        <w:t>：</w:t>
      </w:r>
      <w:r>
        <w:rPr>
          <w:rFonts w:hint="eastAsia" w:asciiTheme="minorEastAsia" w:hAnsiTheme="minorEastAsia" w:eastAsiaTheme="minorEastAsia" w:cstheme="minorEastAsia"/>
          <w:color w:val="auto"/>
          <w:sz w:val="21"/>
          <w:szCs w:val="22"/>
          <w:highlight w:val="none"/>
          <w:lang w:val="en-US" w:eastAsia="zh-CN"/>
        </w:rPr>
        <w:t>/</w:t>
      </w:r>
    </w:p>
    <w:p>
      <w:pPr>
        <w:adjustRightInd w:val="0"/>
        <w:snapToGrid w:val="0"/>
        <w:spacing w:before="240" w:beforeLines="100" w:after="120" w:afterLines="50"/>
        <w:outlineLvl w:val="1"/>
        <w:rPr>
          <w:rFonts w:hint="default" w:ascii="黑体" w:hAnsi="Calibri" w:eastAsia="黑体"/>
          <w:b/>
          <w:color w:val="auto"/>
          <w:sz w:val="24"/>
          <w:szCs w:val="22"/>
          <w:highlight w:val="none"/>
        </w:rPr>
      </w:pPr>
      <w:bookmarkStart w:id="81" w:name="_bookmark5"/>
      <w:bookmarkEnd w:id="81"/>
      <w:bookmarkStart w:id="82" w:name="_Toc62549133"/>
      <w:bookmarkStart w:id="83" w:name="_Toc23417"/>
      <w:bookmarkStart w:id="84" w:name="_Toc14214"/>
      <w:bookmarkStart w:id="85" w:name="_Toc62221467"/>
      <w:bookmarkStart w:id="86" w:name="_Toc5537"/>
      <w:bookmarkStart w:id="87" w:name="_Toc27496"/>
      <w:bookmarkStart w:id="88" w:name="_Toc62549189"/>
      <w:bookmarkStart w:id="89" w:name="_Toc62222026"/>
      <w:bookmarkStart w:id="90" w:name="_Toc62221758"/>
      <w:bookmarkStart w:id="91" w:name="_Toc408"/>
      <w:bookmarkStart w:id="92" w:name="_Toc31472"/>
      <w:bookmarkStart w:id="93" w:name="_Toc12685"/>
      <w:bookmarkStart w:id="94" w:name="_Toc5548"/>
      <w:bookmarkStart w:id="95" w:name="_Toc62222574"/>
      <w:bookmarkStart w:id="96" w:name="_Toc32111"/>
      <w:bookmarkStart w:id="97" w:name="_Toc9218"/>
      <w:r>
        <w:rPr>
          <w:rFonts w:hint="eastAsia" w:ascii="黑体" w:hAnsi="Calibri" w:eastAsia="黑体"/>
          <w:b/>
          <w:color w:val="auto"/>
          <w:sz w:val="24"/>
          <w:szCs w:val="22"/>
          <w:highlight w:val="none"/>
        </w:rPr>
        <w:t>4.招标文件的获取</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4.1 招标文件（电子文件）免费获取。</w:t>
      </w:r>
    </w:p>
    <w:p>
      <w:pPr>
        <w:tabs>
          <w:tab w:val="left" w:pos="1134"/>
        </w:tabs>
        <w:wordWrap w:val="0"/>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4.2凡有意参加投标者，</w:t>
      </w:r>
      <w:r>
        <w:rPr>
          <w:rFonts w:hint="eastAsia" w:asciiTheme="minorEastAsia" w:hAnsiTheme="minorEastAsia" w:eastAsiaTheme="minorEastAsia" w:cstheme="minorEastAsia"/>
          <w:color w:val="FF0000"/>
          <w:sz w:val="21"/>
          <w:szCs w:val="22"/>
          <w:highlight w:val="none"/>
        </w:rPr>
        <w:t>请于</w:t>
      </w:r>
      <w:r>
        <w:rPr>
          <w:rFonts w:hint="eastAsia" w:asciiTheme="minorEastAsia" w:hAnsiTheme="minorEastAsia" w:eastAsiaTheme="minorEastAsia" w:cstheme="minorEastAsia"/>
          <w:b/>
          <w:bCs/>
          <w:color w:val="FF0000"/>
          <w:sz w:val="21"/>
          <w:szCs w:val="22"/>
          <w:highlight w:val="none"/>
        </w:rPr>
        <w:t>2025年</w:t>
      </w:r>
      <w:r>
        <w:rPr>
          <w:rFonts w:hint="eastAsia" w:asciiTheme="minorEastAsia" w:hAnsiTheme="minorEastAsia" w:eastAsiaTheme="minorEastAsia" w:cstheme="minorEastAsia"/>
          <w:b/>
          <w:bCs/>
          <w:color w:val="FF0000"/>
          <w:sz w:val="21"/>
          <w:szCs w:val="22"/>
          <w:highlight w:val="none"/>
          <w:lang w:val="en-US" w:eastAsia="zh-CN"/>
        </w:rPr>
        <w:t>7</w:t>
      </w:r>
      <w:r>
        <w:rPr>
          <w:rFonts w:hint="eastAsia" w:asciiTheme="minorEastAsia" w:hAnsiTheme="minorEastAsia" w:eastAsiaTheme="minorEastAsia" w:cstheme="minorEastAsia"/>
          <w:b/>
          <w:bCs/>
          <w:color w:val="FF0000"/>
          <w:sz w:val="21"/>
          <w:szCs w:val="22"/>
          <w:highlight w:val="none"/>
          <w:lang w:eastAsia="zh-CN"/>
        </w:rPr>
        <w:t>月</w:t>
      </w:r>
      <w:r>
        <w:rPr>
          <w:rFonts w:hint="eastAsia" w:asciiTheme="minorEastAsia" w:hAnsiTheme="minorEastAsia" w:eastAsiaTheme="minorEastAsia" w:cstheme="minorEastAsia"/>
          <w:b/>
          <w:bCs/>
          <w:color w:val="FF0000"/>
          <w:sz w:val="21"/>
          <w:szCs w:val="22"/>
          <w:highlight w:val="none"/>
          <w:lang w:val="en-US" w:eastAsia="zh-CN"/>
        </w:rPr>
        <w:t>4</w:t>
      </w:r>
      <w:r>
        <w:rPr>
          <w:rFonts w:hint="eastAsia" w:asciiTheme="minorEastAsia" w:hAnsiTheme="minorEastAsia" w:eastAsiaTheme="minorEastAsia" w:cstheme="minorEastAsia"/>
          <w:b/>
          <w:bCs/>
          <w:color w:val="FF0000"/>
          <w:sz w:val="21"/>
          <w:szCs w:val="22"/>
          <w:highlight w:val="none"/>
          <w:lang w:eastAsia="zh-CN"/>
        </w:rPr>
        <w:t>日</w:t>
      </w:r>
      <w:r>
        <w:rPr>
          <w:rFonts w:hint="eastAsia" w:asciiTheme="minorEastAsia" w:hAnsiTheme="minorEastAsia" w:eastAsiaTheme="minorEastAsia" w:cstheme="minorEastAsia"/>
          <w:b/>
          <w:bCs/>
          <w:color w:val="FF0000"/>
          <w:sz w:val="21"/>
          <w:szCs w:val="22"/>
          <w:highlight w:val="none"/>
        </w:rPr>
        <w:t>-2025年</w:t>
      </w:r>
      <w:r>
        <w:rPr>
          <w:rFonts w:hint="eastAsia" w:asciiTheme="minorEastAsia" w:hAnsiTheme="minorEastAsia" w:eastAsiaTheme="minorEastAsia" w:cstheme="minorEastAsia"/>
          <w:b/>
          <w:bCs/>
          <w:color w:val="FF0000"/>
          <w:sz w:val="21"/>
          <w:szCs w:val="22"/>
          <w:highlight w:val="none"/>
          <w:lang w:val="en-US" w:eastAsia="zh-CN"/>
        </w:rPr>
        <w:t>7月11日</w:t>
      </w:r>
      <w:r>
        <w:rPr>
          <w:rFonts w:hint="eastAsia" w:asciiTheme="minorEastAsia" w:hAnsiTheme="minorEastAsia" w:eastAsiaTheme="minorEastAsia" w:cstheme="minorEastAsia"/>
          <w:b/>
          <w:bCs/>
          <w:color w:val="FF0000"/>
          <w:sz w:val="21"/>
          <w:szCs w:val="22"/>
          <w:highlight w:val="none"/>
        </w:rPr>
        <w:t>1</w:t>
      </w:r>
      <w:r>
        <w:rPr>
          <w:rFonts w:hint="eastAsia" w:asciiTheme="minorEastAsia" w:hAnsiTheme="minorEastAsia" w:eastAsiaTheme="minorEastAsia" w:cstheme="minorEastAsia"/>
          <w:b/>
          <w:bCs/>
          <w:color w:val="FF0000"/>
          <w:sz w:val="21"/>
          <w:szCs w:val="22"/>
          <w:highlight w:val="none"/>
          <w:lang w:val="en-US" w:eastAsia="zh-CN"/>
        </w:rPr>
        <w:t>7</w:t>
      </w:r>
      <w:r>
        <w:rPr>
          <w:rFonts w:hint="eastAsia" w:asciiTheme="minorEastAsia" w:hAnsiTheme="minorEastAsia" w:eastAsiaTheme="minorEastAsia" w:cstheme="minorEastAsia"/>
          <w:b/>
          <w:bCs/>
          <w:color w:val="FF0000"/>
          <w:sz w:val="21"/>
          <w:szCs w:val="22"/>
          <w:highlight w:val="none"/>
        </w:rPr>
        <w:t>:00</w:t>
      </w:r>
      <w:r>
        <w:rPr>
          <w:rFonts w:hint="eastAsia" w:asciiTheme="minorEastAsia" w:hAnsiTheme="minorEastAsia" w:eastAsiaTheme="minorEastAsia" w:cstheme="minorEastAsia"/>
          <w:color w:val="FF0000"/>
          <w:sz w:val="21"/>
          <w:szCs w:val="22"/>
          <w:highlight w:val="none"/>
        </w:rPr>
        <w:t>（北京时间，下同）</w:t>
      </w:r>
      <w:r>
        <w:rPr>
          <w:rFonts w:hint="eastAsia" w:asciiTheme="minorEastAsia" w:hAnsiTheme="minorEastAsia" w:eastAsiaTheme="minorEastAsia" w:cstheme="minorEastAsia"/>
          <w:color w:val="auto"/>
          <w:sz w:val="21"/>
          <w:szCs w:val="22"/>
          <w:highlight w:val="none"/>
        </w:rPr>
        <w:t>，登录招标人招投标交易平台信息系统（</w:t>
      </w:r>
      <w:r>
        <w:rPr>
          <w:rFonts w:hint="eastAsia" w:ascii="宋体" w:hAnsi="宋体" w:eastAsia="宋体" w:cs="宋体"/>
          <w:color w:val="auto"/>
          <w:szCs w:val="21"/>
          <w:highlight w:val="none"/>
        </w:rPr>
        <w:t>国家电网有限公司电子商务平台-电工交易专区https:// sgccetp.com.cn/portal/#/</w:t>
      </w:r>
      <w:r>
        <w:rPr>
          <w:rFonts w:hint="eastAsia" w:asciiTheme="minorEastAsia" w:hAnsiTheme="minorEastAsia" w:eastAsiaTheme="minorEastAsia" w:cstheme="minorEastAsia"/>
          <w:b/>
          <w:color w:val="auto"/>
          <w:sz w:val="21"/>
          <w:szCs w:val="22"/>
          <w:highlight w:val="none"/>
        </w:rPr>
        <w:t>，</w:t>
      </w:r>
      <w:r>
        <w:rPr>
          <w:rFonts w:hint="eastAsia" w:asciiTheme="minorEastAsia" w:hAnsiTheme="minorEastAsia" w:eastAsiaTheme="minorEastAsia" w:cstheme="minorEastAsia"/>
          <w:b/>
          <w:color w:val="auto"/>
          <w:sz w:val="21"/>
          <w:szCs w:val="22"/>
          <w:highlight w:val="none"/>
          <w:lang w:val="en-US" w:eastAsia="zh-CN"/>
        </w:rPr>
        <w:t>以下简称“电工交易专区”</w:t>
      </w:r>
      <w:r>
        <w:rPr>
          <w:rFonts w:hint="eastAsia" w:asciiTheme="minorEastAsia" w:hAnsiTheme="minorEastAsia" w:eastAsiaTheme="minorEastAsia" w:cstheme="minorEastAsia"/>
          <w:b/>
          <w:color w:val="auto"/>
          <w:sz w:val="21"/>
          <w:szCs w:val="22"/>
          <w:highlight w:val="none"/>
        </w:rPr>
        <w:t>）</w:t>
      </w:r>
      <w:r>
        <w:rPr>
          <w:rFonts w:hint="eastAsia" w:asciiTheme="minorEastAsia" w:hAnsiTheme="minorEastAsia" w:eastAsiaTheme="minorEastAsia" w:cstheme="minorEastAsia"/>
          <w:color w:val="auto"/>
          <w:sz w:val="21"/>
          <w:szCs w:val="22"/>
          <w:highlight w:val="none"/>
        </w:rPr>
        <w:t>获取招标文件，并按《电子招标投标办法》等国家法律法规要求，到第三方认证机构办理CA证书电子钥匙。投标人应妥善保管招标人招投标交易平台信息系统账号和密码，以及CA数字证书和密码，因上述账号、数字证书或密码保管不当造成的损失，由投标人自行承担。</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投标人应在招标人招投标交易平台信息系统注册并办理CA证书电子钥匙方可获取招标文件，电子钥匙的办理流程请登录招标人招投标交易平台信息系统首页“新手指引”→“电子钥匙办理须知及电子钥匙安装包”下载所有文件仔细阅读。电子钥匙的办理需要一定的时间，请潜在投标人高度重视。由于没有及时办理电子钥匙导致获取招标文件失败，由投标人自行承担相关责任。支持电话为：4009915500。</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4.3投标人需利用投标工具进行电子投标文件编制。投标工具下载方式：请各投标人在招标人招投标交易平台信息系统首页“下载专区→供应商投标工具”下载并安装。操作手册及注意事项见首页“操作说明→ECP2.0招标采购流程供应商操作手册“或“演示视频→投标工具新U+操作指导视频”。投标工具操作问题联系招标人招投标交易平台信息系统支持服务电话：010-63411000</w:t>
      </w:r>
      <w:r>
        <w:rPr>
          <w:rFonts w:hint="eastAsia" w:ascii="宋体" w:hAnsi="宋体" w:eastAsia="宋体" w:cs="宋体"/>
          <w:color w:val="auto"/>
          <w:highlight w:val="none"/>
        </w:rPr>
        <w:t>转2</w:t>
      </w:r>
      <w:r>
        <w:rPr>
          <w:rFonts w:hint="eastAsia" w:asciiTheme="minorEastAsia" w:hAnsiTheme="minorEastAsia" w:eastAsiaTheme="minorEastAsia" w:cstheme="minorEastAsia"/>
          <w:color w:val="auto"/>
          <w:sz w:val="21"/>
          <w:szCs w:val="22"/>
          <w:highlight w:val="none"/>
        </w:rPr>
        <w:t>。使用投标工具电脑配置要求：内存大于8GB，64位操作系统。</w:t>
      </w:r>
    </w:p>
    <w:p>
      <w:pPr>
        <w:tabs>
          <w:tab w:val="left" w:pos="1134"/>
        </w:tabs>
        <w:adjustRightInd w:val="0"/>
        <w:snapToGrid w:val="0"/>
        <w:spacing w:beforeLines="0" w:afterLines="0" w:line="400" w:lineRule="exact"/>
        <w:ind w:firstLine="420" w:firstLineChars="200"/>
        <w:rPr>
          <w:rFonts w:hint="default" w:asciiTheme="minorEastAsia" w:hAnsiTheme="minorEastAsia" w:eastAsiaTheme="minorEastAsia" w:cstheme="minorEastAsia"/>
          <w:color w:val="auto"/>
          <w:sz w:val="21"/>
          <w:szCs w:val="22"/>
          <w:highlight w:val="none"/>
          <w:lang w:val="en-US" w:eastAsia="zh-CN"/>
        </w:rPr>
      </w:pPr>
      <w:r>
        <w:rPr>
          <w:rFonts w:hint="eastAsia" w:asciiTheme="minorEastAsia" w:hAnsiTheme="minorEastAsia" w:eastAsiaTheme="minorEastAsia" w:cstheme="minorEastAsia"/>
          <w:color w:val="auto"/>
          <w:sz w:val="21"/>
          <w:szCs w:val="22"/>
          <w:highlight w:val="none"/>
        </w:rPr>
        <w:t>4.4注意事项</w:t>
      </w:r>
      <w:r>
        <w:rPr>
          <w:rFonts w:hint="eastAsia" w:asciiTheme="minorEastAsia" w:hAnsiTheme="minorEastAsia" w:eastAsiaTheme="minorEastAsia" w:cstheme="minorEastAsia"/>
          <w:color w:val="auto"/>
          <w:sz w:val="21"/>
          <w:szCs w:val="22"/>
          <w:highlight w:val="none"/>
          <w:lang w:eastAsia="zh-CN"/>
        </w:rPr>
        <w:t>：</w:t>
      </w:r>
      <w:r>
        <w:rPr>
          <w:rFonts w:hint="eastAsia" w:asciiTheme="minorEastAsia" w:hAnsiTheme="minorEastAsia" w:eastAsiaTheme="minorEastAsia" w:cstheme="minorEastAsia"/>
          <w:color w:val="auto"/>
          <w:sz w:val="21"/>
          <w:szCs w:val="22"/>
          <w:highlight w:val="none"/>
          <w:lang w:val="en-US" w:eastAsia="zh-CN"/>
        </w:rPr>
        <w:t>/</w:t>
      </w:r>
    </w:p>
    <w:p>
      <w:pPr>
        <w:adjustRightInd w:val="0"/>
        <w:snapToGrid w:val="0"/>
        <w:spacing w:before="240" w:beforeLines="100" w:after="120" w:afterLines="50"/>
        <w:outlineLvl w:val="1"/>
        <w:rPr>
          <w:rFonts w:hint="default" w:ascii="黑体" w:hAnsi="Calibri" w:eastAsia="黑体"/>
          <w:b/>
          <w:color w:val="auto"/>
          <w:sz w:val="24"/>
          <w:szCs w:val="22"/>
          <w:highlight w:val="none"/>
        </w:rPr>
      </w:pPr>
      <w:bookmarkStart w:id="98" w:name="_bookmark6"/>
      <w:bookmarkEnd w:id="98"/>
      <w:bookmarkStart w:id="99" w:name="_Toc9876"/>
      <w:bookmarkStart w:id="100" w:name="_Toc62221759"/>
      <w:bookmarkStart w:id="101" w:name="_Toc62221468"/>
      <w:bookmarkStart w:id="102" w:name="_Toc27799"/>
      <w:bookmarkStart w:id="103" w:name="_Toc4187"/>
      <w:bookmarkStart w:id="104" w:name="_Toc62222575"/>
      <w:bookmarkStart w:id="105" w:name="_Toc62222027"/>
      <w:bookmarkStart w:id="106" w:name="_Toc21329"/>
      <w:bookmarkStart w:id="107" w:name="_Toc3269"/>
      <w:bookmarkStart w:id="108" w:name="_Toc1043"/>
      <w:bookmarkStart w:id="109" w:name="_Toc62549134"/>
      <w:bookmarkStart w:id="110" w:name="_Toc62549190"/>
      <w:bookmarkStart w:id="111" w:name="_Toc2608"/>
      <w:bookmarkStart w:id="112" w:name="_Toc28817"/>
      <w:bookmarkStart w:id="113" w:name="_Toc1152"/>
      <w:bookmarkStart w:id="114" w:name="_Toc16643"/>
      <w:r>
        <w:rPr>
          <w:rFonts w:hint="eastAsia" w:ascii="黑体" w:hAnsi="Calibri" w:eastAsia="黑体"/>
          <w:b/>
          <w:color w:val="auto"/>
          <w:sz w:val="24"/>
          <w:szCs w:val="22"/>
          <w:highlight w:val="none"/>
        </w:rPr>
        <w:t>5.投标文件的</w:t>
      </w:r>
      <w:bookmarkEnd w:id="99"/>
      <w:bookmarkEnd w:id="100"/>
      <w:bookmarkEnd w:id="101"/>
      <w:bookmarkEnd w:id="102"/>
      <w:bookmarkEnd w:id="103"/>
      <w:bookmarkEnd w:id="104"/>
      <w:bookmarkEnd w:id="105"/>
      <w:bookmarkEnd w:id="106"/>
      <w:r>
        <w:rPr>
          <w:rFonts w:hint="eastAsia" w:ascii="黑体" w:hAnsi="Calibri" w:eastAsia="黑体"/>
          <w:b/>
          <w:color w:val="auto"/>
          <w:sz w:val="24"/>
          <w:szCs w:val="22"/>
          <w:highlight w:val="none"/>
        </w:rPr>
        <w:t>提交</w:t>
      </w:r>
      <w:bookmarkEnd w:id="107"/>
      <w:bookmarkEnd w:id="108"/>
      <w:bookmarkEnd w:id="109"/>
      <w:bookmarkEnd w:id="110"/>
      <w:bookmarkEnd w:id="111"/>
      <w:bookmarkEnd w:id="112"/>
      <w:bookmarkEnd w:id="113"/>
      <w:bookmarkEnd w:id="114"/>
    </w:p>
    <w:p>
      <w:pPr>
        <w:tabs>
          <w:tab w:val="left" w:pos="1200"/>
          <w:tab w:val="left" w:pos="3112"/>
          <w:tab w:val="left" w:pos="4600"/>
        </w:tabs>
        <w:spacing w:beforeLines="0" w:afterLines="0" w:line="400" w:lineRule="exact"/>
        <w:ind w:firstLine="420" w:firstLineChars="200"/>
        <w:rPr>
          <w:rFonts w:hint="eastAsia" w:asciiTheme="minorEastAsia" w:hAnsiTheme="minorEastAsia" w:eastAsiaTheme="minorEastAsia" w:cstheme="minorEastAsia"/>
          <w:color w:val="auto"/>
          <w:spacing w:val="7"/>
          <w:sz w:val="21"/>
          <w:szCs w:val="22"/>
          <w:highlight w:val="none"/>
        </w:rPr>
      </w:pPr>
      <w:bookmarkStart w:id="115" w:name="_bookmark7"/>
      <w:bookmarkEnd w:id="115"/>
      <w:r>
        <w:rPr>
          <w:rFonts w:hint="eastAsia" w:asciiTheme="minorEastAsia" w:hAnsiTheme="minorEastAsia" w:eastAsiaTheme="minorEastAsia" w:cstheme="minorEastAsia"/>
          <w:color w:val="auto"/>
          <w:sz w:val="21"/>
          <w:szCs w:val="22"/>
          <w:highlight w:val="none"/>
        </w:rPr>
        <w:t xml:space="preserve">5.1 </w:t>
      </w:r>
      <w:r>
        <w:rPr>
          <w:rFonts w:hint="eastAsia" w:asciiTheme="minorEastAsia" w:hAnsiTheme="minorEastAsia" w:eastAsiaTheme="minorEastAsia" w:cstheme="minorEastAsia"/>
          <w:b/>
          <w:color w:val="auto"/>
          <w:spacing w:val="7"/>
          <w:sz w:val="21"/>
          <w:szCs w:val="22"/>
          <w:highlight w:val="none"/>
        </w:rPr>
        <w:t>投标文件提交的截止时间（投标截止时间，下同）为</w:t>
      </w:r>
      <w:r>
        <w:rPr>
          <w:rFonts w:hint="eastAsia" w:ascii="宋体" w:hAnsi="宋体" w:cs="宋体"/>
          <w:b/>
          <w:bCs/>
          <w:color w:val="FF0000"/>
          <w:kern w:val="2"/>
          <w:sz w:val="21"/>
          <w:highlight w:val="none"/>
          <w:lang w:val="en-US" w:eastAsia="zh-CN"/>
        </w:rPr>
        <w:t>2025</w:t>
      </w:r>
      <w:r>
        <w:rPr>
          <w:rFonts w:hint="eastAsia" w:ascii="宋体" w:hAnsi="宋体" w:eastAsia="宋体" w:cs="宋体"/>
          <w:b/>
          <w:bCs/>
          <w:color w:val="FF0000"/>
          <w:kern w:val="2"/>
          <w:sz w:val="21"/>
          <w:highlight w:val="none"/>
          <w:lang w:val="en-US"/>
        </w:rPr>
        <w:t>年</w:t>
      </w:r>
      <w:r>
        <w:rPr>
          <w:rFonts w:hint="eastAsia" w:ascii="宋体" w:hAnsi="宋体" w:eastAsia="宋体" w:cs="宋体"/>
          <w:b/>
          <w:bCs/>
          <w:color w:val="FF0000"/>
          <w:kern w:val="2"/>
          <w:sz w:val="21"/>
          <w:highlight w:val="none"/>
          <w:lang w:val="en-US" w:eastAsia="zh-CN"/>
        </w:rPr>
        <w:t>7</w:t>
      </w:r>
      <w:r>
        <w:rPr>
          <w:rFonts w:hint="eastAsia" w:ascii="宋体" w:hAnsi="宋体" w:eastAsia="宋体" w:cs="宋体"/>
          <w:b/>
          <w:bCs/>
          <w:color w:val="FF0000"/>
          <w:kern w:val="2"/>
          <w:sz w:val="21"/>
          <w:highlight w:val="none"/>
          <w:lang w:val="en-US"/>
        </w:rPr>
        <w:t>月</w:t>
      </w:r>
      <w:r>
        <w:rPr>
          <w:rFonts w:hint="eastAsia" w:ascii="宋体" w:hAnsi="宋体" w:eastAsia="宋体" w:cs="宋体"/>
          <w:b/>
          <w:bCs/>
          <w:color w:val="FF0000"/>
          <w:kern w:val="2"/>
          <w:sz w:val="21"/>
          <w:highlight w:val="none"/>
          <w:lang w:val="en-US" w:eastAsia="zh-CN"/>
        </w:rPr>
        <w:t>28</w:t>
      </w:r>
      <w:r>
        <w:rPr>
          <w:rFonts w:hint="eastAsia" w:ascii="宋体" w:hAnsi="宋体" w:eastAsia="宋体" w:cs="宋体"/>
          <w:b/>
          <w:bCs/>
          <w:color w:val="FF0000"/>
          <w:kern w:val="2"/>
          <w:sz w:val="21"/>
          <w:highlight w:val="none"/>
          <w:lang w:val="en-US"/>
        </w:rPr>
        <w:t>日</w:t>
      </w:r>
      <w:r>
        <w:rPr>
          <w:rFonts w:hint="eastAsia" w:ascii="宋体" w:hAnsi="宋体" w:cs="宋体"/>
          <w:b/>
          <w:bCs/>
          <w:color w:val="FF0000"/>
          <w:kern w:val="2"/>
          <w:sz w:val="21"/>
          <w:highlight w:val="none"/>
          <w:lang w:val="en-US" w:eastAsia="zh-CN"/>
        </w:rPr>
        <w:t>9</w:t>
      </w:r>
      <w:r>
        <w:rPr>
          <w:rFonts w:hint="eastAsia" w:ascii="宋体" w:hAnsi="宋体" w:eastAsia="宋体" w:cs="宋体"/>
          <w:b/>
          <w:bCs/>
          <w:color w:val="FF0000"/>
          <w:kern w:val="2"/>
          <w:sz w:val="21"/>
          <w:highlight w:val="none"/>
          <w:lang w:val="en-US"/>
        </w:rPr>
        <w:t>:</w:t>
      </w:r>
      <w:r>
        <w:rPr>
          <w:rFonts w:hint="eastAsia" w:ascii="宋体" w:hAnsi="宋体" w:cs="宋体"/>
          <w:b/>
          <w:bCs/>
          <w:color w:val="FF0000"/>
          <w:kern w:val="2"/>
          <w:sz w:val="21"/>
          <w:highlight w:val="none"/>
          <w:lang w:val="en-US" w:eastAsia="zh-CN"/>
        </w:rPr>
        <w:t>00</w:t>
      </w:r>
      <w:r>
        <w:rPr>
          <w:rFonts w:hint="eastAsia" w:asciiTheme="minorEastAsia" w:hAnsiTheme="minorEastAsia" w:eastAsiaTheme="minorEastAsia" w:cstheme="minorEastAsia"/>
          <w:b/>
          <w:color w:val="auto"/>
          <w:spacing w:val="7"/>
          <w:sz w:val="21"/>
          <w:szCs w:val="22"/>
          <w:highlight w:val="none"/>
        </w:rPr>
        <w:t>（北京时间）。</w:t>
      </w:r>
    </w:p>
    <w:p>
      <w:pPr>
        <w:adjustRightInd w:val="0"/>
        <w:snapToGrid w:val="0"/>
        <w:spacing w:beforeLines="0" w:afterLines="0" w:line="400" w:lineRule="exact"/>
        <w:ind w:firstLine="422"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b/>
          <w:color w:val="auto"/>
          <w:sz w:val="21"/>
          <w:szCs w:val="22"/>
          <w:highlight w:val="none"/>
        </w:rPr>
        <w:t>投标文件提交时间：</w:t>
      </w:r>
      <w:r>
        <w:rPr>
          <w:rFonts w:hint="eastAsia" w:asciiTheme="minorEastAsia" w:hAnsiTheme="minorEastAsia" w:eastAsiaTheme="minorEastAsia" w:cstheme="minorEastAsia"/>
          <w:color w:val="auto"/>
          <w:sz w:val="21"/>
          <w:szCs w:val="22"/>
          <w:highlight w:val="none"/>
        </w:rPr>
        <w:t>所有投标文件应当在投标截止时间前递交（提交）招标人。</w:t>
      </w:r>
    </w:p>
    <w:p>
      <w:pPr>
        <w:keepNext w:val="0"/>
        <w:keepLines w:val="0"/>
        <w:pageBreakBefore w:val="0"/>
        <w:widowControl w:val="0"/>
        <w:kinsoku/>
        <w:wordWrap/>
        <w:overflowPunct/>
        <w:topLinePunct w:val="0"/>
        <w:autoSpaceDE/>
        <w:autoSpaceDN/>
        <w:bidi w:val="0"/>
        <w:adjustRightInd w:val="0"/>
        <w:snapToGrid w:val="0"/>
        <w:spacing w:line="400" w:lineRule="exact"/>
        <w:ind w:firstLine="422" w:firstLineChars="200"/>
        <w:textAlignment w:val="auto"/>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b/>
          <w:color w:val="auto"/>
          <w:sz w:val="21"/>
          <w:szCs w:val="22"/>
          <w:highlight w:val="none"/>
        </w:rPr>
        <w:t>投标文件提交地点：</w:t>
      </w:r>
      <w:r>
        <w:rPr>
          <w:rStyle w:val="21"/>
          <w:rFonts w:hint="eastAsia" w:ascii="宋体" w:hAnsi="宋体" w:eastAsia="宋体" w:cs="宋体"/>
          <w:bCs/>
          <w:sz w:val="21"/>
          <w:szCs w:val="21"/>
          <w:highlight w:val="none"/>
        </w:rPr>
        <w:t>电子投标文件提交招标人招投标交易平台信息系统</w:t>
      </w:r>
    </w:p>
    <w:p>
      <w:pPr>
        <w:pStyle w:val="11"/>
        <w:keepNext w:val="0"/>
        <w:keepLines w:val="0"/>
        <w:pageBreakBefore w:val="0"/>
        <w:widowControl w:val="0"/>
        <w:kinsoku/>
        <w:wordWrap/>
        <w:overflowPunct/>
        <w:topLinePunct w:val="0"/>
        <w:autoSpaceDE/>
        <w:autoSpaceDN/>
        <w:bidi w:val="0"/>
        <w:adjustRightInd/>
        <w:snapToGrid/>
        <w:spacing w:line="400" w:lineRule="exact"/>
        <w:ind w:firstLine="420"/>
        <w:textAlignment w:val="auto"/>
        <w:rPr>
          <w:rStyle w:val="21"/>
          <w:rFonts w:hint="eastAsia" w:ascii="宋体" w:hAnsi="宋体" w:eastAsia="宋体" w:cs="宋体"/>
          <w:kern w:val="2"/>
          <w:sz w:val="21"/>
          <w:szCs w:val="21"/>
          <w:highlight w:val="none"/>
          <w:lang w:val="en-US" w:eastAsia="zh-CN" w:bidi="ar-SA"/>
        </w:rPr>
      </w:pPr>
      <w:r>
        <w:rPr>
          <w:rStyle w:val="21"/>
          <w:rFonts w:hint="eastAsia" w:ascii="宋体" w:hAnsi="宋体" w:eastAsia="宋体" w:cs="宋体"/>
          <w:sz w:val="21"/>
          <w:szCs w:val="21"/>
          <w:highlight w:val="none"/>
        </w:rPr>
        <w:t>电子投标文件递交方式详见投标文件格式。因电子商务平台容量限制，</w:t>
      </w:r>
      <w:r>
        <w:rPr>
          <w:rStyle w:val="21"/>
          <w:rFonts w:hint="eastAsia" w:ascii="宋体" w:hAnsi="宋体" w:eastAsia="宋体" w:cs="宋体"/>
          <w:b/>
          <w:bCs/>
          <w:sz w:val="21"/>
          <w:szCs w:val="21"/>
          <w:highlight w:val="none"/>
        </w:rPr>
        <w:t>完整的商务技术投标文件须</w:t>
      </w:r>
      <w:r>
        <w:rPr>
          <w:rStyle w:val="21"/>
          <w:rFonts w:hint="eastAsia" w:ascii="宋体" w:hAnsi="宋体" w:eastAsia="宋体" w:cs="宋体"/>
          <w:b/>
          <w:bCs/>
          <w:sz w:val="21"/>
          <w:szCs w:val="21"/>
          <w:highlight w:val="none"/>
          <w:lang w:val="en-US" w:eastAsia="zh-CN"/>
        </w:rPr>
        <w:t>通过</w:t>
      </w:r>
      <w:r>
        <w:rPr>
          <w:rStyle w:val="21"/>
          <w:rFonts w:hint="eastAsia" w:ascii="宋体" w:hAnsi="宋体" w:eastAsia="宋体" w:cs="宋体"/>
          <w:b/>
          <w:bCs/>
          <w:sz w:val="21"/>
          <w:szCs w:val="21"/>
          <w:highlight w:val="none"/>
        </w:rPr>
        <w:t>“湖南湘能创业项目管理有限公司-招标采购管理平台供应商门户”（</w:t>
      </w:r>
      <w:r>
        <w:rPr>
          <w:rStyle w:val="21"/>
          <w:rFonts w:hint="eastAsia" w:ascii="宋体" w:hAnsi="宋体" w:eastAsia="宋体" w:cs="宋体"/>
          <w:b/>
          <w:bCs/>
          <w:sz w:val="21"/>
          <w:szCs w:val="21"/>
          <w:highlight w:val="none"/>
          <w:lang w:eastAsia="zh-CN"/>
        </w:rPr>
        <w:t>以下</w:t>
      </w:r>
      <w:r>
        <w:rPr>
          <w:rStyle w:val="21"/>
          <w:rFonts w:hint="eastAsia" w:ascii="宋体" w:hAnsi="宋体" w:eastAsia="宋体" w:cs="宋体"/>
          <w:b/>
          <w:bCs/>
          <w:sz w:val="21"/>
          <w:szCs w:val="21"/>
          <w:highlight w:val="none"/>
        </w:rPr>
        <w:t>简称“供应商门户”）（https://xncy.hn.sgcc.com.cn:28080/）的“</w:t>
      </w:r>
      <w:r>
        <w:rPr>
          <w:rStyle w:val="21"/>
          <w:rFonts w:hint="eastAsia" w:ascii="宋体" w:hAnsi="宋体" w:eastAsia="宋体" w:cs="宋体"/>
          <w:b/>
          <w:bCs/>
          <w:sz w:val="21"/>
          <w:szCs w:val="21"/>
          <w:highlight w:val="none"/>
          <w:lang w:val="en-US" w:eastAsia="zh-CN"/>
        </w:rPr>
        <w:t>投标文件上传工具</w:t>
      </w:r>
      <w:r>
        <w:rPr>
          <w:rStyle w:val="21"/>
          <w:rFonts w:hint="eastAsia" w:ascii="宋体" w:hAnsi="宋体" w:eastAsia="宋体" w:cs="宋体"/>
          <w:b/>
          <w:bCs/>
          <w:sz w:val="21"/>
          <w:szCs w:val="21"/>
          <w:highlight w:val="none"/>
        </w:rPr>
        <w:t>”</w:t>
      </w:r>
      <w:r>
        <w:rPr>
          <w:rStyle w:val="21"/>
          <w:rFonts w:hint="eastAsia" w:ascii="宋体" w:hAnsi="宋体" w:eastAsia="宋体" w:cs="宋体"/>
          <w:b/>
          <w:bCs/>
          <w:sz w:val="21"/>
          <w:szCs w:val="21"/>
          <w:highlight w:val="none"/>
          <w:lang w:val="en-US" w:eastAsia="zh-CN"/>
        </w:rPr>
        <w:t>上传</w:t>
      </w:r>
      <w:r>
        <w:rPr>
          <w:rStyle w:val="21"/>
          <w:rFonts w:hint="eastAsia" w:ascii="宋体" w:hAnsi="宋体" w:eastAsia="宋体" w:cs="宋体"/>
          <w:b/>
          <w:bCs/>
          <w:sz w:val="21"/>
          <w:szCs w:val="21"/>
          <w:highlight w:val="none"/>
        </w:rPr>
        <w:t>，投标人应在投标截止时间前完成上传提交。</w:t>
      </w:r>
      <w:r>
        <w:rPr>
          <w:rStyle w:val="21"/>
          <w:rFonts w:hint="eastAsia" w:ascii="宋体" w:hAnsi="宋体" w:eastAsia="宋体" w:cs="宋体"/>
          <w:b w:val="0"/>
          <w:bCs w:val="0"/>
          <w:sz w:val="21"/>
          <w:szCs w:val="21"/>
          <w:highlight w:val="yellow"/>
          <w:u w:val="none"/>
        </w:rPr>
        <w:t>“供应商门户”服务电话</w:t>
      </w:r>
      <w:r>
        <w:rPr>
          <w:rStyle w:val="21"/>
          <w:rFonts w:hint="eastAsia" w:ascii="宋体" w:hAnsi="宋体" w:eastAsia="宋体" w:cs="宋体"/>
          <w:b w:val="0"/>
          <w:bCs w:val="0"/>
          <w:sz w:val="21"/>
          <w:szCs w:val="21"/>
          <w:highlight w:val="yellow"/>
          <w:u w:val="none"/>
          <w:lang w:eastAsia="zh-CN"/>
        </w:rPr>
        <w:t>：</w:t>
      </w:r>
      <w:r>
        <w:rPr>
          <w:rStyle w:val="21"/>
          <w:rFonts w:hint="eastAsia" w:ascii="宋体" w:hAnsi="宋体" w:eastAsia="宋体" w:cs="宋体"/>
          <w:sz w:val="21"/>
          <w:szCs w:val="21"/>
          <w:highlight w:val="yellow"/>
          <w:u w:val="single"/>
        </w:rPr>
        <w:t>孙工：18274823670</w:t>
      </w:r>
      <w:r>
        <w:rPr>
          <w:rStyle w:val="21"/>
          <w:rFonts w:hint="eastAsia" w:ascii="宋体" w:hAnsi="宋体" w:eastAsia="宋体" w:cs="宋体"/>
          <w:sz w:val="21"/>
          <w:szCs w:val="21"/>
          <w:highlight w:val="yellow"/>
          <w:u w:val="single"/>
          <w:lang w:eastAsia="zh-CN"/>
        </w:rPr>
        <w:t>（</w:t>
      </w:r>
      <w:r>
        <w:rPr>
          <w:rStyle w:val="21"/>
          <w:rFonts w:hint="eastAsia" w:ascii="宋体" w:hAnsi="宋体" w:eastAsia="宋体" w:cs="宋体"/>
          <w:sz w:val="21"/>
          <w:szCs w:val="21"/>
          <w:highlight w:val="yellow"/>
          <w:u w:val="single"/>
        </w:rPr>
        <w:t>8:30-18:00</w:t>
      </w:r>
      <w:r>
        <w:rPr>
          <w:rStyle w:val="21"/>
          <w:rFonts w:hint="eastAsia" w:ascii="宋体" w:hAnsi="宋体" w:eastAsia="宋体" w:cs="宋体"/>
          <w:sz w:val="21"/>
          <w:szCs w:val="21"/>
          <w:highlight w:val="yellow"/>
          <w:u w:val="single"/>
          <w:lang w:eastAsia="zh-CN"/>
        </w:rPr>
        <w:t>）</w:t>
      </w:r>
    </w:p>
    <w:p>
      <w:pPr>
        <w:pStyle w:val="4"/>
        <w:keepNext w:val="0"/>
        <w:keepLines w:val="0"/>
        <w:pageBreakBefore w:val="0"/>
        <w:widowControl w:val="0"/>
        <w:kinsoku/>
        <w:wordWrap/>
        <w:overflowPunct/>
        <w:topLinePunct w:val="0"/>
        <w:autoSpaceDE/>
        <w:autoSpaceDN/>
        <w:bidi w:val="0"/>
        <w:adjustRightInd w:val="0"/>
        <w:snapToGrid w:val="0"/>
        <w:spacing w:after="60" w:line="400" w:lineRule="exact"/>
        <w:ind w:firstLine="422" w:firstLineChars="200"/>
        <w:textAlignment w:val="auto"/>
        <w:rPr>
          <w:rStyle w:val="21"/>
          <w:rFonts w:hint="eastAsia" w:ascii="宋体" w:hAnsi="宋体" w:eastAsia="宋体" w:cs="宋体"/>
          <w:b/>
          <w:sz w:val="21"/>
          <w:szCs w:val="21"/>
          <w:highlight w:val="none"/>
        </w:rPr>
      </w:pPr>
      <w:r>
        <w:rPr>
          <w:rStyle w:val="21"/>
          <w:rFonts w:hint="eastAsia" w:ascii="宋体" w:hAnsi="宋体" w:eastAsia="宋体" w:cs="宋体"/>
          <w:b/>
          <w:sz w:val="21"/>
          <w:szCs w:val="21"/>
          <w:highlight w:val="none"/>
        </w:rPr>
        <w:t>电子投标文件提交说明：</w:t>
      </w:r>
    </w:p>
    <w:tbl>
      <w:tblPr>
        <w:tblStyle w:val="20"/>
        <w:tblW w:w="4893" w:type="pct"/>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74"/>
        <w:gridCol w:w="1864"/>
        <w:gridCol w:w="4602"/>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123" w:type="pct"/>
            <w:vAlign w:val="center"/>
          </w:tcPr>
          <w:p>
            <w:pPr>
              <w:pStyle w:val="4"/>
              <w:tabs>
                <w:tab w:val="left" w:pos="620"/>
              </w:tabs>
              <w:adjustRightInd w:val="0"/>
              <w:spacing w:line="320" w:lineRule="exact"/>
              <w:jc w:val="center"/>
              <w:rPr>
                <w:rStyle w:val="21"/>
                <w:rFonts w:hint="eastAsia" w:ascii="宋体" w:hAnsi="宋体" w:eastAsia="宋体" w:cs="宋体"/>
                <w:b/>
                <w:bCs/>
                <w:sz w:val="18"/>
                <w:szCs w:val="18"/>
                <w:highlight w:val="none"/>
              </w:rPr>
            </w:pPr>
            <w:r>
              <w:rPr>
                <w:rStyle w:val="21"/>
                <w:rFonts w:hint="eastAsia" w:ascii="宋体" w:hAnsi="宋体" w:eastAsia="宋体" w:cs="宋体"/>
                <w:b/>
                <w:bCs/>
                <w:sz w:val="18"/>
                <w:szCs w:val="18"/>
                <w:highlight w:val="none"/>
              </w:rPr>
              <w:t>电子投标文件内容</w:t>
            </w:r>
          </w:p>
        </w:tc>
        <w:tc>
          <w:tcPr>
            <w:tcW w:w="1117" w:type="pct"/>
            <w:vAlign w:val="center"/>
          </w:tcPr>
          <w:p>
            <w:pPr>
              <w:pStyle w:val="4"/>
              <w:tabs>
                <w:tab w:val="left" w:pos="620"/>
              </w:tabs>
              <w:adjustRightInd w:val="0"/>
              <w:spacing w:line="320" w:lineRule="exact"/>
              <w:jc w:val="center"/>
              <w:rPr>
                <w:rStyle w:val="21"/>
                <w:rFonts w:hint="eastAsia" w:ascii="宋体" w:hAnsi="宋体" w:eastAsia="宋体" w:cs="宋体"/>
                <w:b/>
                <w:bCs/>
                <w:sz w:val="18"/>
                <w:szCs w:val="18"/>
                <w:highlight w:val="none"/>
              </w:rPr>
            </w:pPr>
            <w:r>
              <w:rPr>
                <w:rStyle w:val="21"/>
                <w:rFonts w:hint="eastAsia" w:ascii="宋体" w:hAnsi="宋体" w:eastAsia="宋体" w:cs="宋体"/>
                <w:b/>
                <w:bCs/>
                <w:sz w:val="18"/>
                <w:szCs w:val="18"/>
                <w:highlight w:val="none"/>
              </w:rPr>
              <w:t>文件上传要求</w:t>
            </w:r>
          </w:p>
        </w:tc>
        <w:tc>
          <w:tcPr>
            <w:tcW w:w="2758" w:type="pct"/>
            <w:vAlign w:val="center"/>
          </w:tcPr>
          <w:p>
            <w:pPr>
              <w:pStyle w:val="4"/>
              <w:tabs>
                <w:tab w:val="left" w:pos="620"/>
              </w:tabs>
              <w:adjustRightInd w:val="0"/>
              <w:spacing w:line="320" w:lineRule="exact"/>
              <w:jc w:val="center"/>
              <w:rPr>
                <w:rStyle w:val="21"/>
                <w:rFonts w:hint="eastAsia" w:ascii="宋体" w:hAnsi="宋体" w:eastAsia="宋体" w:cs="宋体"/>
                <w:b/>
                <w:bCs/>
                <w:sz w:val="18"/>
                <w:szCs w:val="18"/>
                <w:highlight w:val="none"/>
              </w:rPr>
            </w:pPr>
            <w:r>
              <w:rPr>
                <w:rStyle w:val="21"/>
                <w:rFonts w:hint="eastAsia" w:ascii="宋体" w:hAnsi="宋体" w:eastAsia="宋体" w:cs="宋体"/>
                <w:b/>
                <w:bCs/>
                <w:sz w:val="18"/>
                <w:szCs w:val="18"/>
                <w:highlight w:val="none"/>
              </w:rPr>
              <w:t>备注</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3" w:hRule="atLeast"/>
          <w:tblHeader/>
          <w:jc w:val="center"/>
        </w:trPr>
        <w:tc>
          <w:tcPr>
            <w:tcW w:w="1123" w:type="pct"/>
            <w:vAlign w:val="center"/>
          </w:tcPr>
          <w:p>
            <w:pPr>
              <w:pStyle w:val="4"/>
              <w:tabs>
                <w:tab w:val="left" w:pos="620"/>
              </w:tabs>
              <w:adjustRightInd w:val="0"/>
              <w:spacing w:line="320" w:lineRule="exact"/>
              <w:jc w:val="center"/>
              <w:rPr>
                <w:rStyle w:val="21"/>
                <w:rFonts w:hint="eastAsia" w:ascii="宋体" w:hAnsi="宋体" w:eastAsia="宋体" w:cs="宋体"/>
                <w:b w:val="0"/>
                <w:bCs w:val="0"/>
                <w:sz w:val="18"/>
                <w:szCs w:val="18"/>
                <w:highlight w:val="none"/>
              </w:rPr>
            </w:pPr>
            <w:r>
              <w:rPr>
                <w:rStyle w:val="21"/>
                <w:rFonts w:hint="eastAsia" w:ascii="宋体" w:hAnsi="宋体" w:eastAsia="宋体" w:cs="宋体"/>
                <w:b w:val="0"/>
                <w:bCs w:val="0"/>
                <w:sz w:val="18"/>
                <w:szCs w:val="18"/>
                <w:highlight w:val="none"/>
              </w:rPr>
              <w:t>开标文件</w:t>
            </w:r>
          </w:p>
        </w:tc>
        <w:tc>
          <w:tcPr>
            <w:tcW w:w="1117" w:type="pct"/>
            <w:vAlign w:val="center"/>
          </w:tcPr>
          <w:p>
            <w:pPr>
              <w:pStyle w:val="4"/>
              <w:tabs>
                <w:tab w:val="left" w:pos="620"/>
              </w:tabs>
              <w:adjustRightInd w:val="0"/>
              <w:spacing w:line="320" w:lineRule="exact"/>
              <w:rPr>
                <w:rStyle w:val="21"/>
                <w:rFonts w:hint="eastAsia" w:ascii="宋体" w:hAnsi="宋体" w:eastAsia="宋体" w:cs="宋体"/>
                <w:b w:val="0"/>
                <w:bCs w:val="0"/>
                <w:sz w:val="18"/>
                <w:szCs w:val="18"/>
                <w:highlight w:val="none"/>
              </w:rPr>
            </w:pPr>
            <w:r>
              <w:rPr>
                <w:rStyle w:val="21"/>
                <w:rFonts w:hint="eastAsia" w:ascii="宋体" w:hAnsi="宋体" w:eastAsia="宋体" w:cs="宋体"/>
                <w:b w:val="0"/>
                <w:bCs w:val="0"/>
                <w:sz w:val="18"/>
                <w:szCs w:val="18"/>
                <w:highlight w:val="none"/>
              </w:rPr>
              <w:t>仅须上传至招标人招投标交易平台信息系统（ECP2.0）</w:t>
            </w:r>
          </w:p>
        </w:tc>
        <w:tc>
          <w:tcPr>
            <w:tcW w:w="2758" w:type="pct"/>
            <w:vAlign w:val="center"/>
          </w:tcPr>
          <w:p>
            <w:pPr>
              <w:pStyle w:val="12"/>
              <w:tabs>
                <w:tab w:val="left" w:pos="620"/>
              </w:tabs>
              <w:adjustRightInd w:val="0"/>
              <w:spacing w:line="320" w:lineRule="exact"/>
              <w:rPr>
                <w:rStyle w:val="21"/>
                <w:rFonts w:hint="eastAsia" w:ascii="宋体" w:hAnsi="宋体" w:eastAsia="宋体" w:cs="宋体"/>
                <w:b w:val="0"/>
                <w:bCs w:val="0"/>
                <w:sz w:val="18"/>
                <w:szCs w:val="18"/>
                <w:highlight w:val="none"/>
                <w:lang w:val="en-US" w:eastAsia="zh-CN"/>
              </w:rPr>
            </w:pPr>
            <w:r>
              <w:rPr>
                <w:rStyle w:val="21"/>
                <w:rFonts w:hint="eastAsia" w:eastAsia="宋体"/>
                <w:sz w:val="18"/>
                <w:szCs w:val="18"/>
                <w:highlight w:val="none"/>
              </w:rPr>
              <w:t>电子应答文件第一册包含报价文件提交至“国家电网有限公司电子商务平台”（https://ecp.sgcc.com.cn），电子应答文件第二册包含商务文件和技术文件，提交至“湖南湘能创业项目管理有限公司-招标采购管理平台供应商门户”（https://xncy.hn.sgcc.com.cn:28080/），（简称“供应商门户”）</w:t>
            </w:r>
            <w:r>
              <w:rPr>
                <w:rStyle w:val="21"/>
                <w:rFonts w:hint="eastAsia" w:eastAsia="宋体"/>
                <w:sz w:val="18"/>
                <w:szCs w:val="18"/>
                <w:highlight w:val="none"/>
                <w:lang w:eastAsia="zh-CN"/>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875" w:hRule="atLeast"/>
          <w:jc w:val="center"/>
        </w:trPr>
        <w:tc>
          <w:tcPr>
            <w:tcW w:w="1123" w:type="pct"/>
            <w:vAlign w:val="center"/>
          </w:tcPr>
          <w:p>
            <w:pPr>
              <w:pStyle w:val="4"/>
              <w:tabs>
                <w:tab w:val="left" w:pos="620"/>
              </w:tabs>
              <w:adjustRightInd w:val="0"/>
              <w:spacing w:line="320" w:lineRule="exact"/>
              <w:jc w:val="center"/>
              <w:rPr>
                <w:rStyle w:val="21"/>
                <w:rFonts w:hint="eastAsia" w:ascii="宋体" w:hAnsi="宋体" w:eastAsia="宋体" w:cs="宋体"/>
                <w:b w:val="0"/>
                <w:bCs w:val="0"/>
                <w:sz w:val="18"/>
                <w:szCs w:val="18"/>
                <w:highlight w:val="none"/>
              </w:rPr>
            </w:pPr>
            <w:r>
              <w:rPr>
                <w:rStyle w:val="21"/>
                <w:rFonts w:hint="eastAsia" w:ascii="宋体" w:hAnsi="宋体" w:eastAsia="宋体" w:cs="宋体"/>
                <w:b w:val="0"/>
                <w:bCs w:val="0"/>
                <w:sz w:val="18"/>
                <w:szCs w:val="18"/>
                <w:highlight w:val="none"/>
              </w:rPr>
              <w:t>技术文件</w:t>
            </w:r>
          </w:p>
        </w:tc>
        <w:tc>
          <w:tcPr>
            <w:tcW w:w="1117" w:type="pct"/>
            <w:vAlign w:val="center"/>
          </w:tcPr>
          <w:p>
            <w:pPr>
              <w:pStyle w:val="4"/>
              <w:tabs>
                <w:tab w:val="left" w:pos="620"/>
              </w:tabs>
              <w:adjustRightInd w:val="0"/>
              <w:spacing w:line="320" w:lineRule="exact"/>
              <w:rPr>
                <w:rStyle w:val="21"/>
                <w:rFonts w:hint="eastAsia" w:ascii="宋体" w:hAnsi="宋体" w:eastAsia="宋体" w:cs="宋体"/>
                <w:b w:val="0"/>
                <w:bCs w:val="0"/>
                <w:sz w:val="18"/>
                <w:szCs w:val="18"/>
                <w:highlight w:val="none"/>
              </w:rPr>
            </w:pPr>
            <w:r>
              <w:rPr>
                <w:rStyle w:val="21"/>
                <w:rFonts w:hint="eastAsia" w:eastAsia="宋体"/>
                <w:sz w:val="18"/>
                <w:szCs w:val="18"/>
              </w:rPr>
              <w:t>上传至招标人招投标交易平台信息系统（ECP2.0）以及</w:t>
            </w:r>
            <w:r>
              <w:rPr>
                <w:rStyle w:val="21"/>
                <w:rFonts w:hint="eastAsia" w:eastAsia="宋体" w:cs="Times New Roman"/>
                <w:sz w:val="18"/>
                <w:szCs w:val="18"/>
                <w:highlight w:val="yellow"/>
                <w:u w:val="none"/>
              </w:rPr>
              <w:t>“供应商门户”</w:t>
            </w:r>
          </w:p>
        </w:tc>
        <w:tc>
          <w:tcPr>
            <w:tcW w:w="2758" w:type="pct"/>
            <w:vAlign w:val="center"/>
          </w:tcPr>
          <w:p>
            <w:pPr>
              <w:pStyle w:val="4"/>
              <w:tabs>
                <w:tab w:val="left" w:pos="620"/>
              </w:tabs>
              <w:adjustRightInd w:val="0"/>
              <w:spacing w:line="320" w:lineRule="exact"/>
              <w:rPr>
                <w:rStyle w:val="21"/>
                <w:rFonts w:hint="eastAsia" w:eastAsia="宋体"/>
                <w:sz w:val="18"/>
                <w:szCs w:val="18"/>
                <w:highlight w:val="none"/>
              </w:rPr>
            </w:pPr>
            <w:r>
              <w:rPr>
                <w:rStyle w:val="21"/>
                <w:rFonts w:hint="eastAsia" w:eastAsia="宋体"/>
                <w:sz w:val="18"/>
                <w:szCs w:val="18"/>
                <w:highlight w:val="none"/>
              </w:rPr>
              <w:t>ECP2.0电子投标文件（按投标文件格式要求上传）和</w:t>
            </w:r>
            <w:r>
              <w:rPr>
                <w:rStyle w:val="21"/>
                <w:rFonts w:hint="eastAsia" w:eastAsia="宋体"/>
                <w:sz w:val="18"/>
                <w:szCs w:val="18"/>
                <w:highlight w:val="none"/>
                <w:lang w:eastAsia="zh-CN"/>
              </w:rPr>
              <w:t>“供应商门户”</w:t>
            </w:r>
            <w:r>
              <w:rPr>
                <w:rStyle w:val="21"/>
                <w:rFonts w:hint="eastAsia" w:eastAsia="宋体"/>
                <w:sz w:val="18"/>
                <w:szCs w:val="18"/>
                <w:highlight w:val="none"/>
              </w:rPr>
              <w:t>系统电子投标文件同时上传的部分应保持内容的一致性，否则由此造成的不良后果由投标人自行承担。</w:t>
            </w:r>
          </w:p>
          <w:p>
            <w:pPr>
              <w:pStyle w:val="4"/>
              <w:tabs>
                <w:tab w:val="left" w:pos="620"/>
              </w:tabs>
              <w:adjustRightInd w:val="0"/>
              <w:spacing w:line="320" w:lineRule="exact"/>
              <w:rPr>
                <w:rStyle w:val="21"/>
                <w:rFonts w:hint="eastAsia" w:ascii="宋体" w:hAnsi="宋体" w:eastAsia="宋体" w:cs="宋体"/>
                <w:b w:val="0"/>
                <w:bCs w:val="0"/>
                <w:sz w:val="18"/>
                <w:szCs w:val="18"/>
                <w:highlight w:val="none"/>
                <w:lang w:val="en-US" w:eastAsia="zh-CN"/>
              </w:rPr>
            </w:pPr>
            <w:r>
              <w:rPr>
                <w:rStyle w:val="21"/>
                <w:rFonts w:hint="eastAsia" w:eastAsia="宋体"/>
                <w:sz w:val="18"/>
                <w:szCs w:val="18"/>
                <w:highlight w:val="none"/>
              </w:rPr>
              <w:t>投标人应保证上传至</w:t>
            </w:r>
            <w:r>
              <w:rPr>
                <w:rStyle w:val="21"/>
                <w:rFonts w:hint="eastAsia" w:eastAsia="宋体"/>
                <w:b/>
                <w:bCs/>
                <w:sz w:val="18"/>
                <w:szCs w:val="18"/>
                <w:highlight w:val="none"/>
              </w:rPr>
              <w:t>“供应商门户”中的“投标文件上传工具”</w:t>
            </w:r>
            <w:r>
              <w:rPr>
                <w:rStyle w:val="21"/>
                <w:rFonts w:hint="eastAsia" w:eastAsia="宋体"/>
                <w:sz w:val="18"/>
                <w:szCs w:val="18"/>
                <w:highlight w:val="none"/>
              </w:rPr>
              <w:t>的</w:t>
            </w:r>
            <w:r>
              <w:rPr>
                <w:rStyle w:val="21"/>
                <w:rFonts w:hint="eastAsia" w:ascii="Calibri" w:hAnsi="Calibri" w:eastAsia="宋体" w:cs="Times New Roman"/>
                <w:b/>
                <w:bCs/>
                <w:color w:val="FF0000"/>
                <w:sz w:val="18"/>
                <w:szCs w:val="18"/>
                <w:highlight w:val="none"/>
                <w:lang w:eastAsia="zh-CN"/>
              </w:rPr>
              <w:t>技术</w:t>
            </w:r>
            <w:r>
              <w:rPr>
                <w:rStyle w:val="21"/>
                <w:rFonts w:hint="eastAsia" w:ascii="Calibri" w:hAnsi="Calibri" w:eastAsia="宋体" w:cs="Times New Roman"/>
                <w:b/>
                <w:bCs/>
                <w:color w:val="FF0000"/>
                <w:sz w:val="18"/>
                <w:szCs w:val="18"/>
                <w:highlight w:val="none"/>
              </w:rPr>
              <w:t>投</w:t>
            </w:r>
            <w:r>
              <w:rPr>
                <w:rStyle w:val="21"/>
                <w:rFonts w:hint="eastAsia" w:eastAsia="宋体"/>
                <w:b/>
                <w:bCs/>
                <w:color w:val="FF0000"/>
                <w:sz w:val="18"/>
                <w:szCs w:val="18"/>
                <w:highlight w:val="none"/>
              </w:rPr>
              <w:t>标文件</w:t>
            </w:r>
            <w:r>
              <w:rPr>
                <w:rStyle w:val="21"/>
                <w:rFonts w:hint="eastAsia" w:eastAsia="宋体"/>
                <w:sz w:val="18"/>
                <w:szCs w:val="18"/>
                <w:highlight w:val="none"/>
              </w:rPr>
              <w:t>（双层PDF格式）清晰、完整</w:t>
            </w:r>
            <w:r>
              <w:rPr>
                <w:rStyle w:val="21"/>
                <w:rFonts w:hint="eastAsia" w:eastAsia="宋体"/>
                <w:b/>
                <w:bCs/>
                <w:color w:val="auto"/>
                <w:sz w:val="18"/>
                <w:szCs w:val="18"/>
                <w:highlight w:val="none"/>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23" w:type="pct"/>
            <w:vAlign w:val="center"/>
          </w:tcPr>
          <w:p>
            <w:pPr>
              <w:pStyle w:val="4"/>
              <w:tabs>
                <w:tab w:val="left" w:pos="620"/>
              </w:tabs>
              <w:adjustRightInd w:val="0"/>
              <w:spacing w:line="320" w:lineRule="exact"/>
              <w:jc w:val="center"/>
              <w:rPr>
                <w:rStyle w:val="21"/>
                <w:rFonts w:ascii="宋体" w:hAnsi="宋体" w:eastAsia="宋体" w:cs="宋体"/>
                <w:b w:val="0"/>
                <w:bCs w:val="0"/>
                <w:sz w:val="18"/>
                <w:szCs w:val="18"/>
                <w:highlight w:val="none"/>
              </w:rPr>
            </w:pPr>
            <w:r>
              <w:rPr>
                <w:rStyle w:val="21"/>
                <w:rFonts w:hint="eastAsia" w:ascii="宋体" w:hAnsi="宋体" w:eastAsia="宋体" w:cs="宋体"/>
                <w:b w:val="0"/>
                <w:bCs w:val="0"/>
                <w:sz w:val="18"/>
                <w:szCs w:val="18"/>
                <w:highlight w:val="none"/>
              </w:rPr>
              <w:t>商务文件</w:t>
            </w:r>
          </w:p>
        </w:tc>
        <w:tc>
          <w:tcPr>
            <w:tcW w:w="1117" w:type="pct"/>
            <w:vAlign w:val="center"/>
          </w:tcPr>
          <w:p>
            <w:pPr>
              <w:pStyle w:val="4"/>
              <w:tabs>
                <w:tab w:val="left" w:pos="620"/>
              </w:tabs>
              <w:adjustRightInd w:val="0"/>
              <w:spacing w:line="320" w:lineRule="exact"/>
              <w:rPr>
                <w:rStyle w:val="21"/>
                <w:rFonts w:ascii="宋体" w:hAnsi="宋体" w:eastAsia="宋体" w:cs="宋体"/>
                <w:b w:val="0"/>
                <w:bCs w:val="0"/>
                <w:sz w:val="18"/>
                <w:szCs w:val="18"/>
                <w:highlight w:val="none"/>
              </w:rPr>
            </w:pPr>
            <w:r>
              <w:rPr>
                <w:rStyle w:val="21"/>
                <w:rFonts w:hint="eastAsia" w:eastAsia="宋体"/>
                <w:sz w:val="18"/>
                <w:szCs w:val="18"/>
              </w:rPr>
              <w:t>上传至招标人招投标交易平台信息系统（ECP2.0）以及</w:t>
            </w:r>
            <w:r>
              <w:rPr>
                <w:rStyle w:val="21"/>
                <w:rFonts w:hint="eastAsia" w:eastAsia="宋体" w:cs="Times New Roman"/>
                <w:sz w:val="18"/>
                <w:szCs w:val="18"/>
                <w:highlight w:val="yellow"/>
                <w:u w:val="none"/>
              </w:rPr>
              <w:t>“供应商门户”</w:t>
            </w:r>
          </w:p>
        </w:tc>
        <w:tc>
          <w:tcPr>
            <w:tcW w:w="2758" w:type="pct"/>
            <w:vAlign w:val="center"/>
          </w:tcPr>
          <w:p>
            <w:pPr>
              <w:pStyle w:val="4"/>
              <w:tabs>
                <w:tab w:val="left" w:pos="620"/>
              </w:tabs>
              <w:adjustRightInd w:val="0"/>
              <w:spacing w:line="320" w:lineRule="exact"/>
              <w:ind w:firstLine="360" w:firstLineChars="200"/>
              <w:rPr>
                <w:rStyle w:val="21"/>
                <w:rFonts w:hint="eastAsia" w:ascii="宋体" w:hAnsi="宋体" w:eastAsia="宋体" w:cs="宋体"/>
                <w:b/>
                <w:bCs/>
                <w:color w:val="FF0000"/>
                <w:sz w:val="18"/>
                <w:szCs w:val="18"/>
                <w:highlight w:val="yellow"/>
                <w:lang w:val="en-US" w:eastAsia="zh-CN"/>
              </w:rPr>
            </w:pPr>
            <w:r>
              <w:rPr>
                <w:rStyle w:val="21"/>
                <w:rFonts w:hint="eastAsia" w:eastAsia="宋体"/>
                <w:sz w:val="18"/>
                <w:szCs w:val="18"/>
                <w:highlight w:val="none"/>
              </w:rPr>
              <w:t>ECP2.0电子投标文件（按投标文件格式要求上传）和</w:t>
            </w:r>
            <w:r>
              <w:rPr>
                <w:rStyle w:val="21"/>
                <w:rFonts w:hint="eastAsia" w:eastAsia="宋体"/>
                <w:sz w:val="18"/>
                <w:szCs w:val="18"/>
                <w:highlight w:val="none"/>
                <w:lang w:eastAsia="zh-CN"/>
              </w:rPr>
              <w:t>“供应商门户”</w:t>
            </w:r>
            <w:r>
              <w:rPr>
                <w:rStyle w:val="21"/>
                <w:rFonts w:hint="eastAsia" w:eastAsia="宋体"/>
                <w:sz w:val="18"/>
                <w:szCs w:val="18"/>
                <w:highlight w:val="none"/>
              </w:rPr>
              <w:t>系统电子投标文件同时上传的部分应保持内容的一致性，否则由此造成的不良后果由投标人自行承担。</w:t>
            </w:r>
          </w:p>
          <w:p>
            <w:pPr>
              <w:pStyle w:val="4"/>
              <w:tabs>
                <w:tab w:val="left" w:pos="620"/>
              </w:tabs>
              <w:adjustRightInd w:val="0"/>
              <w:spacing w:line="320" w:lineRule="exact"/>
              <w:ind w:firstLine="361" w:firstLineChars="200"/>
              <w:rPr>
                <w:rStyle w:val="21"/>
                <w:rFonts w:ascii="宋体" w:hAnsi="宋体" w:eastAsia="宋体" w:cs="宋体"/>
                <w:b w:val="0"/>
                <w:bCs w:val="0"/>
                <w:szCs w:val="21"/>
                <w:highlight w:val="none"/>
              </w:rPr>
            </w:pPr>
            <w:r>
              <w:rPr>
                <w:rStyle w:val="21"/>
                <w:rFonts w:hint="eastAsia" w:ascii="宋体" w:hAnsi="宋体" w:eastAsia="宋体" w:cs="宋体"/>
                <w:b/>
                <w:bCs/>
                <w:color w:val="FF0000"/>
                <w:sz w:val="18"/>
                <w:szCs w:val="18"/>
                <w:highlight w:val="yellow"/>
                <w:lang w:val="en-US" w:eastAsia="zh-CN"/>
              </w:rPr>
              <w:t>本次项目商务投标文件，</w:t>
            </w:r>
            <w:r>
              <w:rPr>
                <w:rStyle w:val="21"/>
                <w:rFonts w:hint="eastAsia" w:ascii="宋体" w:hAnsi="宋体" w:eastAsia="宋体" w:cs="宋体"/>
                <w:b/>
                <w:bCs/>
                <w:color w:val="FF0000"/>
                <w:sz w:val="18"/>
                <w:szCs w:val="18"/>
                <w:highlight w:val="yellow"/>
              </w:rPr>
              <w:t>投标人</w:t>
            </w:r>
            <w:r>
              <w:rPr>
                <w:rStyle w:val="21"/>
                <w:rFonts w:hint="eastAsia" w:ascii="宋体" w:hAnsi="宋体" w:eastAsia="宋体" w:cs="宋体"/>
                <w:b/>
                <w:bCs/>
                <w:color w:val="FF0000"/>
                <w:sz w:val="18"/>
                <w:szCs w:val="18"/>
                <w:highlight w:val="yellow"/>
                <w:lang w:val="en-US" w:eastAsia="zh-CN"/>
              </w:rPr>
              <w:t>仅须通过</w:t>
            </w:r>
            <w:r>
              <w:rPr>
                <w:rStyle w:val="21"/>
                <w:rFonts w:hint="eastAsia" w:ascii="宋体" w:hAnsi="宋体" w:eastAsia="宋体" w:cs="宋体"/>
                <w:b/>
                <w:bCs/>
                <w:color w:val="FF0000"/>
                <w:sz w:val="18"/>
                <w:szCs w:val="18"/>
                <w:highlight w:val="yellow"/>
              </w:rPr>
              <w:t>“供应商门户”</w:t>
            </w:r>
            <w:r>
              <w:rPr>
                <w:rStyle w:val="21"/>
                <w:rFonts w:hint="eastAsia" w:ascii="宋体" w:hAnsi="宋体" w:eastAsia="宋体" w:cs="宋体"/>
                <w:b/>
                <w:bCs/>
                <w:color w:val="FF0000"/>
                <w:sz w:val="18"/>
                <w:szCs w:val="18"/>
                <w:highlight w:val="yellow"/>
                <w:lang w:val="en-US" w:eastAsia="zh-CN"/>
              </w:rPr>
              <w:t>中的</w:t>
            </w:r>
            <w:r>
              <w:rPr>
                <w:rStyle w:val="21"/>
                <w:rFonts w:hint="eastAsia" w:ascii="宋体" w:hAnsi="宋体" w:eastAsia="宋体" w:cs="宋体"/>
                <w:b/>
                <w:bCs/>
                <w:color w:val="FF0000"/>
                <w:sz w:val="18"/>
                <w:szCs w:val="18"/>
                <w:highlight w:val="yellow"/>
              </w:rPr>
              <w:t>“</w:t>
            </w:r>
            <w:r>
              <w:rPr>
                <w:rStyle w:val="21"/>
                <w:rFonts w:hint="eastAsia" w:ascii="宋体" w:hAnsi="宋体" w:eastAsia="宋体" w:cs="宋体"/>
                <w:b/>
                <w:bCs/>
                <w:color w:val="FF0000"/>
                <w:sz w:val="18"/>
                <w:szCs w:val="18"/>
                <w:highlight w:val="yellow"/>
                <w:lang w:val="en-US" w:eastAsia="zh-CN"/>
              </w:rPr>
              <w:t>投标文件编制工具</w:t>
            </w:r>
            <w:r>
              <w:rPr>
                <w:rStyle w:val="21"/>
                <w:rFonts w:hint="eastAsia" w:ascii="宋体" w:hAnsi="宋体" w:eastAsia="宋体" w:cs="宋体"/>
                <w:b/>
                <w:bCs/>
                <w:color w:val="FF0000"/>
                <w:sz w:val="18"/>
                <w:szCs w:val="18"/>
                <w:highlight w:val="yellow"/>
              </w:rPr>
              <w:t>”</w:t>
            </w:r>
            <w:r>
              <w:rPr>
                <w:rStyle w:val="21"/>
                <w:rFonts w:hint="eastAsia" w:ascii="宋体" w:hAnsi="宋体" w:eastAsia="宋体" w:cs="宋体"/>
                <w:b/>
                <w:bCs/>
                <w:color w:val="FF0000"/>
                <w:sz w:val="18"/>
                <w:szCs w:val="18"/>
                <w:highlight w:val="yellow"/>
                <w:lang w:eastAsia="zh-CN"/>
              </w:rPr>
              <w:t>，</w:t>
            </w:r>
            <w:r>
              <w:rPr>
                <w:rStyle w:val="21"/>
                <w:rFonts w:hint="eastAsia" w:ascii="宋体" w:hAnsi="宋体" w:eastAsia="宋体" w:cs="宋体"/>
                <w:b/>
                <w:bCs/>
                <w:color w:val="FF0000"/>
                <w:sz w:val="18"/>
                <w:szCs w:val="18"/>
                <w:highlight w:val="yellow"/>
              </w:rPr>
              <w:t>生成.tb</w:t>
            </w:r>
            <w:r>
              <w:rPr>
                <w:rStyle w:val="21"/>
                <w:rFonts w:hint="eastAsia" w:ascii="宋体" w:hAnsi="宋体" w:eastAsia="宋体" w:cs="宋体"/>
                <w:b/>
                <w:bCs/>
                <w:color w:val="FF0000"/>
                <w:sz w:val="18"/>
                <w:szCs w:val="18"/>
                <w:highlight w:val="yellow"/>
                <w:lang w:val="en-US" w:eastAsia="zh-CN"/>
              </w:rPr>
              <w:t>格式的商务</w:t>
            </w:r>
            <w:r>
              <w:rPr>
                <w:rStyle w:val="21"/>
                <w:rFonts w:hint="eastAsia" w:ascii="宋体" w:hAnsi="宋体" w:eastAsia="宋体" w:cs="宋体"/>
                <w:b/>
                <w:bCs/>
                <w:color w:val="FF0000"/>
                <w:sz w:val="18"/>
                <w:szCs w:val="18"/>
                <w:highlight w:val="yellow"/>
              </w:rPr>
              <w:t>文件</w:t>
            </w:r>
            <w:r>
              <w:rPr>
                <w:rStyle w:val="21"/>
                <w:rFonts w:hint="eastAsia" w:ascii="宋体" w:hAnsi="宋体" w:eastAsia="宋体" w:cs="宋体"/>
                <w:b/>
                <w:bCs/>
                <w:color w:val="FF0000"/>
                <w:sz w:val="18"/>
                <w:szCs w:val="18"/>
                <w:highlight w:val="yellow"/>
                <w:lang w:eastAsia="zh-CN"/>
              </w:rPr>
              <w:t>，</w:t>
            </w:r>
            <w:r>
              <w:rPr>
                <w:rStyle w:val="21"/>
                <w:rFonts w:hint="eastAsia" w:ascii="宋体" w:hAnsi="宋体" w:eastAsia="宋体" w:cs="宋体"/>
                <w:b/>
                <w:bCs/>
                <w:color w:val="FF0000"/>
                <w:sz w:val="18"/>
                <w:szCs w:val="18"/>
                <w:highlight w:val="yellow"/>
                <w:lang w:val="en-US" w:eastAsia="zh-CN"/>
              </w:rPr>
              <w:t>并</w:t>
            </w:r>
            <w:r>
              <w:rPr>
                <w:rStyle w:val="21"/>
                <w:rFonts w:hint="eastAsia" w:ascii="宋体" w:hAnsi="宋体" w:eastAsia="宋体" w:cs="宋体"/>
                <w:b/>
                <w:bCs/>
                <w:color w:val="FF0000"/>
                <w:sz w:val="18"/>
                <w:szCs w:val="18"/>
                <w:highlight w:val="yellow"/>
              </w:rPr>
              <w:t>上传至“供应商门户”中的“投标文件上传工具”，</w:t>
            </w:r>
            <w:r>
              <w:rPr>
                <w:rStyle w:val="21"/>
                <w:rFonts w:hint="eastAsia" w:ascii="宋体" w:hAnsi="宋体" w:eastAsia="宋体" w:cs="宋体"/>
                <w:b/>
                <w:bCs/>
                <w:color w:val="FF0000"/>
                <w:sz w:val="18"/>
                <w:szCs w:val="18"/>
                <w:highlight w:val="yellow"/>
                <w:lang w:val="en-US" w:eastAsia="zh-CN"/>
              </w:rPr>
              <w:t>如未按要求上传商务投标文件，</w:t>
            </w:r>
            <w:r>
              <w:rPr>
                <w:rStyle w:val="21"/>
                <w:rFonts w:hint="eastAsia" w:ascii="宋体" w:hAnsi="宋体" w:eastAsia="宋体" w:cs="宋体"/>
                <w:b/>
                <w:bCs/>
                <w:color w:val="FF0000"/>
                <w:sz w:val="18"/>
                <w:szCs w:val="18"/>
                <w:highlight w:val="yellow"/>
              </w:rPr>
              <w:t>造成的不良后果由投标人自行承担。</w:t>
            </w:r>
          </w:p>
        </w:tc>
      </w:tr>
    </w:tbl>
    <w:p>
      <w:pPr>
        <w:pStyle w:val="42"/>
        <w:keepNext w:val="0"/>
        <w:keepLines w:val="0"/>
        <w:pageBreakBefore w:val="0"/>
        <w:widowControl w:val="0"/>
        <w:tabs>
          <w:tab w:val="left" w:pos="620"/>
        </w:tabs>
        <w:kinsoku/>
        <w:wordWrap/>
        <w:overflowPunct/>
        <w:topLinePunct w:val="0"/>
        <w:autoSpaceDE/>
        <w:autoSpaceDN/>
        <w:bidi w:val="0"/>
        <w:spacing w:after="0" w:line="400" w:lineRule="exact"/>
        <w:ind w:firstLine="422" w:firstLineChars="200"/>
        <w:jc w:val="both"/>
        <w:textAlignment w:val="auto"/>
        <w:rPr>
          <w:rStyle w:val="21"/>
          <w:rFonts w:hint="eastAsia" w:ascii="宋体" w:hAnsi="宋体" w:eastAsia="宋体" w:cs="宋体"/>
          <w:b/>
          <w:bCs/>
          <w:sz w:val="21"/>
          <w:szCs w:val="21"/>
          <w:highlight w:val="none"/>
          <w:u w:val="single"/>
        </w:rPr>
      </w:pPr>
      <w:r>
        <w:rPr>
          <w:rStyle w:val="21"/>
          <w:rFonts w:hint="eastAsia" w:ascii="宋体" w:hAnsi="宋体" w:eastAsia="宋体" w:cs="宋体"/>
          <w:b/>
          <w:bCs/>
          <w:sz w:val="21"/>
          <w:szCs w:val="21"/>
          <w:highlight w:val="none"/>
          <w:u w:val="single"/>
        </w:rPr>
        <w:t>①投标人未在</w:t>
      </w:r>
      <w:r>
        <w:rPr>
          <w:rStyle w:val="21"/>
          <w:rFonts w:hint="eastAsia" w:ascii="宋体" w:hAnsi="宋体" w:eastAsia="宋体" w:cs="宋体"/>
          <w:b/>
          <w:bCs/>
          <w:sz w:val="21"/>
          <w:szCs w:val="21"/>
          <w:highlight w:val="none"/>
          <w:u w:val="single"/>
          <w:lang w:eastAsia="zh-CN"/>
        </w:rPr>
        <w:t>“供应商门户”</w:t>
      </w:r>
      <w:r>
        <w:rPr>
          <w:rStyle w:val="21"/>
          <w:rFonts w:hint="eastAsia" w:ascii="宋体" w:hAnsi="宋体" w:eastAsia="宋体" w:cs="宋体"/>
          <w:b/>
          <w:bCs/>
          <w:color w:val="000000"/>
          <w:sz w:val="21"/>
          <w:szCs w:val="21"/>
          <w:highlight w:val="none"/>
          <w:u w:val="single"/>
          <w:lang w:val="en-US" w:eastAsia="zh-CN"/>
        </w:rPr>
        <w:t>中的“投标文件上传工具”</w:t>
      </w:r>
      <w:r>
        <w:rPr>
          <w:rStyle w:val="21"/>
          <w:rFonts w:hint="eastAsia" w:ascii="宋体" w:hAnsi="宋体" w:eastAsia="宋体" w:cs="宋体"/>
          <w:b/>
          <w:bCs/>
          <w:sz w:val="21"/>
          <w:szCs w:val="21"/>
          <w:highlight w:val="none"/>
          <w:u w:val="single"/>
        </w:rPr>
        <w:t>对应标包上传商务技术投标文件的，视为该标包商务技术投标文件未递交，请投标人上传文件时认真查看批次名称、分标名称、包号，对应上传。</w:t>
      </w:r>
    </w:p>
    <w:p>
      <w:pPr>
        <w:keepNext w:val="0"/>
        <w:keepLines w:val="0"/>
        <w:pageBreakBefore w:val="0"/>
        <w:widowControl w:val="0"/>
        <w:tabs>
          <w:tab w:val="left" w:pos="1134"/>
        </w:tabs>
        <w:kinsoku/>
        <w:wordWrap/>
        <w:overflowPunct/>
        <w:topLinePunct w:val="0"/>
        <w:autoSpaceDE/>
        <w:autoSpaceDN/>
        <w:bidi w:val="0"/>
        <w:adjustRightInd w:val="0"/>
        <w:snapToGrid w:val="0"/>
        <w:spacing w:beforeLines="0" w:afterLines="0" w:line="400" w:lineRule="exact"/>
        <w:ind w:firstLine="422" w:firstLineChars="200"/>
        <w:textAlignment w:val="auto"/>
        <w:rPr>
          <w:rFonts w:hint="eastAsia" w:asciiTheme="minorEastAsia" w:hAnsiTheme="minorEastAsia" w:eastAsiaTheme="minorEastAsia" w:cstheme="minorEastAsia"/>
          <w:color w:val="FF0000"/>
          <w:sz w:val="21"/>
          <w:szCs w:val="22"/>
          <w:highlight w:val="none"/>
        </w:rPr>
      </w:pPr>
      <w:r>
        <w:rPr>
          <w:rStyle w:val="21"/>
          <w:rFonts w:hint="eastAsia" w:ascii="宋体" w:hAnsi="宋体" w:eastAsia="宋体" w:cs="宋体"/>
          <w:b/>
          <w:bCs/>
          <w:sz w:val="21"/>
          <w:szCs w:val="21"/>
          <w:highlight w:val="none"/>
          <w:u w:val="single"/>
        </w:rPr>
        <w:t>②</w:t>
      </w:r>
      <w:r>
        <w:rPr>
          <w:rStyle w:val="21"/>
          <w:rFonts w:hint="eastAsia" w:ascii="宋体" w:hAnsi="宋体" w:eastAsia="宋体" w:cs="宋体"/>
          <w:b/>
          <w:bCs/>
          <w:color w:val="000000"/>
          <w:sz w:val="21"/>
          <w:szCs w:val="21"/>
          <w:highlight w:val="none"/>
          <w:u w:val="single"/>
        </w:rPr>
        <w:t>请各潜在投标人充分考虑网络状况及递交资料的齐全与否，避开高峰尽早上传，若由于传递不及时，造成未在投标截止时间前递交投标文件的，由投标人自行负责。各潜在投标人在生成文件并加密提交，</w:t>
      </w:r>
      <w:r>
        <w:rPr>
          <w:rStyle w:val="21"/>
          <w:rFonts w:hint="eastAsia" w:ascii="宋体" w:hAnsi="宋体" w:eastAsia="宋体" w:cs="宋体"/>
          <w:b/>
          <w:bCs/>
          <w:color w:val="000000"/>
          <w:sz w:val="21"/>
          <w:szCs w:val="21"/>
          <w:highlight w:val="none"/>
          <w:u w:val="single"/>
          <w:lang w:eastAsia="zh-CN"/>
        </w:rPr>
        <w:t>“供应商门户”</w:t>
      </w:r>
      <w:r>
        <w:rPr>
          <w:rStyle w:val="21"/>
          <w:rFonts w:hint="eastAsia" w:ascii="宋体" w:hAnsi="宋体" w:eastAsia="宋体" w:cs="宋体"/>
          <w:b/>
          <w:bCs/>
          <w:color w:val="000000"/>
          <w:sz w:val="21"/>
          <w:szCs w:val="21"/>
          <w:highlight w:val="none"/>
          <w:u w:val="single"/>
          <w:lang w:val="en-US" w:eastAsia="zh-CN"/>
        </w:rPr>
        <w:t>中的“投标文件上传工具”</w:t>
      </w:r>
      <w:r>
        <w:rPr>
          <w:rStyle w:val="21"/>
          <w:rFonts w:hint="eastAsia" w:ascii="宋体" w:hAnsi="宋体" w:eastAsia="宋体" w:cs="宋体"/>
          <w:b/>
          <w:bCs/>
          <w:color w:val="000000"/>
          <w:sz w:val="21"/>
          <w:szCs w:val="21"/>
          <w:highlight w:val="none"/>
          <w:u w:val="single"/>
        </w:rPr>
        <w:t>提示成功后，在“投标总览-我的投标”中确认投标文件传输成功，且在“传输成功”列表使用凭证单中回执校验提示“校验成功”</w:t>
      </w:r>
      <w:r>
        <w:rPr>
          <w:rStyle w:val="21"/>
          <w:rFonts w:hint="eastAsia" w:ascii="宋体" w:hAnsi="宋体" w:eastAsia="宋体" w:cs="宋体"/>
          <w:b/>
          <w:bCs/>
          <w:color w:val="000000"/>
          <w:sz w:val="21"/>
          <w:szCs w:val="21"/>
          <w:highlight w:val="none"/>
        </w:rPr>
        <w:t>。</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bookmarkStart w:id="116" w:name="_Toc1708"/>
      <w:bookmarkStart w:id="117" w:name="_Toc673"/>
      <w:bookmarkStart w:id="118" w:name="_Toc19693"/>
      <w:bookmarkStart w:id="119" w:name="_Toc3280"/>
      <w:bookmarkStart w:id="120" w:name="_Toc62221469"/>
      <w:bookmarkStart w:id="121" w:name="_Toc4653"/>
      <w:bookmarkStart w:id="122" w:name="_Toc29315"/>
      <w:bookmarkStart w:id="123" w:name="_Toc62222576"/>
      <w:bookmarkStart w:id="124" w:name="_Toc24960"/>
      <w:bookmarkStart w:id="125" w:name="_Toc62221760"/>
      <w:bookmarkStart w:id="126" w:name="_Toc13549"/>
      <w:bookmarkStart w:id="127" w:name="_Toc19827"/>
      <w:bookmarkStart w:id="128" w:name="_Toc62222028"/>
      <w:bookmarkStart w:id="129" w:name="_Toc62549191"/>
      <w:bookmarkStart w:id="130" w:name="_Toc3709"/>
      <w:bookmarkStart w:id="131" w:name="_Toc62549135"/>
      <w:r>
        <w:rPr>
          <w:rFonts w:hint="eastAsia" w:asciiTheme="minorEastAsia" w:hAnsiTheme="minorEastAsia" w:eastAsiaTheme="minorEastAsia" w:cstheme="minorEastAsia"/>
          <w:color w:val="auto"/>
          <w:sz w:val="21"/>
          <w:szCs w:val="22"/>
          <w:highlight w:val="none"/>
        </w:rPr>
        <w:t>5.2 投标截止时间之前未成功提交至招标人招投标交易平台信息系统的电子投标文件，招标人不予受理。不接受未按规定加密的投标文件及投标文件的修改文件。不接受邮寄、现场提交等电子提交方式以外的其他方式提交投标文件及投标文件的修改文件。</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5.3未按招标公告规定的时间和方式获取并下载招标文件的投标，招标人将不予受理。</w:t>
      </w:r>
      <w:bookmarkStart w:id="132" w:name="_MON_1697628392"/>
      <w:bookmarkEnd w:id="132"/>
    </w:p>
    <w:p>
      <w:pPr>
        <w:spacing w:before="240" w:beforeLines="100" w:after="120" w:afterLines="50"/>
        <w:outlineLvl w:val="1"/>
        <w:rPr>
          <w:rFonts w:hint="default" w:ascii="黑体" w:hAnsi="Calibri" w:eastAsia="黑体"/>
          <w:b/>
          <w:color w:val="auto"/>
          <w:sz w:val="24"/>
          <w:szCs w:val="22"/>
          <w:highlight w:val="none"/>
        </w:rPr>
      </w:pPr>
      <w:r>
        <w:rPr>
          <w:rFonts w:hint="eastAsia" w:ascii="黑体" w:hAnsi="Calibri" w:eastAsia="黑体"/>
          <w:b/>
          <w:color w:val="auto"/>
          <w:sz w:val="24"/>
          <w:szCs w:val="22"/>
          <w:highlight w:val="none"/>
        </w:rPr>
        <w:t>6.发布公告的媒介</w:t>
      </w:r>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bookmarkStart w:id="133" w:name="_bookmark8"/>
      <w:bookmarkEnd w:id="133"/>
      <w:bookmarkStart w:id="134" w:name="_Toc27595"/>
      <w:bookmarkStart w:id="135" w:name="_Toc811"/>
      <w:bookmarkStart w:id="136" w:name="_Toc22190"/>
      <w:bookmarkStart w:id="137" w:name="_Toc62222029"/>
      <w:bookmarkStart w:id="138" w:name="_Toc30950"/>
      <w:bookmarkStart w:id="139" w:name="_Toc16274"/>
      <w:bookmarkStart w:id="140" w:name="_Toc62549136"/>
      <w:bookmarkStart w:id="141" w:name="_Toc28489"/>
      <w:bookmarkStart w:id="142" w:name="_Toc62221761"/>
      <w:bookmarkStart w:id="143" w:name="_Toc2579"/>
      <w:bookmarkStart w:id="144" w:name="_Toc62549192"/>
      <w:bookmarkStart w:id="145" w:name="_Toc17309"/>
      <w:bookmarkStart w:id="146" w:name="_Toc28144"/>
      <w:bookmarkStart w:id="147" w:name="_Toc2902"/>
      <w:bookmarkStart w:id="148" w:name="_Toc62221470"/>
      <w:bookmarkStart w:id="149" w:name="_Toc62222577"/>
      <w:r>
        <w:rPr>
          <w:rFonts w:hint="eastAsia" w:asciiTheme="minorEastAsia" w:hAnsiTheme="minorEastAsia" w:eastAsiaTheme="minorEastAsia" w:cstheme="minorEastAsia"/>
          <w:color w:val="auto"/>
          <w:sz w:val="21"/>
          <w:szCs w:val="22"/>
          <w:highlight w:val="none"/>
        </w:rPr>
        <w:t>本批次招标采取公开招标方式，招标代理机构仅在 “中国招标投标公共服务平台”（www.cebpubservice.com）和“国家电网有限公司电子商务平台-电工交易专区” （https:// sgccetp.com.cn/portal/#）上发布公告。</w:t>
      </w:r>
    </w:p>
    <w:p>
      <w:pPr>
        <w:adjustRightInd w:val="0"/>
        <w:snapToGrid w:val="0"/>
        <w:spacing w:before="240" w:beforeLines="100" w:after="120" w:afterLines="50"/>
        <w:outlineLvl w:val="1"/>
        <w:rPr>
          <w:rFonts w:hint="default" w:ascii="黑体" w:hAnsi="Calibri" w:eastAsia="黑体"/>
          <w:b/>
          <w:color w:val="auto"/>
          <w:sz w:val="24"/>
          <w:szCs w:val="22"/>
          <w:highlight w:val="none"/>
        </w:rPr>
      </w:pPr>
      <w:r>
        <w:rPr>
          <w:rFonts w:hint="eastAsia" w:ascii="黑体" w:hAnsi="Calibri" w:eastAsia="黑体"/>
          <w:b/>
          <w:color w:val="auto"/>
          <w:sz w:val="24"/>
          <w:szCs w:val="22"/>
          <w:highlight w:val="none"/>
        </w:rPr>
        <w:t>7.联系方式</w:t>
      </w:r>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p>
    <w:p>
      <w:pPr>
        <w:keepNext w:val="0"/>
        <w:keepLines w:val="0"/>
        <w:pageBreakBefore w:val="0"/>
        <w:widowControl w:val="0"/>
        <w:kinsoku/>
        <w:wordWrap/>
        <w:overflowPunct/>
        <w:topLinePunct w:val="0"/>
        <w:autoSpaceDE/>
        <w:autoSpaceDN/>
        <w:bidi w:val="0"/>
        <w:adjustRightInd w:val="0"/>
        <w:snapToGrid w:val="0"/>
        <w:spacing w:after="0" w:line="360" w:lineRule="auto"/>
        <w:ind w:firstLine="420" w:firstLineChars="200"/>
        <w:textAlignment w:val="auto"/>
        <w:rPr>
          <w:rFonts w:hint="eastAsia" w:ascii="宋体" w:hAnsi="宋体" w:eastAsia="宋体" w:cs="宋体"/>
          <w:color w:val="auto"/>
          <w:sz w:val="21"/>
          <w:szCs w:val="21"/>
          <w:highlight w:val="none"/>
          <w:lang w:eastAsia="zh-CN"/>
        </w:rPr>
      </w:pPr>
      <w:bookmarkStart w:id="150" w:name="_Toc17389"/>
      <w:bookmarkStart w:id="151" w:name="_Toc62221471"/>
      <w:bookmarkStart w:id="152" w:name="_Toc62549137"/>
      <w:bookmarkStart w:id="153" w:name="_Toc647"/>
      <w:bookmarkStart w:id="154" w:name="_Toc9769"/>
      <w:bookmarkStart w:id="155" w:name="_Toc5041"/>
      <w:bookmarkStart w:id="156" w:name="_Toc12187"/>
      <w:bookmarkStart w:id="157" w:name="_Toc62549193"/>
      <w:bookmarkStart w:id="158" w:name="_Toc62222578"/>
      <w:bookmarkStart w:id="159" w:name="_Toc62222030"/>
      <w:bookmarkStart w:id="160" w:name="_Toc4038"/>
      <w:bookmarkStart w:id="161" w:name="_Toc20257"/>
      <w:bookmarkStart w:id="162" w:name="_Toc5800"/>
      <w:bookmarkStart w:id="163" w:name="_Toc5543"/>
      <w:bookmarkStart w:id="164" w:name="_Toc5492"/>
      <w:bookmarkStart w:id="165" w:name="_Toc62221762"/>
      <w:r>
        <w:rPr>
          <w:rFonts w:hint="eastAsia" w:ascii="宋体" w:hAnsi="宋体" w:eastAsia="宋体" w:cs="宋体"/>
          <w:color w:val="auto"/>
          <w:sz w:val="21"/>
          <w:szCs w:val="21"/>
          <w:highlight w:val="none"/>
          <w:lang w:eastAsia="zh-CN"/>
        </w:rPr>
        <w:t>招标人</w:t>
      </w:r>
      <w:r>
        <w:rPr>
          <w:rFonts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eastAsia="zh-CN"/>
        </w:rPr>
        <w:t xml:space="preserve"> 国网湖南省电力有限公司</w:t>
      </w:r>
    </w:p>
    <w:p>
      <w:pPr>
        <w:keepNext w:val="0"/>
        <w:keepLines w:val="0"/>
        <w:pageBreakBefore w:val="0"/>
        <w:widowControl w:val="0"/>
        <w:kinsoku/>
        <w:wordWrap/>
        <w:overflowPunct/>
        <w:topLinePunct w:val="0"/>
        <w:autoSpaceDE/>
        <w:autoSpaceDN/>
        <w:bidi w:val="0"/>
        <w:adjustRightInd w:val="0"/>
        <w:snapToGrid w:val="0"/>
        <w:spacing w:after="0"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地址:湖南省长沙市天心区新韶东路398号</w:t>
      </w:r>
    </w:p>
    <w:p>
      <w:pPr>
        <w:pStyle w:val="39"/>
        <w:adjustRightInd w:val="0"/>
        <w:snapToGrid w:val="0"/>
        <w:spacing w:line="360" w:lineRule="auto"/>
        <w:ind w:firstLine="420" w:firstLineChars="200"/>
        <w:rPr>
          <w:rFonts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招标代理机构：</w:t>
      </w:r>
      <w:r>
        <w:rPr>
          <w:rFonts w:hint="eastAsia" w:ascii="宋体" w:hAnsi="宋体" w:eastAsia="宋体" w:cs="宋体"/>
          <w:color w:val="auto"/>
          <w:kern w:val="2"/>
          <w:sz w:val="21"/>
          <w:szCs w:val="21"/>
          <w:highlight w:val="none"/>
          <w:lang w:val="en-US" w:eastAsia="zh-CN" w:bidi="ar-SA"/>
        </w:rPr>
        <w:t>湖南湘能创业项目管理有限公司、湖南湘能多经产业（集团）有限公司企业咨询分公司</w:t>
      </w:r>
    </w:p>
    <w:p>
      <w:pPr>
        <w:keepNext w:val="0"/>
        <w:keepLines w:val="0"/>
        <w:pageBreakBefore w:val="0"/>
        <w:widowControl w:val="0"/>
        <w:tabs>
          <w:tab w:val="left" w:pos="2357"/>
        </w:tabs>
        <w:kinsoku/>
        <w:wordWrap/>
        <w:overflowPunct/>
        <w:topLinePunct w:val="0"/>
        <w:autoSpaceDE/>
        <w:autoSpaceDN/>
        <w:bidi w:val="0"/>
        <w:adjustRightInd w:val="0"/>
        <w:snapToGrid w:val="0"/>
        <w:spacing w:after="0" w:line="360" w:lineRule="auto"/>
        <w:ind w:firstLine="420" w:firstLineChars="200"/>
        <w:textAlignment w:val="auto"/>
        <w:rPr>
          <w:rFonts w:hint="eastAsia" w:asciiTheme="minorEastAsia" w:hAnsiTheme="minorEastAsia" w:eastAsiaTheme="minorEastAsia" w:cstheme="minorEastAsia"/>
          <w:color w:val="auto"/>
          <w:sz w:val="21"/>
          <w:szCs w:val="22"/>
          <w:highlight w:val="none"/>
        </w:rPr>
      </w:pPr>
      <w:r>
        <w:rPr>
          <w:rFonts w:hint="eastAsia" w:ascii="宋体" w:hAnsi="宋体" w:eastAsia="宋体" w:cs="宋体"/>
          <w:color w:val="auto"/>
          <w:sz w:val="21"/>
          <w:szCs w:val="21"/>
          <w:highlight w:val="none"/>
          <w:lang w:eastAsia="zh-CN"/>
        </w:rPr>
        <w:t>地址：</w:t>
      </w:r>
      <w:r>
        <w:rPr>
          <w:rFonts w:hint="eastAsia" w:asciiTheme="minorEastAsia" w:hAnsiTheme="minorEastAsia" w:eastAsiaTheme="minorEastAsia" w:cstheme="minorEastAsia"/>
          <w:color w:val="auto"/>
          <w:sz w:val="21"/>
          <w:szCs w:val="22"/>
          <w:highlight w:val="none"/>
        </w:rPr>
        <w:t>长沙市天心区正塘坡路与五凌路交汇处湖南电力科技园三期综合楼</w:t>
      </w:r>
    </w:p>
    <w:p>
      <w:pPr>
        <w:pStyle w:val="2"/>
        <w:ind w:left="0" w:leftChars="0" w:firstLine="420" w:firstLineChars="200"/>
        <w:rPr>
          <w:rFonts w:hint="eastAsia"/>
          <w:color w:val="auto"/>
          <w:highlight w:val="none"/>
        </w:rPr>
      </w:pPr>
      <w:r>
        <w:rPr>
          <w:rFonts w:hint="eastAsia"/>
          <w:color w:val="auto"/>
          <w:highlight w:val="none"/>
        </w:rPr>
        <w:t>邮编：410004</w:t>
      </w:r>
    </w:p>
    <w:p>
      <w:pPr>
        <w:keepNext w:val="0"/>
        <w:keepLines w:val="0"/>
        <w:pageBreakBefore w:val="0"/>
        <w:widowControl w:val="0"/>
        <w:tabs>
          <w:tab w:val="left" w:pos="620"/>
        </w:tabs>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FF0000"/>
          <w:szCs w:val="21"/>
          <w:highlight w:val="none"/>
          <w:lang w:val="en-US" w:eastAsia="zh-CN"/>
        </w:rPr>
      </w:pPr>
      <w:r>
        <w:rPr>
          <w:rFonts w:hint="eastAsia" w:ascii="宋体" w:hAnsi="宋体" w:eastAsia="宋体" w:cs="宋体"/>
          <w:color w:val="FF0000"/>
          <w:szCs w:val="21"/>
          <w:highlight w:val="none"/>
        </w:rPr>
        <w:t>联系人：</w:t>
      </w:r>
      <w:r>
        <w:rPr>
          <w:rFonts w:hint="eastAsia" w:ascii="宋体" w:hAnsi="宋体" w:eastAsia="宋体" w:cs="宋体"/>
          <w:color w:val="FF0000"/>
          <w:szCs w:val="21"/>
          <w:highlight w:val="none"/>
          <w:lang w:eastAsia="zh-CN"/>
        </w:rPr>
        <w:t>项女士</w:t>
      </w:r>
      <w:r>
        <w:rPr>
          <w:rFonts w:hint="eastAsia" w:ascii="宋体" w:hAnsi="宋体" w:eastAsia="宋体" w:cs="宋体"/>
          <w:color w:val="FF0000"/>
          <w:szCs w:val="21"/>
          <w:highlight w:val="none"/>
          <w:lang w:val="en-US" w:eastAsia="zh-CN"/>
        </w:rPr>
        <w:t>、赵先生、何先生</w:t>
      </w:r>
    </w:p>
    <w:p>
      <w:pPr>
        <w:keepNext w:val="0"/>
        <w:keepLines w:val="0"/>
        <w:pageBreakBefore w:val="0"/>
        <w:widowControl w:val="0"/>
        <w:tabs>
          <w:tab w:val="left" w:pos="620"/>
        </w:tabs>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b w:val="0"/>
          <w:bCs w:val="0"/>
          <w:color w:val="FF0000"/>
          <w:szCs w:val="21"/>
          <w:highlight w:val="yellow"/>
          <w:lang w:eastAsia="zh-CN"/>
        </w:rPr>
      </w:pPr>
      <w:r>
        <w:rPr>
          <w:rFonts w:hint="eastAsia" w:ascii="宋体" w:hAnsi="宋体" w:eastAsia="宋体" w:cs="宋体"/>
          <w:color w:val="FF0000"/>
          <w:szCs w:val="21"/>
          <w:highlight w:val="none"/>
        </w:rPr>
        <w:t>联系人电话：</w:t>
      </w:r>
      <w:r>
        <w:rPr>
          <w:rFonts w:hint="eastAsia" w:ascii="宋体" w:hAnsi="宋体" w:eastAsia="宋体" w:cs="宋体"/>
          <w:color w:val="FF0000"/>
          <w:szCs w:val="21"/>
          <w:highlight w:val="yellow"/>
        </w:rPr>
        <w:t>0731-</w:t>
      </w:r>
      <w:r>
        <w:rPr>
          <w:rFonts w:hint="eastAsia" w:ascii="宋体" w:hAnsi="宋体" w:eastAsia="宋体" w:cs="宋体"/>
          <w:color w:val="FF0000"/>
          <w:szCs w:val="21"/>
          <w:highlight w:val="yellow"/>
          <w:lang w:val="en-US" w:eastAsia="zh-CN"/>
        </w:rPr>
        <w:t>85337515</w:t>
      </w:r>
      <w:r>
        <w:rPr>
          <w:rFonts w:hint="eastAsia" w:ascii="宋体" w:hAnsi="宋体" w:eastAsia="宋体" w:cs="宋体"/>
          <w:color w:val="FF0000"/>
          <w:szCs w:val="21"/>
          <w:highlight w:val="yellow"/>
          <w:lang w:eastAsia="zh-CN"/>
        </w:rPr>
        <w:t>、</w:t>
      </w:r>
      <w:r>
        <w:rPr>
          <w:rFonts w:hint="eastAsia" w:ascii="宋体" w:hAnsi="宋体" w:eastAsia="宋体" w:cs="宋体"/>
          <w:color w:val="FF0000"/>
          <w:szCs w:val="21"/>
          <w:highlight w:val="yellow"/>
          <w:lang w:val="en-US" w:eastAsia="zh-CN"/>
        </w:rPr>
        <w:t>18153310299、</w:t>
      </w:r>
      <w:r>
        <w:rPr>
          <w:rFonts w:hint="eastAsia" w:ascii="宋体" w:hAnsi="宋体"/>
          <w:b w:val="0"/>
          <w:bCs w:val="0"/>
          <w:color w:val="FF0000"/>
          <w:szCs w:val="21"/>
          <w:highlight w:val="yellow"/>
          <w:lang w:val="zh-CN"/>
        </w:rPr>
        <w:t>19174189692</w:t>
      </w:r>
    </w:p>
    <w:p>
      <w:pPr>
        <w:keepNext w:val="0"/>
        <w:keepLines w:val="0"/>
        <w:pageBreakBefore w:val="0"/>
        <w:widowControl w:val="0"/>
        <w:tabs>
          <w:tab w:val="left" w:pos="620"/>
        </w:tabs>
        <w:kinsoku/>
        <w:wordWrap/>
        <w:overflowPunct/>
        <w:topLinePunct w:val="0"/>
        <w:autoSpaceDE/>
        <w:autoSpaceDN/>
        <w:bidi w:val="0"/>
        <w:adjustRightInd w:val="0"/>
        <w:snapToGrid w:val="0"/>
        <w:spacing w:line="360" w:lineRule="auto"/>
        <w:ind w:firstLine="420" w:firstLineChars="200"/>
        <w:textAlignment w:val="auto"/>
        <w:rPr>
          <w:rFonts w:ascii="宋体" w:hAnsi="宋体" w:eastAsia="宋体" w:cs="宋体"/>
          <w:color w:val="auto"/>
          <w:szCs w:val="21"/>
          <w:highlight w:val="none"/>
        </w:rPr>
      </w:pPr>
      <w:r>
        <w:rPr>
          <w:rFonts w:ascii="宋体" w:hAnsi="宋体" w:eastAsia="宋体" w:cs="宋体"/>
          <w:color w:val="auto"/>
          <w:szCs w:val="21"/>
          <w:highlight w:val="none"/>
        </w:rPr>
        <w:t>指定邮箱：</w:t>
      </w:r>
      <w:r>
        <w:rPr>
          <w:rFonts w:hint="eastAsia" w:ascii="宋体" w:hAnsi="宋体" w:eastAsia="宋体" w:cs="宋体"/>
          <w:color w:val="auto"/>
          <w:szCs w:val="21"/>
          <w:highlight w:val="none"/>
        </w:rPr>
        <w:t>xnzb_sc</w:t>
      </w:r>
      <w:r>
        <w:rPr>
          <w:rFonts w:hint="eastAsia" w:ascii="宋体" w:hAnsi="宋体" w:eastAsia="宋体" w:cs="宋体"/>
          <w:color w:val="auto"/>
          <w:szCs w:val="21"/>
          <w:highlight w:val="none"/>
          <w:lang w:val="en-US" w:eastAsia="zh-CN"/>
        </w:rPr>
        <w:t>05</w:t>
      </w:r>
      <w:r>
        <w:rPr>
          <w:rFonts w:hint="eastAsia" w:ascii="宋体" w:hAnsi="宋体" w:eastAsia="宋体" w:cs="宋体"/>
          <w:color w:val="auto"/>
          <w:szCs w:val="21"/>
          <w:highlight w:val="none"/>
        </w:rPr>
        <w:t>@xnbidding.com</w:t>
      </w:r>
    </w:p>
    <w:p>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jc w:val="left"/>
        <w:textAlignment w:val="auto"/>
        <w:rPr>
          <w:rFonts w:ascii="宋体" w:hAnsi="宋体" w:eastAsia="宋体" w:cs="宋体"/>
          <w:color w:val="auto"/>
          <w:szCs w:val="21"/>
          <w:highlight w:val="none"/>
        </w:rPr>
      </w:pPr>
      <w:r>
        <w:rPr>
          <w:rFonts w:hint="eastAsia" w:ascii="宋体" w:hAnsi="宋体" w:eastAsia="宋体" w:cs="宋体"/>
          <w:color w:val="auto"/>
          <w:szCs w:val="21"/>
          <w:highlight w:val="none"/>
        </w:rPr>
        <w:t>工作时间：周一至周五</w:t>
      </w:r>
      <w:r>
        <w:rPr>
          <w:rFonts w:ascii="宋体" w:hAnsi="宋体" w:eastAsia="宋体" w:cs="宋体"/>
          <w:color w:val="auto"/>
          <w:szCs w:val="21"/>
          <w:highlight w:val="none"/>
        </w:rPr>
        <w:t>8:</w:t>
      </w:r>
      <w:r>
        <w:rPr>
          <w:rFonts w:hint="eastAsia" w:ascii="宋体" w:hAnsi="宋体" w:eastAsia="宋体" w:cs="宋体"/>
          <w:color w:val="auto"/>
          <w:szCs w:val="21"/>
          <w:highlight w:val="none"/>
        </w:rPr>
        <w:t>3</w:t>
      </w:r>
      <w:r>
        <w:rPr>
          <w:rFonts w:ascii="宋体" w:hAnsi="宋体" w:eastAsia="宋体" w:cs="宋体"/>
          <w:color w:val="auto"/>
          <w:szCs w:val="21"/>
          <w:highlight w:val="none"/>
        </w:rPr>
        <w:t>0-12:00、</w:t>
      </w:r>
      <w:r>
        <w:rPr>
          <w:rFonts w:hint="eastAsia" w:ascii="宋体" w:hAnsi="宋体" w:eastAsia="宋体" w:cs="宋体"/>
          <w:color w:val="auto"/>
          <w:szCs w:val="21"/>
          <w:highlight w:val="none"/>
        </w:rPr>
        <w:t>14:00-17:30</w:t>
      </w:r>
    </w:p>
    <w:p>
      <w:pPr>
        <w:keepNext w:val="0"/>
        <w:keepLines w:val="0"/>
        <w:pageBreakBefore w:val="0"/>
        <w:widowControl w:val="0"/>
        <w:tabs>
          <w:tab w:val="left" w:pos="620"/>
        </w:tabs>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财务咨询服务联系方式：</w:t>
      </w:r>
    </w:p>
    <w:p>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jc w:val="left"/>
        <w:textAlignment w:val="auto"/>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rPr>
        <w:t>中标服务费：易工</w:t>
      </w:r>
      <w:r>
        <w:rPr>
          <w:rFonts w:ascii="宋体" w:hAnsi="宋体" w:eastAsia="宋体" w:cs="宋体"/>
          <w:color w:val="auto"/>
          <w:szCs w:val="21"/>
          <w:highlight w:val="none"/>
        </w:rPr>
        <w:t>0731-8</w:t>
      </w:r>
      <w:r>
        <w:rPr>
          <w:rFonts w:hint="eastAsia" w:ascii="宋体" w:hAnsi="宋体" w:eastAsia="宋体" w:cs="宋体"/>
          <w:color w:val="auto"/>
          <w:szCs w:val="21"/>
          <w:highlight w:val="none"/>
        </w:rPr>
        <w:t>5337587</w:t>
      </w:r>
      <w:r>
        <w:rPr>
          <w:rFonts w:hint="eastAsia" w:ascii="宋体" w:hAnsi="宋体" w:eastAsia="宋体" w:cs="宋体"/>
          <w:color w:val="auto"/>
          <w:szCs w:val="21"/>
          <w:highlight w:val="none"/>
          <w:lang w:val="en-US" w:eastAsia="zh-CN"/>
        </w:rPr>
        <w:t xml:space="preserve">   </w:t>
      </w:r>
      <w:r>
        <w:rPr>
          <w:rFonts w:hint="eastAsia" w:ascii="宋体" w:hAnsi="宋体"/>
          <w:color w:val="auto"/>
          <w:szCs w:val="21"/>
          <w:highlight w:val="none"/>
          <w:lang w:val="en-US" w:eastAsia="zh-CN"/>
        </w:rPr>
        <w:t>周工0731-89948340</w:t>
      </w:r>
    </w:p>
    <w:p>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jc w:val="left"/>
        <w:textAlignment w:val="auto"/>
        <w:rPr>
          <w:rFonts w:hint="eastAsia"/>
          <w:color w:val="auto"/>
          <w:highlight w:val="none"/>
        </w:rPr>
      </w:pPr>
      <w:r>
        <w:rPr>
          <w:rFonts w:hint="eastAsia" w:ascii="宋体" w:hAnsi="宋体" w:eastAsia="宋体" w:cs="宋体"/>
          <w:color w:val="auto"/>
          <w:szCs w:val="21"/>
          <w:highlight w:val="none"/>
        </w:rPr>
        <w:t>中标服务费业务（咨询分公司）：彭工 0731-89948379</w:t>
      </w:r>
      <w:r>
        <w:rPr>
          <w:rFonts w:hint="eastAsia" w:ascii="宋体" w:hAnsi="宋体" w:eastAsia="宋体" w:cs="宋体"/>
          <w:color w:val="auto"/>
          <w:szCs w:val="21"/>
          <w:highlight w:val="none"/>
          <w:lang w:val="en-US" w:eastAsia="zh-CN"/>
        </w:rPr>
        <w:t xml:space="preserve">    </w:t>
      </w:r>
      <w:r>
        <w:rPr>
          <w:rFonts w:hint="eastAsia" w:ascii="宋体" w:hAnsi="宋体"/>
          <w:color w:val="auto"/>
          <w:szCs w:val="21"/>
          <w:highlight w:val="none"/>
          <w:lang w:val="en-US" w:eastAsia="zh-CN"/>
        </w:rPr>
        <w:t>17711731578</w:t>
      </w:r>
    </w:p>
    <w:p>
      <w:pPr>
        <w:adjustRightInd w:val="0"/>
        <w:snapToGrid w:val="0"/>
        <w:spacing w:before="240" w:beforeLines="100" w:after="120" w:afterLines="50"/>
        <w:outlineLvl w:val="1"/>
        <w:rPr>
          <w:rFonts w:hint="default" w:ascii="黑体" w:hAnsi="Calibri" w:eastAsia="黑体"/>
          <w:b/>
          <w:color w:val="auto"/>
          <w:sz w:val="24"/>
          <w:szCs w:val="22"/>
          <w:highlight w:val="none"/>
        </w:rPr>
      </w:pPr>
      <w:r>
        <w:rPr>
          <w:rFonts w:hint="eastAsia" w:ascii="黑体" w:hAnsi="Calibri" w:eastAsia="黑体"/>
          <w:b/>
          <w:color w:val="auto"/>
          <w:sz w:val="24"/>
          <w:szCs w:val="22"/>
          <w:highlight w:val="none"/>
        </w:rPr>
        <w:t>8.合规声明</w:t>
      </w:r>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本招标文件（包括商务部分和技术部分）符合国家现行法律法规规定，若国家颁布新的法律法规或对现有法律法规进行修订，以新施行的法律法规规定为准。</w:t>
      </w:r>
    </w:p>
    <w:p>
      <w:pPr>
        <w:adjustRightInd w:val="0"/>
        <w:snapToGrid w:val="0"/>
        <w:spacing w:before="240" w:beforeLines="100" w:after="120" w:afterLines="50"/>
        <w:outlineLvl w:val="1"/>
        <w:rPr>
          <w:rFonts w:hint="default" w:ascii="黑体" w:hAnsi="Calibri" w:eastAsia="黑体"/>
          <w:b/>
          <w:color w:val="auto"/>
          <w:sz w:val="24"/>
          <w:szCs w:val="22"/>
          <w:highlight w:val="none"/>
        </w:rPr>
      </w:pPr>
      <w:r>
        <w:rPr>
          <w:rFonts w:hint="eastAsia" w:ascii="黑体" w:hAnsi="Calibri" w:eastAsia="黑体"/>
          <w:b/>
          <w:color w:val="auto"/>
          <w:sz w:val="24"/>
          <w:szCs w:val="22"/>
          <w:highlight w:val="none"/>
        </w:rPr>
        <w:t>9.权利声明</w:t>
      </w:r>
    </w:p>
    <w:p>
      <w:pPr>
        <w:tabs>
          <w:tab w:val="left" w:pos="1134"/>
        </w:tabs>
        <w:adjustRightInd w:val="0"/>
        <w:snapToGrid w:val="0"/>
        <w:spacing w:beforeLines="0" w:afterLines="0" w:line="400" w:lineRule="exact"/>
        <w:ind w:firstLine="420" w:firstLineChars="200"/>
        <w:rPr>
          <w:rFonts w:hint="eastAsia" w:asciiTheme="minorEastAsia" w:hAnsiTheme="minorEastAsia" w:eastAsiaTheme="minorEastAsia" w:cstheme="minorEastAsia"/>
          <w:color w:val="auto"/>
          <w:sz w:val="21"/>
          <w:szCs w:val="22"/>
          <w:highlight w:val="none"/>
        </w:rPr>
      </w:pPr>
      <w:r>
        <w:rPr>
          <w:rFonts w:hint="eastAsia" w:asciiTheme="minorEastAsia" w:hAnsiTheme="minorEastAsia" w:eastAsiaTheme="minorEastAsia" w:cstheme="minorEastAsia"/>
          <w:color w:val="auto"/>
          <w:sz w:val="21"/>
          <w:szCs w:val="22"/>
          <w:highlight w:val="none"/>
        </w:rPr>
        <w:t>禁止对本招标文件或公示信息（依法必须招标项目的招标公告部分除外）进行任何形式的转载（包括但不限于部分或全文转载、修改后转载）或任何未经书面授权的使用。转载依法必须招标项目的招标公告或公示信息的，不得改变招标公告和公示信息的内容，须注明信息来源，不得用于非法用途。任何单位或个人不得违法转载（包括但不限于改变内容转载、转载不注明来源、遗漏或不及时转载修改或补充内容等）招标公告或公示信息、不得对招标公告或公示信息等内容进行不全面、不准确、不客观地分析或使用，任何单位或个人违法或违反本条规定转载、使用本招标文件或公示信息的，招标人将依法追究法律责任。</w:t>
      </w:r>
    </w:p>
    <w:p>
      <w:pPr>
        <w:pStyle w:val="2"/>
        <w:rPr>
          <w:rFonts w:hint="eastAsia"/>
        </w:rPr>
      </w:pPr>
    </w:p>
    <w:p>
      <w:pPr>
        <w:pStyle w:val="11"/>
        <w:rPr>
          <w:rFonts w:hint="eastAsia" w:asciiTheme="minorEastAsia" w:hAnsiTheme="minorEastAsia" w:eastAsiaTheme="minorEastAsia" w:cstheme="minorEastAsia"/>
          <w:color w:val="auto"/>
          <w:sz w:val="21"/>
          <w:szCs w:val="22"/>
          <w:highlight w:val="none"/>
        </w:rPr>
      </w:pPr>
    </w:p>
    <w:p>
      <w:pPr>
        <w:pStyle w:val="39"/>
        <w:tabs>
          <w:tab w:val="left" w:pos="1134"/>
        </w:tabs>
        <w:adjustRightInd w:val="0"/>
        <w:snapToGrid w:val="0"/>
        <w:spacing w:line="400" w:lineRule="exact"/>
        <w:ind w:firstLine="420" w:firstLineChars="200"/>
        <w:rPr>
          <w:rStyle w:val="21"/>
          <w:rFonts w:eastAsia="宋体"/>
          <w:color w:val="auto"/>
          <w:highlight w:val="none"/>
        </w:rPr>
      </w:pPr>
    </w:p>
    <w:p>
      <w:pPr>
        <w:pStyle w:val="13"/>
        <w:rPr>
          <w:rFonts w:hint="eastAsia"/>
          <w:color w:val="auto"/>
          <w:highlight w:val="none"/>
        </w:rPr>
      </w:pPr>
    </w:p>
    <w:p>
      <w:pPr>
        <w:wordWrap w:val="0"/>
        <w:spacing w:beforeLines="0" w:afterLines="0"/>
        <w:ind w:firstLine="560" w:firstLineChars="200"/>
        <w:jc w:val="right"/>
        <w:rPr>
          <w:rFonts w:hint="default" w:ascii="黑体" w:eastAsia="黑体"/>
          <w:color w:val="auto"/>
          <w:sz w:val="28"/>
          <w:szCs w:val="28"/>
          <w:highlight w:val="none"/>
        </w:rPr>
      </w:pPr>
    </w:p>
    <w:p>
      <w:pPr>
        <w:tabs>
          <w:tab w:val="left" w:pos="1134"/>
        </w:tabs>
        <w:adjustRightInd w:val="0"/>
        <w:snapToGrid w:val="0"/>
        <w:spacing w:beforeLines="0" w:afterLines="0" w:line="400" w:lineRule="exact"/>
        <w:ind w:firstLine="420" w:firstLineChars="200"/>
        <w:jc w:val="right"/>
        <w:rPr>
          <w:rFonts w:hint="default" w:asciiTheme="minorEastAsia" w:hAnsiTheme="minorEastAsia" w:eastAsiaTheme="minorEastAsia" w:cstheme="minorEastAsia"/>
          <w:color w:val="auto"/>
          <w:sz w:val="21"/>
          <w:szCs w:val="22"/>
          <w:highlight w:val="none"/>
        </w:rPr>
        <w:sectPr>
          <w:headerReference r:id="rId4" w:type="default"/>
          <w:footerReference r:id="rId5" w:type="default"/>
          <w:pgSz w:w="11906" w:h="16838"/>
          <w:pgMar w:top="1134" w:right="1800" w:bottom="1134" w:left="1800" w:header="851" w:footer="992" w:gutter="0"/>
          <w:pgNumType w:start="1"/>
          <w:cols w:space="720" w:num="1"/>
          <w:docGrid w:linePitch="312" w:charSpace="0"/>
        </w:sectPr>
      </w:pPr>
      <w:r>
        <w:rPr>
          <w:rFonts w:hint="eastAsia" w:asciiTheme="minorEastAsia" w:hAnsiTheme="minorEastAsia" w:eastAsiaTheme="minorEastAsia" w:cstheme="minorEastAsia"/>
          <w:color w:val="auto"/>
          <w:sz w:val="21"/>
          <w:szCs w:val="22"/>
          <w:highlight w:val="none"/>
          <w:lang w:val="en-US" w:eastAsia="zh-CN"/>
        </w:rPr>
        <w:t>2025年7月4日</w:t>
      </w:r>
    </w:p>
    <w:p>
      <w:pPr>
        <w:rPr>
          <w:rFonts w:hint="eastAsia" w:asciiTheme="minorEastAsia" w:hAnsiTheme="minorEastAsia" w:eastAsiaTheme="minorEastAsia" w:cstheme="minorEastAsia"/>
          <w:color w:val="auto"/>
          <w:highlight w:val="none"/>
        </w:rPr>
      </w:pPr>
    </w:p>
    <w:p>
      <w:pPr>
        <w:pStyle w:val="11"/>
        <w:rPr>
          <w:rFonts w:hint="eastAsia" w:asciiTheme="minorEastAsia" w:hAnsiTheme="minorEastAsia" w:eastAsiaTheme="minorEastAsia" w:cstheme="minorEastAsia"/>
          <w:color w:val="auto"/>
          <w:highlight w:val="none"/>
        </w:rPr>
      </w:pPr>
    </w:p>
    <w:p>
      <w:pPr>
        <w:pStyle w:val="11"/>
        <w:rPr>
          <w:rFonts w:hint="eastAsia" w:asciiTheme="minorEastAsia" w:hAnsiTheme="minorEastAsia" w:eastAsiaTheme="minorEastAsia" w:cstheme="minorEastAsia"/>
          <w:color w:val="auto"/>
          <w:highlight w:val="none"/>
        </w:rPr>
      </w:pPr>
    </w:p>
    <w:p>
      <w:pPr>
        <w:pStyle w:val="23"/>
        <w:keepNext w:val="0"/>
        <w:keepLines w:val="0"/>
        <w:pageBreakBefore w:val="0"/>
        <w:widowControl w:val="0"/>
        <w:kinsoku/>
        <w:wordWrap/>
        <w:overflowPunct/>
        <w:topLinePunct w:val="0"/>
        <w:autoSpaceDE w:val="0"/>
        <w:autoSpaceDN w:val="0"/>
        <w:bidi w:val="0"/>
        <w:adjustRightInd/>
        <w:snapToGrid/>
        <w:spacing w:beforeLines="0" w:afterLines="0" w:line="360" w:lineRule="auto"/>
        <w:textAlignment w:val="auto"/>
        <w:rPr>
          <w:rFonts w:hint="eastAsia" w:ascii="宋体" w:hAnsi="宋体" w:eastAsia="宋体" w:cs="宋体"/>
          <w:b w:val="0"/>
          <w:bCs w:val="0"/>
          <w:color w:val="auto"/>
          <w:kern w:val="2"/>
          <w:sz w:val="21"/>
          <w:szCs w:val="21"/>
          <w:highlight w:val="none"/>
          <w:lang w:val="en-US" w:eastAsia="zh-CN"/>
        </w:rPr>
      </w:pPr>
      <w:r>
        <w:rPr>
          <w:rFonts w:hint="eastAsia" w:ascii="宋体" w:hAnsi="宋体" w:eastAsia="宋体" w:cs="宋体"/>
          <w:b w:val="0"/>
          <w:bCs w:val="0"/>
          <w:color w:val="auto"/>
          <w:kern w:val="2"/>
          <w:sz w:val="21"/>
          <w:szCs w:val="21"/>
          <w:highlight w:val="none"/>
          <w:lang w:val="en-US" w:eastAsia="zh-CN"/>
        </w:rPr>
        <w:t>附件1：项目概况与招标范围</w:t>
      </w:r>
    </w:p>
    <w:p>
      <w:pPr>
        <w:pStyle w:val="23"/>
        <w:keepNext w:val="0"/>
        <w:keepLines w:val="0"/>
        <w:pageBreakBefore w:val="0"/>
        <w:widowControl w:val="0"/>
        <w:kinsoku/>
        <w:wordWrap/>
        <w:overflowPunct/>
        <w:topLinePunct w:val="0"/>
        <w:autoSpaceDE w:val="0"/>
        <w:autoSpaceDN w:val="0"/>
        <w:bidi w:val="0"/>
        <w:adjustRightInd/>
        <w:snapToGrid/>
        <w:spacing w:beforeLines="0" w:afterLines="0" w:line="360" w:lineRule="auto"/>
        <w:textAlignment w:val="auto"/>
        <w:rPr>
          <w:rFonts w:hint="eastAsia" w:ascii="宋体" w:hAnsi="宋体" w:eastAsia="宋体" w:cs="宋体"/>
          <w:b w:val="0"/>
          <w:bCs w:val="0"/>
          <w:color w:val="auto"/>
          <w:kern w:val="2"/>
          <w:sz w:val="21"/>
          <w:szCs w:val="21"/>
          <w:highlight w:val="none"/>
          <w:lang w:val="en-US" w:eastAsia="zh-CN"/>
        </w:rPr>
      </w:pPr>
      <w:r>
        <w:rPr>
          <w:rFonts w:hint="eastAsia" w:ascii="宋体" w:hAnsi="宋体" w:eastAsia="宋体" w:cs="宋体"/>
          <w:b w:val="0"/>
          <w:bCs w:val="0"/>
          <w:color w:val="auto"/>
          <w:kern w:val="2"/>
          <w:sz w:val="21"/>
          <w:szCs w:val="21"/>
          <w:highlight w:val="none"/>
          <w:lang w:val="en-US" w:eastAsia="zh-CN"/>
        </w:rPr>
        <w:t>附件2：专用资质业绩</w:t>
      </w:r>
    </w:p>
    <w:p>
      <w:pPr>
        <w:pStyle w:val="23"/>
        <w:keepNext w:val="0"/>
        <w:keepLines w:val="0"/>
        <w:pageBreakBefore w:val="0"/>
        <w:widowControl w:val="0"/>
        <w:kinsoku/>
        <w:wordWrap/>
        <w:overflowPunct/>
        <w:topLinePunct w:val="0"/>
        <w:autoSpaceDE w:val="0"/>
        <w:autoSpaceDN w:val="0"/>
        <w:bidi w:val="0"/>
        <w:adjustRightInd/>
        <w:snapToGrid/>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附件</w:t>
      </w:r>
      <w:r>
        <w:rPr>
          <w:rFonts w:hint="eastAsia" w:cs="宋体"/>
          <w:b w:val="0"/>
          <w:bCs w:val="0"/>
          <w:color w:val="auto"/>
          <w:sz w:val="21"/>
          <w:szCs w:val="21"/>
          <w:highlight w:val="none"/>
          <w:lang w:val="en-US" w:eastAsia="zh-CN"/>
        </w:rPr>
        <w:t>3</w:t>
      </w:r>
      <w:r>
        <w:rPr>
          <w:rFonts w:hint="eastAsia" w:ascii="宋体" w:hAnsi="宋体" w:eastAsia="宋体" w:cs="宋体"/>
          <w:b w:val="0"/>
          <w:bCs w:val="0"/>
          <w:color w:val="auto"/>
          <w:sz w:val="21"/>
          <w:szCs w:val="21"/>
          <w:highlight w:val="none"/>
        </w:rPr>
        <w:t>：重要提示</w:t>
      </w:r>
    </w:p>
    <w:p>
      <w:pPr>
        <w:pStyle w:val="23"/>
        <w:keepNext w:val="0"/>
        <w:keepLines w:val="0"/>
        <w:pageBreakBefore w:val="0"/>
        <w:widowControl w:val="0"/>
        <w:kinsoku/>
        <w:wordWrap/>
        <w:overflowPunct/>
        <w:topLinePunct w:val="0"/>
        <w:autoSpaceDE w:val="0"/>
        <w:autoSpaceDN w:val="0"/>
        <w:bidi w:val="0"/>
        <w:adjustRightInd/>
        <w:snapToGrid/>
        <w:spacing w:beforeLines="0" w:afterLines="0" w:line="360" w:lineRule="auto"/>
        <w:textAlignment w:val="auto"/>
        <w:rPr>
          <w:rFonts w:hint="eastAsia" w:ascii="宋体" w:hAnsi="宋体" w:eastAsia="宋体" w:cs="宋体"/>
          <w:b w:val="0"/>
          <w:bCs w:val="0"/>
          <w:color w:val="auto"/>
          <w:sz w:val="21"/>
          <w:szCs w:val="21"/>
          <w:highlight w:val="none"/>
          <w:lang w:val="zh-CN"/>
        </w:rPr>
      </w:pPr>
      <w:r>
        <w:rPr>
          <w:rFonts w:hint="eastAsia" w:ascii="宋体" w:hAnsi="宋体" w:eastAsia="宋体" w:cs="宋体"/>
          <w:b w:val="0"/>
          <w:bCs w:val="0"/>
          <w:color w:val="auto"/>
          <w:sz w:val="21"/>
          <w:szCs w:val="21"/>
          <w:highlight w:val="none"/>
          <w:lang w:val="zh-CN"/>
        </w:rPr>
        <w:t>附件</w:t>
      </w:r>
      <w:r>
        <w:rPr>
          <w:rFonts w:hint="eastAsia" w:cs="宋体"/>
          <w:b w:val="0"/>
          <w:bCs w:val="0"/>
          <w:color w:val="auto"/>
          <w:sz w:val="21"/>
          <w:szCs w:val="21"/>
          <w:highlight w:val="none"/>
          <w:lang w:val="en-US" w:eastAsia="zh-CN"/>
        </w:rPr>
        <w:t>4</w:t>
      </w:r>
      <w:r>
        <w:rPr>
          <w:rFonts w:hint="eastAsia" w:ascii="宋体" w:hAnsi="宋体" w:eastAsia="宋体" w:cs="宋体"/>
          <w:b w:val="0"/>
          <w:bCs w:val="0"/>
          <w:color w:val="auto"/>
          <w:sz w:val="21"/>
          <w:szCs w:val="21"/>
          <w:highlight w:val="none"/>
          <w:lang w:val="zh-CN"/>
        </w:rPr>
        <w:t>：开标会议通知</w:t>
      </w:r>
    </w:p>
    <w:p>
      <w:pPr>
        <w:pStyle w:val="23"/>
        <w:keepNext w:val="0"/>
        <w:keepLines w:val="0"/>
        <w:pageBreakBefore w:val="0"/>
        <w:widowControl w:val="0"/>
        <w:kinsoku/>
        <w:wordWrap/>
        <w:overflowPunct/>
        <w:topLinePunct w:val="0"/>
        <w:autoSpaceDE w:val="0"/>
        <w:autoSpaceDN w:val="0"/>
        <w:bidi w:val="0"/>
        <w:adjustRightInd/>
        <w:snapToGrid/>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附件</w:t>
      </w:r>
      <w:r>
        <w:rPr>
          <w:rFonts w:hint="eastAsia" w:cs="宋体"/>
          <w:b w:val="0"/>
          <w:bCs w:val="0"/>
          <w:color w:val="auto"/>
          <w:sz w:val="21"/>
          <w:szCs w:val="21"/>
          <w:highlight w:val="none"/>
          <w:lang w:val="en-US" w:eastAsia="zh-CN"/>
        </w:rPr>
        <w:t>5</w:t>
      </w:r>
      <w:r>
        <w:rPr>
          <w:rFonts w:hint="eastAsia" w:ascii="宋体" w:hAnsi="宋体" w:eastAsia="宋体" w:cs="宋体"/>
          <w:b w:val="0"/>
          <w:bCs w:val="0"/>
          <w:color w:val="auto"/>
          <w:sz w:val="21"/>
          <w:szCs w:val="21"/>
          <w:highlight w:val="none"/>
        </w:rPr>
        <w:t>：国网湖南省电力有限公司关于供应商物资身份码赋码的通知</w:t>
      </w:r>
    </w:p>
    <w:p>
      <w:pPr>
        <w:pStyle w:val="23"/>
        <w:keepNext w:val="0"/>
        <w:keepLines w:val="0"/>
        <w:pageBreakBefore w:val="0"/>
        <w:widowControl w:val="0"/>
        <w:kinsoku/>
        <w:wordWrap/>
        <w:overflowPunct/>
        <w:topLinePunct w:val="0"/>
        <w:autoSpaceDE w:val="0"/>
        <w:autoSpaceDN w:val="0"/>
        <w:bidi w:val="0"/>
        <w:adjustRightInd/>
        <w:snapToGrid/>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附件</w:t>
      </w:r>
      <w:r>
        <w:rPr>
          <w:rFonts w:hint="eastAsia" w:cs="宋体"/>
          <w:b w:val="0"/>
          <w:bCs w:val="0"/>
          <w:color w:val="auto"/>
          <w:sz w:val="21"/>
          <w:szCs w:val="21"/>
          <w:highlight w:val="none"/>
          <w:lang w:val="en-US" w:eastAsia="zh-CN"/>
        </w:rPr>
        <w:t>6</w:t>
      </w:r>
      <w:r>
        <w:rPr>
          <w:rFonts w:hint="eastAsia" w:ascii="宋体" w:hAnsi="宋体" w:eastAsia="宋体" w:cs="宋体"/>
          <w:b w:val="0"/>
          <w:bCs w:val="0"/>
          <w:color w:val="auto"/>
          <w:sz w:val="21"/>
          <w:szCs w:val="21"/>
          <w:highlight w:val="none"/>
        </w:rPr>
        <w:t>：增值税发票信息采集表</w:t>
      </w:r>
    </w:p>
    <w:p>
      <w:pPr>
        <w:pStyle w:val="6"/>
        <w:rPr>
          <w:rFonts w:hint="eastAsia"/>
          <w:color w:val="auto"/>
          <w:highlight w:val="none"/>
        </w:rPr>
      </w:pPr>
    </w:p>
    <w:p>
      <w:pPr>
        <w:pStyle w:val="13"/>
        <w:rPr>
          <w:rFonts w:hint="eastAsia"/>
          <w:color w:val="auto"/>
          <w:highlight w:val="none"/>
        </w:rPr>
      </w:pPr>
    </w:p>
    <w:p>
      <w:pPr>
        <w:pStyle w:val="11"/>
        <w:rPr>
          <w:rFonts w:hint="eastAsia"/>
          <w:color w:val="auto"/>
          <w:highlight w:val="none"/>
          <w:lang w:val="zh-CN"/>
        </w:rPr>
      </w:pPr>
    </w:p>
    <w:p>
      <w:pPr>
        <w:pStyle w:val="6"/>
        <w:rPr>
          <w:rFonts w:hint="eastAsia"/>
          <w:color w:val="auto"/>
          <w:highlight w:val="none"/>
        </w:rPr>
      </w:pPr>
    </w:p>
    <w:p>
      <w:pPr>
        <w:pStyle w:val="6"/>
        <w:rPr>
          <w:rFonts w:hint="eastAsia"/>
          <w:color w:val="auto"/>
          <w:highlight w:val="none"/>
        </w:rPr>
      </w:pPr>
    </w:p>
    <w:p>
      <w:pPr>
        <w:pStyle w:val="23"/>
        <w:spacing w:beforeLines="0" w:afterLines="0"/>
        <w:rPr>
          <w:rFonts w:hint="eastAsia" w:ascii="黑体" w:hAnsi="黑体" w:eastAsia="黑体" w:cs="黑体"/>
          <w:b/>
          <w:color w:val="auto"/>
          <w:kern w:val="2"/>
          <w:sz w:val="24"/>
          <w:szCs w:val="24"/>
          <w:highlight w:val="none"/>
          <w:lang w:val="en-US" w:eastAsia="zh-CN"/>
        </w:rPr>
      </w:pPr>
    </w:p>
    <w:p>
      <w:pPr>
        <w:pStyle w:val="23"/>
        <w:spacing w:beforeLines="0" w:afterLines="0"/>
        <w:rPr>
          <w:rFonts w:hint="default" w:ascii="黑体" w:hAnsi="黑体" w:eastAsia="黑体" w:cs="黑体"/>
          <w:b/>
          <w:color w:val="auto"/>
          <w:kern w:val="2"/>
          <w:sz w:val="24"/>
          <w:szCs w:val="24"/>
          <w:highlight w:val="none"/>
          <w:lang w:val="en-US" w:eastAsia="zh-CN"/>
        </w:rPr>
      </w:pPr>
    </w:p>
    <w:p>
      <w:pPr>
        <w:pStyle w:val="13"/>
        <w:rPr>
          <w:rFonts w:hint="default"/>
          <w:color w:val="auto"/>
          <w:highlight w:val="none"/>
        </w:rPr>
        <w:sectPr>
          <w:headerReference r:id="rId6" w:type="default"/>
          <w:footerReference r:id="rId7" w:type="default"/>
          <w:pgSz w:w="11906" w:h="16838"/>
          <w:pgMar w:top="1134" w:right="1800" w:bottom="1134" w:left="1800" w:header="851" w:footer="992" w:gutter="0"/>
          <w:pgBorders>
            <w:top w:val="none" w:sz="0" w:space="0"/>
            <w:left w:val="none" w:sz="0" w:space="0"/>
            <w:bottom w:val="none" w:sz="0" w:space="0"/>
            <w:right w:val="none" w:sz="0" w:space="0"/>
          </w:pgBorders>
          <w:pgNumType w:fmt="decimal" w:start="1"/>
          <w:cols w:space="720" w:num="1"/>
          <w:docGrid w:linePitch="312" w:charSpace="0"/>
        </w:sectPr>
      </w:pP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黑体" w:hAnsi="黑体" w:eastAsia="黑体" w:cs="黑体"/>
          <w:b/>
          <w:bCs/>
          <w:color w:val="auto"/>
          <w:sz w:val="24"/>
          <w:szCs w:val="24"/>
          <w:highlight w:val="none"/>
          <w:lang w:val="en-US"/>
        </w:rPr>
      </w:pPr>
      <w:r>
        <w:rPr>
          <w:rFonts w:hint="eastAsia" w:ascii="黑体" w:hAnsi="黑体" w:eastAsia="黑体" w:cs="黑体"/>
          <w:b/>
          <w:bCs/>
          <w:color w:val="auto"/>
          <w:sz w:val="24"/>
          <w:szCs w:val="24"/>
          <w:highlight w:val="none"/>
        </w:rPr>
        <w:t>附件</w:t>
      </w:r>
      <w:r>
        <w:rPr>
          <w:rFonts w:hint="eastAsia" w:ascii="黑体" w:hAnsi="黑体" w:eastAsia="黑体" w:cs="黑体"/>
          <w:b/>
          <w:bCs/>
          <w:color w:val="auto"/>
          <w:sz w:val="24"/>
          <w:szCs w:val="24"/>
          <w:highlight w:val="none"/>
          <w:lang w:val="en-US" w:eastAsia="zh-CN"/>
        </w:rPr>
        <w:t>1</w:t>
      </w:r>
      <w:r>
        <w:rPr>
          <w:rFonts w:hint="eastAsia" w:ascii="黑体" w:hAnsi="黑体" w:eastAsia="黑体" w:cs="黑体"/>
          <w:b/>
          <w:bCs/>
          <w:color w:val="auto"/>
          <w:sz w:val="24"/>
          <w:szCs w:val="24"/>
          <w:highlight w:val="none"/>
        </w:rPr>
        <w:t>：项目概况与招标范围</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lang w:eastAsia="zh-CN"/>
        </w:rPr>
      </w:pPr>
      <w:r>
        <w:rPr>
          <w:rFonts w:hint="eastAsia" w:ascii="宋体" w:hAnsi="宋体" w:eastAsia="宋体" w:cs="宋体"/>
          <w:b/>
          <w:bCs/>
          <w:color w:val="auto"/>
          <w:sz w:val="21"/>
          <w:szCs w:val="21"/>
          <w:highlight w:val="none"/>
          <w:lang w:eastAsia="zh-CN"/>
        </w:rPr>
        <w:object>
          <v:shape id="_x0000_i1025" o:spt="75" type="#_x0000_t75" style="height:65.25pt;width:72.4pt;" o:ole="t" filled="f" o:preferrelative="t" stroked="f" coordsize="21600,21600">
            <v:path/>
            <v:fill on="f" focussize="0,0"/>
            <v:stroke on="f"/>
            <v:imagedata r:id="rId12" o:title=""/>
            <o:lock v:ext="edit" aspectratio="t"/>
            <w10:wrap type="none"/>
            <w10:anchorlock/>
          </v:shape>
          <o:OLEObject Type="Embed" ProgID="Word.Document.12" ShapeID="_x0000_i1025" DrawAspect="Icon" ObjectID="_1468075725" r:id="rId11">
            <o:LockedField>false</o:LockedField>
          </o:OLEObject>
        </w:objec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lang w:eastAsia="zh-CN"/>
        </w:rPr>
      </w:pPr>
      <w:bookmarkStart w:id="168" w:name="_GoBack"/>
      <w:r>
        <w:rPr>
          <w:rFonts w:hint="eastAsia" w:ascii="宋体" w:hAnsi="宋体" w:eastAsia="宋体" w:cs="宋体"/>
          <w:b/>
          <w:bCs/>
          <w:color w:val="auto"/>
          <w:sz w:val="21"/>
          <w:szCs w:val="21"/>
          <w:highlight w:val="none"/>
          <w:lang w:eastAsia="zh-CN"/>
        </w:rPr>
        <w:object>
          <v:shape id="_x0000_i1026" o:spt="75" type="#_x0000_t75" style="height:65.25pt;width:72.4pt;" o:ole="t" filled="f" o:preferrelative="t" stroked="f" coordsize="21600,21600">
            <v:path/>
            <v:fill on="f" focussize="0,0"/>
            <v:stroke on="f"/>
            <v:imagedata r:id="rId14" o:title=""/>
            <o:lock v:ext="edit" aspectratio="t"/>
            <w10:wrap type="none"/>
            <w10:anchorlock/>
          </v:shape>
          <o:OLEObject Type="Embed" ProgID="Excel.Sheet.12" ShapeID="_x0000_i1026" DrawAspect="Icon" ObjectID="_1468075726" r:id="rId13">
            <o:LockedField>false</o:LockedField>
          </o:OLEObject>
        </w:object>
      </w:r>
      <w:bookmarkEnd w:id="168"/>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rPr>
      </w:pP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rPr>
      </w:pPr>
    </w:p>
    <w:p>
      <w:pPr>
        <w:pStyle w:val="23"/>
        <w:rPr>
          <w:rStyle w:val="21"/>
          <w:rFonts w:hint="eastAsia" w:ascii="黑体" w:hAnsi="Calibri" w:eastAsia="宋体"/>
          <w:b/>
          <w:sz w:val="24"/>
        </w:rPr>
      </w:pPr>
      <w:r>
        <w:rPr>
          <w:rStyle w:val="21"/>
          <w:rFonts w:hint="eastAsia" w:eastAsia="宋体"/>
          <w:b/>
          <w:color w:val="000000"/>
          <w:sz w:val="21"/>
        </w:rPr>
        <w:t>货物清单单独成册，是本公告附件。</w:t>
      </w:r>
      <w:r>
        <w:rPr>
          <w:rStyle w:val="21"/>
          <w:rFonts w:hint="eastAsia" w:ascii="黑体" w:hAnsi="Calibri" w:eastAsia="宋体"/>
          <w:b/>
          <w:sz w:val="24"/>
        </w:rPr>
        <w:t xml:space="preserve"> </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rPr>
      </w:pP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rPr>
      </w:pPr>
    </w:p>
    <w:p>
      <w:pPr>
        <w:rPr>
          <w:rStyle w:val="21"/>
          <w:rFonts w:hint="eastAsia" w:ascii="黑体" w:hAnsi="黑体" w:eastAsia="黑体" w:cs="黑体"/>
          <w:b/>
          <w:bCs/>
          <w:kern w:val="2"/>
          <w:sz w:val="24"/>
          <w:szCs w:val="24"/>
          <w:highlight w:val="none"/>
          <w:lang w:bidi="zh-CN"/>
        </w:rPr>
      </w:pPr>
      <w:r>
        <w:rPr>
          <w:rStyle w:val="21"/>
          <w:rFonts w:hint="eastAsia" w:ascii="黑体" w:hAnsi="黑体" w:eastAsia="黑体" w:cs="黑体"/>
          <w:b/>
          <w:bCs/>
          <w:kern w:val="2"/>
          <w:sz w:val="24"/>
          <w:szCs w:val="24"/>
          <w:highlight w:val="none"/>
          <w:lang w:bidi="zh-CN"/>
        </w:rPr>
        <w:br w:type="page"/>
      </w:r>
    </w:p>
    <w:p>
      <w:pPr>
        <w:pStyle w:val="23"/>
        <w:rPr>
          <w:rStyle w:val="21"/>
          <w:rFonts w:ascii="黑体" w:hAnsi="Calibri" w:eastAsia="黑体"/>
          <w:b/>
          <w:sz w:val="24"/>
          <w:highlight w:val="none"/>
          <w:lang w:val="en-US"/>
        </w:rPr>
      </w:pPr>
      <w:r>
        <w:rPr>
          <w:rStyle w:val="21"/>
          <w:rFonts w:hint="eastAsia" w:ascii="黑体" w:hAnsi="黑体" w:eastAsia="黑体" w:cs="黑体"/>
          <w:b/>
          <w:bCs/>
          <w:kern w:val="2"/>
          <w:sz w:val="24"/>
          <w:szCs w:val="24"/>
          <w:highlight w:val="none"/>
          <w:lang w:bidi="zh-CN"/>
        </w:rPr>
        <w:t>附件</w:t>
      </w:r>
      <w:r>
        <w:rPr>
          <w:rStyle w:val="21"/>
          <w:rFonts w:hint="eastAsia" w:ascii="黑体" w:hAnsi="黑体" w:eastAsia="黑体" w:cs="黑体"/>
          <w:b/>
          <w:bCs/>
          <w:kern w:val="2"/>
          <w:sz w:val="24"/>
          <w:szCs w:val="24"/>
          <w:highlight w:val="none"/>
          <w:lang w:val="en-US" w:bidi="zh-CN"/>
        </w:rPr>
        <w:t>2：</w:t>
      </w:r>
      <w:r>
        <w:rPr>
          <w:rStyle w:val="21"/>
          <w:rFonts w:hint="eastAsia" w:ascii="黑体" w:hAnsi="Calibri" w:eastAsia="黑体"/>
          <w:b/>
          <w:sz w:val="24"/>
          <w:highlight w:val="none"/>
          <w:lang w:val="en-US"/>
        </w:rPr>
        <w:t>专用资质业绩一览表</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rPr>
      </w:pP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lang w:eastAsia="zh-CN"/>
        </w:rPr>
      </w:pPr>
      <w:r>
        <w:rPr>
          <w:rFonts w:hint="eastAsia" w:ascii="宋体" w:hAnsi="宋体" w:eastAsia="宋体" w:cs="宋体"/>
          <w:b/>
          <w:bCs/>
          <w:color w:val="auto"/>
          <w:sz w:val="21"/>
          <w:szCs w:val="21"/>
          <w:highlight w:val="none"/>
          <w:lang w:eastAsia="zh-CN"/>
        </w:rPr>
        <w:object>
          <v:shape id="_x0000_i1027" o:spt="75" type="#_x0000_t75" style="height:65.25pt;width:72.4pt;" o:ole="t" filled="f" o:preferrelative="t" stroked="f" coordsize="21600,21600">
            <v:path/>
            <v:fill on="f" focussize="0,0"/>
            <v:stroke on="f"/>
            <v:imagedata r:id="rId16" o:title=""/>
            <o:lock v:ext="edit" aspectratio="t"/>
            <w10:wrap type="none"/>
            <w10:anchorlock/>
          </v:shape>
          <o:OLEObject Type="Embed" ProgID="Word.Document.12" ShapeID="_x0000_i1027" DrawAspect="Icon" ObjectID="_1468075727" r:id="rId15">
            <o:LockedField>false</o:LockedField>
          </o:OLEObject>
        </w:objec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rPr>
      </w:pP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注：专用资质业绩要求说明</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1.投标人类别：</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A：接受制造商投标：是指以原料或零组件（自制或外购），经生产、加工、集成、调试等工序，制成一系列产品的生产企业（接受制造商分公司参与投标，不接受制造商销售分公司）；</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B：接受代理商投标：接受代理商</w:t>
      </w:r>
      <w:r>
        <w:rPr>
          <w:rFonts w:hint="eastAsia" w:ascii="宋体" w:hAnsi="宋体" w:eastAsia="宋体" w:cs="宋体"/>
          <w:b w:val="0"/>
          <w:bCs w:val="0"/>
          <w:color w:val="auto"/>
          <w:sz w:val="21"/>
          <w:szCs w:val="21"/>
          <w:highlight w:val="none"/>
          <w:lang w:val="en-US" w:eastAsia="zh-CN"/>
        </w:rPr>
        <w:t>或</w:t>
      </w:r>
      <w:r>
        <w:rPr>
          <w:rFonts w:hint="eastAsia" w:ascii="宋体" w:hAnsi="宋体" w:eastAsia="宋体" w:cs="宋体"/>
          <w:b w:val="0"/>
          <w:bCs w:val="0"/>
          <w:color w:val="auto"/>
          <w:sz w:val="21"/>
          <w:szCs w:val="21"/>
          <w:highlight w:val="none"/>
        </w:rPr>
        <w:t>制造商投标；代理商必须取得制造商或国内总代理（仅进口产品）的授权；</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C：接受集货商投标：可以接受集货商、代理商或制造商投标，代理商未提供制造商或国内总代理（仅进口产品）有效授权的视为集货商。</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制造商和代理商不得就同一品牌同一型号的货物同时参与同一标包的投标。</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2.合同业绩：必须提供对应的合同和发票复印件，发票复印件后须附通过国家税务总局全国增值税发票查验平台（网址：https://inv-veri.chinatax.gov.cn/）查验的发票结果截图，“一发票一截图”，未按要求提供对应发票查验结果截图的发票金额（数量）不予认可。所有业绩支撑证明材料内容须保证清晰、可辨认且不得遮盖、涂抹。合同扫描件可提供合同封面、签字页及其货物清册即可，合同封面、签字页及其货物清册须一一对应。按时间顺序由远及近排列合同及发票扫描件，并制定目录。如国家有行政许可的，销售业绩应在取得许可时间后方为有效。接受代理商投标的，提供代理商或授权制造商的销售业绩均可；</w:t>
      </w:r>
      <w:r>
        <w:rPr>
          <w:rFonts w:hint="eastAsia" w:ascii="宋体" w:hAnsi="宋体" w:eastAsia="宋体" w:cs="宋体"/>
          <w:b w:val="0"/>
          <w:bCs w:val="0"/>
          <w:color w:val="auto"/>
          <w:sz w:val="21"/>
          <w:szCs w:val="21"/>
          <w:highlight w:val="none"/>
          <w:lang w:val="en-US" w:eastAsia="zh-CN"/>
        </w:rPr>
        <w:t>集货</w:t>
      </w:r>
      <w:r>
        <w:rPr>
          <w:rFonts w:hint="eastAsia" w:ascii="宋体" w:hAnsi="宋体" w:eastAsia="宋体" w:cs="宋体"/>
          <w:b w:val="0"/>
          <w:bCs w:val="0"/>
          <w:color w:val="auto"/>
          <w:sz w:val="21"/>
          <w:szCs w:val="21"/>
          <w:highlight w:val="none"/>
        </w:rPr>
        <w:t>商投标的，招标人只认可</w:t>
      </w:r>
      <w:r>
        <w:rPr>
          <w:rFonts w:hint="eastAsia" w:ascii="宋体" w:hAnsi="宋体" w:eastAsia="宋体" w:cs="宋体"/>
          <w:b w:val="0"/>
          <w:bCs w:val="0"/>
          <w:color w:val="auto"/>
          <w:sz w:val="21"/>
          <w:szCs w:val="21"/>
          <w:highlight w:val="none"/>
          <w:lang w:val="en-US" w:eastAsia="zh-CN"/>
        </w:rPr>
        <w:t>集货</w:t>
      </w:r>
      <w:r>
        <w:rPr>
          <w:rFonts w:hint="eastAsia" w:ascii="宋体" w:hAnsi="宋体" w:eastAsia="宋体" w:cs="宋体"/>
          <w:b w:val="0"/>
          <w:bCs w:val="0"/>
          <w:color w:val="auto"/>
          <w:sz w:val="21"/>
          <w:szCs w:val="21"/>
          <w:highlight w:val="none"/>
        </w:rPr>
        <w:t>商的销售业绩。</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3.产品型式试验报告或检测报告或鉴定报告：提供所投主要产品的国家认可第三方权威检测机构出具的相关报告；报告检测项目必须覆盖所投主要产品；报告包含有效期的必须在有效期内。</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4.认证证书：提供的认证证书需在有效期内。</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5.许可证：包括生产许可证（提供所投产品的有效生产许可证）、入网许可证（提供所投产品的有效入网许可证）、CCC认证（提供所投产品的有效CCC认证）等。</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6.生产实验设备：具有完整的制造、工艺装备和试验设备；具有同等电压等级（或同等要求、同等规模）及以上投标产品的研发、设计、制造和出厂试验的能力。</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7. 条件备注：提供本次招标提出的其他资格要求证明材料，所提供材料覆盖所投主要产品，真实有效并在有效期内。</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8.技术规范书中所列的资格要求对投标人无约束。</w:t>
      </w:r>
    </w:p>
    <w:p>
      <w:pP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br w:type="page"/>
      </w:r>
    </w:p>
    <w:p>
      <w:pPr>
        <w:pStyle w:val="23"/>
        <w:rPr>
          <w:rStyle w:val="21"/>
          <w:rFonts w:hint="eastAsia" w:ascii="黑体" w:hAnsi="黑体" w:eastAsia="黑体" w:cs="黑体"/>
          <w:b/>
          <w:bCs/>
          <w:kern w:val="2"/>
          <w:sz w:val="24"/>
          <w:szCs w:val="24"/>
          <w:highlight w:val="none"/>
          <w:lang w:bidi="zh-CN"/>
        </w:rPr>
      </w:pPr>
      <w:r>
        <w:rPr>
          <w:rStyle w:val="21"/>
          <w:rFonts w:hint="eastAsia" w:ascii="黑体" w:hAnsi="黑体" w:eastAsia="黑体" w:cs="黑体"/>
          <w:b/>
          <w:bCs/>
          <w:kern w:val="2"/>
          <w:sz w:val="24"/>
          <w:szCs w:val="24"/>
          <w:highlight w:val="none"/>
          <w:lang w:bidi="zh-CN"/>
        </w:rPr>
        <w:t>附件</w:t>
      </w:r>
      <w:r>
        <w:rPr>
          <w:rStyle w:val="21"/>
          <w:rFonts w:hint="eastAsia" w:ascii="黑体" w:hAnsi="黑体" w:eastAsia="黑体" w:cs="黑体"/>
          <w:b/>
          <w:bCs/>
          <w:kern w:val="2"/>
          <w:sz w:val="24"/>
          <w:szCs w:val="24"/>
          <w:highlight w:val="none"/>
          <w:lang w:val="en-US" w:eastAsia="zh-CN" w:bidi="zh-CN"/>
        </w:rPr>
        <w:t>3</w:t>
      </w:r>
      <w:r>
        <w:rPr>
          <w:rStyle w:val="21"/>
          <w:rFonts w:hint="eastAsia" w:ascii="黑体" w:hAnsi="黑体" w:eastAsia="黑体" w:cs="黑体"/>
          <w:b/>
          <w:bCs/>
          <w:kern w:val="2"/>
          <w:sz w:val="24"/>
          <w:szCs w:val="24"/>
          <w:highlight w:val="none"/>
          <w:lang w:bidi="zh-CN"/>
        </w:rPr>
        <w:t>：重要提示</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strike w:val="0"/>
          <w:dstrike w:val="0"/>
          <w:color w:val="auto"/>
          <w:sz w:val="21"/>
          <w:szCs w:val="21"/>
          <w:highlight w:val="none"/>
        </w:rPr>
      </w:pPr>
      <w:r>
        <w:rPr>
          <w:rFonts w:hint="eastAsia" w:ascii="宋体" w:hAnsi="宋体" w:eastAsia="宋体" w:cs="宋体"/>
          <w:strike w:val="0"/>
          <w:dstrike w:val="0"/>
          <w:color w:val="auto"/>
          <w:sz w:val="21"/>
          <w:szCs w:val="21"/>
          <w:highlight w:val="none"/>
        </w:rPr>
        <w:t>1.投标人应按照招标文件提供的投标文件目录及格式分别编制商务、技术投标文件，否则因此造成的不利影响由投标人自行承担。</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lang w:val="en-US" w:eastAsia="zh-CN"/>
        </w:rPr>
        <w:t>2</w:t>
      </w:r>
      <w:r>
        <w:rPr>
          <w:rFonts w:hint="eastAsia" w:ascii="宋体" w:hAnsi="宋体" w:eastAsia="宋体" w:cs="宋体"/>
          <w:b w:val="0"/>
          <w:bCs w:val="0"/>
          <w:color w:val="auto"/>
          <w:sz w:val="21"/>
          <w:szCs w:val="21"/>
          <w:highlight w:val="none"/>
        </w:rPr>
        <w:t>.技术规范书中描述的否决事项及投标人资质要求不作为否决投标的依据。投标人资质要求、工期/服务期要求以《第一章招标公告》为准，否决投标的条件以《评标办法》中相应条款的相关要求为准。</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lang w:val="en-US" w:eastAsia="zh-CN"/>
        </w:rPr>
        <w:t>3</w:t>
      </w:r>
      <w:r>
        <w:rPr>
          <w:rFonts w:hint="eastAsia" w:ascii="宋体" w:hAnsi="宋体" w:eastAsia="宋体" w:cs="宋体"/>
          <w:b w:val="0"/>
          <w:bCs w:val="0"/>
          <w:color w:val="auto"/>
          <w:sz w:val="21"/>
          <w:szCs w:val="21"/>
          <w:highlight w:val="none"/>
        </w:rPr>
        <w:t>.投标人提供的企业及人员资格证书扫描件应保证其完整性、清晰度，包括但不限于证书名称、等级、编号、有效期、颁证机构及公章、颁证时间等，否则由此造成的不利影响由投标人自行承担。</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lang w:val="en-US" w:eastAsia="zh-CN"/>
        </w:rPr>
        <w:t>4</w:t>
      </w:r>
      <w:r>
        <w:rPr>
          <w:rFonts w:hint="eastAsia" w:ascii="宋体" w:hAnsi="宋体" w:eastAsia="宋体" w:cs="宋体"/>
          <w:b w:val="0"/>
          <w:bCs w:val="0"/>
          <w:color w:val="auto"/>
          <w:sz w:val="21"/>
          <w:szCs w:val="21"/>
          <w:highlight w:val="none"/>
        </w:rPr>
        <w:t>.本批次项目增值税计算方法为一般计税法，</w:t>
      </w:r>
      <w:r>
        <w:rPr>
          <w:rFonts w:hint="eastAsia" w:ascii="宋体" w:hAnsi="宋体" w:eastAsia="宋体" w:cs="宋体"/>
          <w:b w:val="0"/>
          <w:bCs w:val="0"/>
          <w:color w:val="auto"/>
          <w:sz w:val="21"/>
          <w:szCs w:val="21"/>
          <w:highlight w:val="none"/>
          <w:lang w:val="en-US"/>
        </w:rPr>
        <w:t>投标人应按照国家规定税率填报增值税税率或征收率</w:t>
      </w:r>
      <w:r>
        <w:rPr>
          <w:rFonts w:hint="eastAsia" w:ascii="宋体" w:hAnsi="宋体" w:eastAsia="宋体" w:cs="宋体"/>
          <w:b w:val="0"/>
          <w:bCs w:val="0"/>
          <w:color w:val="auto"/>
          <w:sz w:val="21"/>
          <w:szCs w:val="21"/>
          <w:highlight w:val="none"/>
        </w:rPr>
        <w:t>，否则将按否决投标处理。若投标人为一般纳税人</w:t>
      </w:r>
      <w:r>
        <w:rPr>
          <w:rFonts w:hint="eastAsia" w:ascii="宋体" w:hAnsi="宋体" w:eastAsia="宋体" w:cs="宋体"/>
          <w:b w:val="0"/>
          <w:bCs w:val="0"/>
          <w:color w:val="auto"/>
          <w:sz w:val="21"/>
          <w:szCs w:val="21"/>
          <w:highlight w:val="none"/>
          <w:lang w:eastAsia="zh-CN"/>
        </w:rPr>
        <w:t>，</w:t>
      </w:r>
      <w:r>
        <w:rPr>
          <w:rFonts w:hint="eastAsia" w:ascii="宋体" w:hAnsi="宋体" w:eastAsia="宋体" w:cs="宋体"/>
          <w:b w:val="0"/>
          <w:bCs w:val="0"/>
          <w:color w:val="auto"/>
          <w:sz w:val="21"/>
          <w:szCs w:val="21"/>
          <w:highlight w:val="none"/>
        </w:rPr>
        <w:t>适用税率见本章招标公告附件需求一览表；投标人为小规模纳税人或享有其他政策优惠的从其规定，</w:t>
      </w:r>
      <w:r>
        <w:rPr>
          <w:rFonts w:hint="eastAsia" w:ascii="宋体" w:hAnsi="宋体" w:eastAsia="宋体" w:cs="宋体"/>
          <w:b w:val="0"/>
          <w:bCs w:val="0"/>
          <w:color w:val="auto"/>
          <w:sz w:val="21"/>
          <w:szCs w:val="21"/>
          <w:highlight w:val="none"/>
          <w:lang w:eastAsia="zh-CN"/>
        </w:rPr>
        <w:t>投标人应</w:t>
      </w:r>
      <w:r>
        <w:rPr>
          <w:rFonts w:hint="eastAsia" w:ascii="宋体" w:hAnsi="宋体" w:eastAsia="宋体" w:cs="宋体"/>
          <w:b w:val="0"/>
          <w:bCs w:val="0"/>
          <w:color w:val="auto"/>
          <w:sz w:val="21"/>
          <w:szCs w:val="21"/>
          <w:highlight w:val="none"/>
        </w:rPr>
        <w:t>在商务投标文件中</w:t>
      </w:r>
      <w:r>
        <w:rPr>
          <w:rFonts w:hint="eastAsia" w:ascii="宋体" w:hAnsi="宋体" w:eastAsia="宋体" w:cs="宋体"/>
          <w:b w:val="0"/>
          <w:bCs w:val="0"/>
          <w:color w:val="auto"/>
          <w:sz w:val="21"/>
          <w:szCs w:val="21"/>
          <w:highlight w:val="none"/>
          <w:lang w:eastAsia="zh-CN"/>
        </w:rPr>
        <w:t>提供佐证材料</w:t>
      </w:r>
      <w:r>
        <w:rPr>
          <w:rFonts w:hint="eastAsia" w:ascii="宋体" w:hAnsi="宋体" w:eastAsia="宋体" w:cs="宋体"/>
          <w:b w:val="0"/>
          <w:bCs w:val="0"/>
          <w:color w:val="auto"/>
          <w:sz w:val="21"/>
          <w:szCs w:val="21"/>
          <w:highlight w:val="none"/>
        </w:rPr>
        <w:t>，未提供的视为一般纳税人。</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val="0"/>
          <w:bCs w:val="0"/>
          <w:color w:val="auto"/>
          <w:sz w:val="21"/>
          <w:szCs w:val="21"/>
          <w:highlight w:val="none"/>
          <w:lang w:val="zh-CN" w:eastAsia="zh-CN"/>
        </w:rPr>
      </w:pPr>
      <w:r>
        <w:rPr>
          <w:rFonts w:hint="eastAsia" w:ascii="宋体" w:hAnsi="宋体" w:eastAsia="宋体" w:cs="宋体"/>
          <w:b w:val="0"/>
          <w:bCs w:val="0"/>
          <w:color w:val="auto"/>
          <w:sz w:val="21"/>
          <w:szCs w:val="21"/>
          <w:highlight w:val="none"/>
          <w:lang w:val="en-US" w:eastAsia="zh-CN"/>
        </w:rPr>
        <w:t>5.</w:t>
      </w:r>
      <w:r>
        <w:rPr>
          <w:rFonts w:hint="eastAsia" w:ascii="宋体" w:hAnsi="宋体" w:eastAsia="宋体" w:cs="宋体"/>
          <w:b w:val="0"/>
          <w:bCs w:val="0"/>
          <w:color w:val="auto"/>
          <w:sz w:val="21"/>
          <w:szCs w:val="21"/>
          <w:highlight w:val="none"/>
          <w:lang w:val="zh-CN" w:eastAsia="zh-CN"/>
        </w:rPr>
        <w:t>招标人加大了对围标串标、虚假投标的查处力度，请各投标人务必认真阅读第二章投标人须知前附表“对投标人的纪律要求”。</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6.本文件中关于“招标人招投标交易平台信息系统”的描述，为“国家电网有限公司电子商务平台-电工交易专区”（https:// sgccetp.com.cn/portal/#/）。</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7.投标人应如实按照《投标人与国家电网公司系统人员关系说明》（详见投标文件格式）提交其法人、出资人、高管中是否存在国家电网公司系统在职、离职、退休人员，以及上述人员亲属的情况说明。未提交说明的，将进行否决处理。</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bCs/>
          <w:color w:val="FF0000"/>
          <w:sz w:val="22"/>
          <w:szCs w:val="22"/>
          <w:highlight w:val="yellow"/>
          <w:lang w:val="en-US" w:eastAsia="zh-CN"/>
        </w:rPr>
      </w:pPr>
      <w:r>
        <w:rPr>
          <w:rFonts w:hint="eastAsia" w:ascii="宋体" w:hAnsi="宋体" w:eastAsia="宋体" w:cs="宋体"/>
          <w:b/>
          <w:bCs/>
          <w:color w:val="FF0000"/>
          <w:sz w:val="22"/>
          <w:szCs w:val="22"/>
          <w:highlight w:val="yellow"/>
          <w:lang w:val="en-US" w:eastAsia="zh-CN"/>
        </w:rPr>
        <w:t>8.本次项目商务投标文件仅接受投标人应过“供应商门户”中的“投标文件编制工具”生成.tb格式，并上传至“供应商门户”中的“投标文件上传工具”商务投标文件。</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Style w:val="21"/>
          <w:rFonts w:hint="eastAsia" w:ascii="宋体" w:hAnsi="宋体" w:eastAsia="宋体" w:cs="宋体"/>
          <w:sz w:val="21"/>
          <w:szCs w:val="18"/>
          <w:highlight w:val="none"/>
          <w:lang w:val="en-US" w:eastAsia="zh-CN"/>
        </w:rPr>
      </w:pPr>
      <w:r>
        <w:rPr>
          <w:rStyle w:val="21"/>
          <w:rFonts w:hint="eastAsia" w:ascii="宋体" w:hAnsi="宋体" w:eastAsia="宋体" w:cs="宋体"/>
          <w:sz w:val="21"/>
          <w:szCs w:val="18"/>
          <w:highlight w:val="none"/>
          <w:lang w:val="en-US" w:eastAsia="zh-CN"/>
        </w:rPr>
        <w:t>9.湖南湘能创业项目管理有限公司 邀请您参加腾讯会议</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会议主题：投标文件编制及上传工具操作培训</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val="0"/>
          <w:bCs w:val="0"/>
          <w:color w:val="auto"/>
          <w:sz w:val="21"/>
          <w:szCs w:val="21"/>
          <w:highlight w:val="yellow"/>
          <w:lang w:val="en-US" w:eastAsia="zh-CN"/>
        </w:rPr>
      </w:pPr>
      <w:r>
        <w:rPr>
          <w:rFonts w:hint="eastAsia" w:ascii="宋体" w:hAnsi="宋体" w:eastAsia="宋体" w:cs="宋体"/>
          <w:b w:val="0"/>
          <w:bCs w:val="0"/>
          <w:color w:val="auto"/>
          <w:sz w:val="21"/>
          <w:szCs w:val="21"/>
          <w:highlight w:val="yellow"/>
          <w:lang w:val="en-US" w:eastAsia="zh-CN"/>
        </w:rPr>
        <w:t>培训时间：</w:t>
      </w:r>
      <w:bookmarkStart w:id="166" w:name="PO_YS_PXSJAMZSA"/>
      <w:r>
        <w:rPr>
          <w:rFonts w:hint="eastAsia" w:ascii="宋体" w:hAnsi="宋体" w:eastAsia="宋体" w:cs="宋体"/>
          <w:b w:val="0"/>
          <w:bCs w:val="0"/>
          <w:color w:val="auto"/>
          <w:sz w:val="21"/>
          <w:szCs w:val="21"/>
          <w:highlight w:val="yellow"/>
          <w:lang w:val="en-US" w:eastAsia="zh-CN"/>
        </w:rPr>
        <w:t>2025年07月15日15时00分00秒</w:t>
      </w:r>
      <w:bookmarkEnd w:id="166"/>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val="0"/>
          <w:bCs w:val="0"/>
          <w:color w:val="auto"/>
          <w:sz w:val="21"/>
          <w:szCs w:val="21"/>
          <w:highlight w:val="yellow"/>
          <w:lang w:val="en-US" w:eastAsia="zh-CN"/>
        </w:rPr>
      </w:pPr>
      <w:r>
        <w:rPr>
          <w:rFonts w:hint="eastAsia" w:ascii="宋体" w:hAnsi="宋体" w:eastAsia="宋体" w:cs="宋体"/>
          <w:b w:val="0"/>
          <w:bCs w:val="0"/>
          <w:color w:val="auto"/>
          <w:sz w:val="21"/>
          <w:szCs w:val="21"/>
          <w:highlight w:val="yellow"/>
          <w:lang w:val="en-US" w:eastAsia="zh-CN"/>
        </w:rPr>
        <w:t>#腾讯会议：</w:t>
      </w:r>
      <w:bookmarkStart w:id="167" w:name="PO_YS_PXHYHADCZ"/>
      <w:r>
        <w:rPr>
          <w:rFonts w:hint="eastAsia" w:ascii="宋体" w:hAnsi="宋体" w:eastAsia="宋体" w:cs="宋体"/>
          <w:b w:val="0"/>
          <w:bCs w:val="0"/>
          <w:color w:val="auto"/>
          <w:sz w:val="21"/>
          <w:szCs w:val="21"/>
          <w:highlight w:val="yellow"/>
          <w:lang w:val="en-US" w:eastAsia="zh-CN"/>
        </w:rPr>
        <w:t>446-234-</w:t>
      </w:r>
      <w:bookmarkEnd w:id="167"/>
      <w:r>
        <w:rPr>
          <w:rFonts w:hint="eastAsia" w:ascii="宋体" w:hAnsi="宋体" w:eastAsia="宋体" w:cs="宋体"/>
          <w:b w:val="0"/>
          <w:bCs w:val="0"/>
          <w:color w:val="auto"/>
          <w:sz w:val="21"/>
          <w:szCs w:val="21"/>
          <w:highlight w:val="yellow"/>
          <w:lang w:val="en-US" w:eastAsia="zh-CN"/>
        </w:rPr>
        <w:t>716</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复制该信息，打开手机腾讯会议即可参与</w:t>
      </w:r>
    </w:p>
    <w:p>
      <w:pPr>
        <w:pStyle w:val="2"/>
        <w:rPr>
          <w:rFonts w:hint="eastAsia"/>
          <w:lang w:val="en-US" w:eastAsia="zh-CN"/>
        </w:rPr>
      </w:pPr>
    </w:p>
    <w:p>
      <w:pPr>
        <w:pStyle w:val="6"/>
        <w:rPr>
          <w:rFonts w:hint="eastAsia"/>
          <w:lang w:val="en-US" w:eastAsia="zh-CN"/>
        </w:rPr>
      </w:pPr>
    </w:p>
    <w:p>
      <w:pPr>
        <w:rPr>
          <w:color w:val="auto"/>
          <w:highlight w:val="none"/>
        </w:rPr>
      </w:pPr>
    </w:p>
    <w:p>
      <w:pPr>
        <w:pStyle w:val="6"/>
        <w:rPr>
          <w:color w:val="auto"/>
          <w:highlight w:val="none"/>
        </w:rPr>
      </w:pPr>
    </w:p>
    <w:p>
      <w:pPr>
        <w:rPr>
          <w:rFonts w:hint="eastAsia" w:ascii="方正小标宋_GBK" w:eastAsia="方正小标宋_GBK"/>
          <w:color w:val="auto"/>
          <w:sz w:val="30"/>
          <w:szCs w:val="30"/>
          <w:highlight w:val="none"/>
        </w:rPr>
      </w:pPr>
      <w:r>
        <w:rPr>
          <w:rFonts w:hint="eastAsia" w:ascii="方正小标宋_GBK" w:eastAsia="方正小标宋_GBK"/>
          <w:color w:val="auto"/>
          <w:sz w:val="30"/>
          <w:szCs w:val="30"/>
          <w:highlight w:val="none"/>
        </w:rPr>
        <w:br w:type="page"/>
      </w:r>
    </w:p>
    <w:p>
      <w:pPr>
        <w:jc w:val="left"/>
        <w:outlineLvl w:val="0"/>
        <w:rPr>
          <w:rFonts w:hint="eastAsia" w:ascii="黑体" w:hAnsi="黑体" w:eastAsia="黑体" w:cs="黑体"/>
          <w:b/>
          <w:bCs/>
          <w:color w:val="auto"/>
          <w:sz w:val="24"/>
          <w:szCs w:val="24"/>
          <w:highlight w:val="none"/>
          <w:lang w:val="zh-CN" w:bidi="zh-CN"/>
        </w:rPr>
      </w:pPr>
      <w:r>
        <w:rPr>
          <w:rFonts w:hint="eastAsia" w:ascii="黑体" w:hAnsi="黑体" w:eastAsia="黑体" w:cs="黑体"/>
          <w:b/>
          <w:bCs/>
          <w:color w:val="auto"/>
          <w:sz w:val="24"/>
          <w:szCs w:val="24"/>
          <w:highlight w:val="none"/>
          <w:lang w:val="zh-CN" w:bidi="zh-CN"/>
        </w:rPr>
        <w:t>附件</w:t>
      </w:r>
      <w:r>
        <w:rPr>
          <w:rFonts w:hint="eastAsia" w:ascii="黑体" w:hAnsi="黑体" w:eastAsia="黑体" w:cs="黑体"/>
          <w:b/>
          <w:bCs/>
          <w:color w:val="auto"/>
          <w:sz w:val="24"/>
          <w:szCs w:val="24"/>
          <w:highlight w:val="none"/>
          <w:lang w:val="en-US" w:bidi="zh-CN"/>
        </w:rPr>
        <w:t>4</w:t>
      </w:r>
      <w:r>
        <w:rPr>
          <w:rFonts w:hint="eastAsia" w:ascii="黑体" w:hAnsi="黑体" w:eastAsia="黑体" w:cs="黑体"/>
          <w:b/>
          <w:bCs/>
          <w:color w:val="auto"/>
          <w:sz w:val="24"/>
          <w:szCs w:val="24"/>
          <w:highlight w:val="none"/>
          <w:lang w:val="zh-CN" w:bidi="zh-CN"/>
        </w:rPr>
        <w:t>：开标会议通知</w:t>
      </w:r>
    </w:p>
    <w:p>
      <w:pPr>
        <w:jc w:val="center"/>
        <w:outlineLvl w:val="1"/>
        <w:rPr>
          <w:rFonts w:cs="黑体"/>
          <w:color w:val="auto"/>
          <w:sz w:val="24"/>
          <w:highlight w:val="none"/>
        </w:rPr>
      </w:pPr>
      <w:r>
        <w:rPr>
          <w:rFonts w:cs="黑体"/>
          <w:color w:val="auto"/>
          <w:sz w:val="24"/>
          <w:highlight w:val="none"/>
        </w:rPr>
        <w:t>关于开标会议的通知</w:t>
      </w:r>
    </w:p>
    <w:p>
      <w:pPr>
        <w:spacing w:line="440" w:lineRule="exact"/>
        <w:ind w:firstLine="420"/>
        <w:jc w:val="left"/>
        <w:rPr>
          <w:rFonts w:cs="方正仿宋_GBK"/>
          <w:color w:val="auto"/>
          <w:highlight w:val="none"/>
        </w:rPr>
      </w:pP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ind w:firstLine="420" w:firstLineChars="200"/>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依据国家相关规定和部署，本项目开标会议采取“无接触开标”方式进行，投标人通过“腾讯会议”APP软件远程在线参与开标会议。现就接入方法及要求通知如下：</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一、远程开标会议方式</w:t>
      </w:r>
    </w:p>
    <w:p>
      <w:pPr>
        <w:widowControl/>
        <w:adjustRightInd w:val="0"/>
        <w:snapToGrid w:val="0"/>
        <w:spacing w:line="300" w:lineRule="auto"/>
        <w:ind w:firstLine="420"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请各投标人代表使用手机或电脑下载“腾讯会议”APP软件，并自行熟悉掌握修改名称、申请发言、聊天输入等基本功能。</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二、远程开标会议室地址</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（一）电脑登录方式</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yellow"/>
          <w:u w:val="single"/>
          <w:lang w:val="en-US" w:eastAsia="zh-CN"/>
        </w:rPr>
      </w:pPr>
      <w:r>
        <w:rPr>
          <w:rFonts w:hint="eastAsia" w:ascii="宋体" w:hAnsi="宋体" w:eastAsia="宋体" w:cs="宋体"/>
          <w:b w:val="0"/>
          <w:bCs w:val="0"/>
          <w:color w:val="auto"/>
          <w:sz w:val="21"/>
          <w:szCs w:val="21"/>
          <w:highlight w:val="yellow"/>
          <w:lang w:val="en-US" w:eastAsia="zh-CN"/>
        </w:rPr>
        <w:t>视频会议链接：https://meeting.tencent.com/dm/tX2psZ5E6MM2</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yellow"/>
          <w:lang w:val="en-US" w:eastAsia="zh-CN"/>
        </w:rPr>
      </w:pPr>
      <w:r>
        <w:rPr>
          <w:rFonts w:hint="eastAsia" w:ascii="宋体" w:hAnsi="宋体" w:eastAsia="宋体" w:cs="宋体"/>
          <w:b w:val="0"/>
          <w:bCs w:val="0"/>
          <w:color w:val="auto"/>
          <w:sz w:val="21"/>
          <w:szCs w:val="21"/>
          <w:highlight w:val="yellow"/>
          <w:lang w:val="en-US" w:eastAsia="zh-CN"/>
        </w:rPr>
        <w:t>（二）腾讯会议号登录方式</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default" w:ascii="宋体" w:hAnsi="宋体" w:eastAsia="宋体" w:cs="宋体"/>
          <w:b w:val="0"/>
          <w:bCs w:val="0"/>
          <w:color w:val="auto"/>
          <w:sz w:val="21"/>
          <w:szCs w:val="21"/>
          <w:highlight w:val="yellow"/>
          <w:lang w:val="en-US" w:eastAsia="zh-CN"/>
        </w:rPr>
      </w:pPr>
      <w:r>
        <w:rPr>
          <w:rFonts w:hint="eastAsia" w:ascii="宋体" w:hAnsi="宋体" w:eastAsia="宋体" w:cs="宋体"/>
          <w:b w:val="0"/>
          <w:bCs w:val="0"/>
          <w:color w:val="auto"/>
          <w:sz w:val="21"/>
          <w:szCs w:val="21"/>
          <w:highlight w:val="yellow"/>
          <w:lang w:val="en-US" w:eastAsia="zh-CN"/>
        </w:rPr>
        <w:t>打开“腾讯会议”APP输入会议号：510-934-299</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三、具体要求</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（一）进入会议室时间</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请提前登录远程开标会议室，开标会议开始时间同投标文件递交截止时间。</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（二）参会人员要求</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为确保会议室容量及网络通畅，原则上每个投标人只委派一名授权委托人参会。</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（三）进入会议室要求</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请将“您的姓名”修改为：“投标单位全称”，同时关闭摄像头和麦克风。</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（四）其他要求</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1.请确保会议期间自身网络顺畅，周边环境安静，以保证远程参与会议效果。</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2.会议期间，主持人将对所有投标人进行静音设置。</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3.“腾讯会议”软件开启过程中，建议不要接听电话，以免掉线。</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textAlignment w:val="auto"/>
        <w:rPr>
          <w:rFonts w:hint="eastAsia" w:ascii="宋体" w:hAnsi="宋体" w:eastAsia="宋体" w:cs="宋体"/>
          <w:b w:val="0"/>
          <w:bCs w:val="0"/>
          <w:color w:val="auto"/>
          <w:sz w:val="21"/>
          <w:szCs w:val="21"/>
          <w:highlight w:val="none"/>
          <w:lang w:val="en-US" w:eastAsia="zh-CN"/>
        </w:rPr>
      </w:pPr>
      <w:r>
        <w:rPr>
          <w:rFonts w:hint="eastAsia" w:cs="宋体"/>
          <w:b w:val="0"/>
          <w:bCs w:val="0"/>
          <w:color w:val="auto"/>
          <w:sz w:val="21"/>
          <w:szCs w:val="21"/>
          <w:highlight w:val="none"/>
          <w:lang w:val="en-US" w:eastAsia="zh-CN"/>
        </w:rPr>
        <w:t>四</w:t>
      </w:r>
      <w:r>
        <w:rPr>
          <w:rFonts w:hint="eastAsia" w:ascii="宋体" w:hAnsi="宋体" w:eastAsia="宋体" w:cs="宋体"/>
          <w:b w:val="0"/>
          <w:bCs w:val="0"/>
          <w:color w:val="auto"/>
          <w:sz w:val="21"/>
          <w:szCs w:val="21"/>
          <w:highlight w:val="none"/>
          <w:lang w:val="en-US" w:eastAsia="zh-CN"/>
        </w:rPr>
        <w:t>、开标异议的提出方式和时间</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ind w:firstLine="420" w:firstLineChars="200"/>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开标结束后，各投标人在电子商务平台-电工交易专区自行查询开标记录表，如有异议，可在开标结果公布后1小时内将异议内容发送至指定邮箱，逾期视为无异议。</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jc w:val="right"/>
        <w:textAlignment w:val="auto"/>
        <w:rPr>
          <w:rFonts w:hint="eastAsia" w:ascii="宋体" w:hAnsi="宋体" w:eastAsia="宋体" w:cs="宋体"/>
          <w:b w:val="0"/>
          <w:bCs w:val="0"/>
          <w:color w:val="auto"/>
          <w:sz w:val="21"/>
          <w:szCs w:val="21"/>
          <w:highlight w:val="none"/>
          <w:lang w:val="en-US" w:eastAsia="zh-CN"/>
        </w:rPr>
      </w:pP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jc w:val="right"/>
        <w:textAlignment w:val="auto"/>
        <w:rPr>
          <w:rFonts w:cs="黑体"/>
          <w:b/>
          <w:color w:val="auto"/>
          <w:sz w:val="28"/>
          <w:highlight w:val="none"/>
        </w:rPr>
      </w:pPr>
      <w:r>
        <w:rPr>
          <w:rFonts w:cs="黑体"/>
          <w:b/>
          <w:color w:val="auto"/>
          <w:sz w:val="28"/>
          <w:highlight w:val="none"/>
        </w:rPr>
        <w:br w:type="page"/>
      </w:r>
    </w:p>
    <w:p>
      <w:pPr>
        <w:jc w:val="left"/>
        <w:outlineLvl w:val="0"/>
        <w:rPr>
          <w:rFonts w:hint="eastAsia" w:ascii="黑体" w:hAnsi="黑体" w:eastAsia="黑体" w:cs="黑体"/>
          <w:b/>
          <w:bCs/>
          <w:color w:val="auto"/>
          <w:sz w:val="24"/>
          <w:szCs w:val="24"/>
          <w:highlight w:val="none"/>
          <w:lang w:bidi="zh-CN"/>
        </w:rPr>
      </w:pPr>
      <w:r>
        <w:rPr>
          <w:rFonts w:hint="eastAsia" w:ascii="黑体" w:hAnsi="黑体" w:eastAsia="黑体" w:cs="黑体"/>
          <w:b/>
          <w:bCs/>
          <w:color w:val="auto"/>
          <w:sz w:val="24"/>
          <w:szCs w:val="24"/>
          <w:highlight w:val="none"/>
          <w:lang w:val="zh-CN" w:bidi="zh-CN"/>
        </w:rPr>
        <w:t xml:space="preserve"> </w:t>
      </w:r>
      <w:r>
        <w:rPr>
          <w:rFonts w:hint="eastAsia" w:ascii="黑体" w:hAnsi="黑体" w:eastAsia="黑体" w:cs="黑体"/>
          <w:b/>
          <w:bCs/>
          <w:color w:val="auto"/>
          <w:sz w:val="24"/>
          <w:szCs w:val="24"/>
          <w:highlight w:val="none"/>
          <w:lang w:bidi="zh-CN"/>
        </w:rPr>
        <w:t>附件</w:t>
      </w:r>
      <w:r>
        <w:rPr>
          <w:rFonts w:hint="eastAsia" w:ascii="黑体" w:hAnsi="黑体" w:eastAsia="黑体" w:cs="黑体"/>
          <w:b/>
          <w:bCs/>
          <w:color w:val="auto"/>
          <w:sz w:val="24"/>
          <w:szCs w:val="24"/>
          <w:highlight w:val="none"/>
          <w:lang w:val="en-US" w:bidi="zh-CN"/>
        </w:rPr>
        <w:t>5</w:t>
      </w:r>
      <w:r>
        <w:rPr>
          <w:rFonts w:hint="eastAsia" w:ascii="黑体" w:hAnsi="黑体" w:eastAsia="黑体" w:cs="黑体"/>
          <w:b/>
          <w:bCs/>
          <w:color w:val="auto"/>
          <w:sz w:val="24"/>
          <w:szCs w:val="24"/>
          <w:highlight w:val="none"/>
          <w:lang w:bidi="zh-CN"/>
        </w:rPr>
        <w:t>：国网湖南省电力有限公司关于供应商物资身份码赋码的通知</w:t>
      </w:r>
    </w:p>
    <w:p>
      <w:pPr>
        <w:pStyle w:val="40"/>
        <w:jc w:val="center"/>
        <w:rPr>
          <w:rFonts w:hint="eastAsia" w:ascii="黑体" w:hAnsi="黑体" w:eastAsia="黑体" w:cs="黑体"/>
          <w:bCs/>
          <w:color w:val="auto"/>
          <w:sz w:val="24"/>
          <w:szCs w:val="24"/>
          <w:highlight w:val="none"/>
        </w:rPr>
      </w:pPr>
    </w:p>
    <w:p>
      <w:pPr>
        <w:pStyle w:val="40"/>
        <w:jc w:val="center"/>
        <w:rPr>
          <w:rStyle w:val="21"/>
          <w:rFonts w:ascii="黑体" w:hAnsi="黑体" w:eastAsia="黑体" w:cs="黑体"/>
          <w:bCs/>
          <w:color w:val="auto"/>
          <w:sz w:val="24"/>
          <w:szCs w:val="24"/>
          <w:highlight w:val="none"/>
        </w:rPr>
      </w:pPr>
      <w:r>
        <w:rPr>
          <w:rStyle w:val="21"/>
          <w:rFonts w:hint="eastAsia" w:ascii="黑体" w:hAnsi="黑体" w:eastAsia="黑体" w:cs="黑体"/>
          <w:bCs/>
          <w:color w:val="auto"/>
          <w:sz w:val="24"/>
          <w:szCs w:val="24"/>
          <w:highlight w:val="none"/>
        </w:rPr>
        <w:t>国网湖南省电力有限公司关于供应商物资身份码赋码的通知</w:t>
      </w:r>
    </w:p>
    <w:p>
      <w:pPr>
        <w:pStyle w:val="40"/>
        <w:tabs>
          <w:tab w:val="left" w:pos="620"/>
        </w:tabs>
        <w:spacing w:line="440" w:lineRule="exact"/>
        <w:ind w:firstLine="420" w:firstLineChars="200"/>
        <w:rPr>
          <w:rStyle w:val="21"/>
          <w:rFonts w:ascii="宋体" w:hAnsi="宋体" w:eastAsia="宋体" w:cs="Times New Roman"/>
          <w:color w:val="auto"/>
          <w:szCs w:val="21"/>
          <w:highlight w:val="none"/>
        </w:rPr>
      </w:pPr>
      <w:r>
        <w:rPr>
          <w:rStyle w:val="21"/>
          <w:rFonts w:hint="eastAsia" w:ascii="宋体" w:hAnsi="宋体" w:eastAsia="宋体" w:cs="Times New Roman"/>
          <w:color w:val="auto"/>
          <w:szCs w:val="21"/>
          <w:highlight w:val="none"/>
        </w:rPr>
        <w:t>根据《国家电网有限公司关于印发电网资产统一身份编码建设实施方案》（国家电网设备〔2019〕414号）要求，供应商在送货前须完成物资赋码工作，具体要求如下：</w:t>
      </w:r>
    </w:p>
    <w:p>
      <w:pPr>
        <w:pStyle w:val="40"/>
        <w:widowControl/>
        <w:tabs>
          <w:tab w:val="left" w:pos="760"/>
        </w:tabs>
        <w:spacing w:line="440" w:lineRule="exact"/>
        <w:ind w:firstLine="200"/>
        <w:rPr>
          <w:rStyle w:val="21"/>
          <w:rFonts w:ascii="宋体" w:hAnsi="宋体" w:eastAsia="宋体" w:cs="黑体"/>
          <w:b/>
          <w:bCs/>
          <w:color w:val="auto"/>
          <w:kern w:val="0"/>
          <w:szCs w:val="21"/>
          <w:highlight w:val="none"/>
        </w:rPr>
      </w:pPr>
      <w:r>
        <w:rPr>
          <w:rStyle w:val="21"/>
          <w:rFonts w:hint="eastAsia" w:ascii="宋体" w:hAnsi="宋体" w:eastAsia="宋体" w:cs="黑体"/>
          <w:b/>
          <w:bCs/>
          <w:color w:val="auto"/>
          <w:kern w:val="0"/>
          <w:szCs w:val="21"/>
          <w:highlight w:val="none"/>
        </w:rPr>
        <w:t>一、物资身份码赋码范围</w:t>
      </w:r>
    </w:p>
    <w:p>
      <w:pPr>
        <w:pStyle w:val="40"/>
        <w:tabs>
          <w:tab w:val="left" w:pos="620"/>
        </w:tabs>
        <w:spacing w:line="440" w:lineRule="exact"/>
        <w:ind w:firstLine="420" w:firstLineChars="200"/>
        <w:rPr>
          <w:rStyle w:val="21"/>
          <w:rFonts w:ascii="宋体" w:hAnsi="宋体" w:eastAsia="宋体" w:cs="Times New Roman"/>
          <w:color w:val="auto"/>
          <w:szCs w:val="21"/>
          <w:highlight w:val="none"/>
        </w:rPr>
      </w:pPr>
      <w:r>
        <w:rPr>
          <w:rStyle w:val="21"/>
          <w:rFonts w:hint="eastAsia" w:ascii="宋体" w:hAnsi="宋体" w:eastAsia="宋体" w:cs="Times New Roman"/>
          <w:color w:val="auto"/>
          <w:szCs w:val="21"/>
          <w:highlight w:val="none"/>
        </w:rPr>
        <w:t>中标供应商凡生产以下物资的，均需要按要求对物资进行身份码赋码，设备实物</w:t>
      </w:r>
      <w:r>
        <w:rPr>
          <w:rStyle w:val="21"/>
          <w:rFonts w:ascii="宋体" w:hAnsi="宋体" w:eastAsia="宋体" w:cs="Times New Roman"/>
          <w:color w:val="auto"/>
          <w:szCs w:val="21"/>
          <w:highlight w:val="none"/>
        </w:rPr>
        <w:t>ID</w:t>
      </w:r>
      <w:r>
        <w:rPr>
          <w:rStyle w:val="21"/>
          <w:rFonts w:hint="eastAsia" w:ascii="宋体" w:hAnsi="宋体" w:eastAsia="宋体" w:cs="Times New Roman"/>
          <w:color w:val="auto"/>
          <w:szCs w:val="21"/>
          <w:highlight w:val="none"/>
        </w:rPr>
        <w:t>标签的制作和安装详见以下附件：</w:t>
      </w:r>
    </w:p>
    <w:p>
      <w:pPr>
        <w:pStyle w:val="40"/>
        <w:widowControl/>
        <w:tabs>
          <w:tab w:val="left" w:pos="760"/>
        </w:tabs>
        <w:spacing w:line="440" w:lineRule="exact"/>
        <w:ind w:firstLine="200"/>
        <w:rPr>
          <w:rStyle w:val="21"/>
          <w:rFonts w:ascii="宋体" w:hAnsi="宋体" w:eastAsia="宋体" w:cs="黑体"/>
          <w:b/>
          <w:bCs/>
          <w:color w:val="auto"/>
          <w:kern w:val="0"/>
          <w:szCs w:val="21"/>
          <w:highlight w:val="none"/>
        </w:rPr>
      </w:pPr>
      <w:r>
        <w:rPr>
          <w:rFonts w:ascii="宋体" w:hAnsi="宋体" w:cs="黑体"/>
          <w:b/>
          <w:bCs/>
          <w:color w:val="auto"/>
          <w:kern w:val="0"/>
          <w:szCs w:val="21"/>
          <w:highlight w:val="none"/>
        </w:rPr>
        <w:pict>
          <v:shape id="Object 1" o:spid="_x0000_s1027" o:spt="75" type="#_x0000_t75" style="position:absolute;left:0pt;margin-left:168.1pt;margin-top:7.65pt;height:66pt;width:72.75pt;z-index:251659264;mso-width-relative:page;mso-height-relative:page;" o:ole="t" filled="f" o:preferrelative="t" stroked="f" coordsize="21600,21600">
            <v:path/>
            <v:fill on="f" focussize="0,0"/>
            <v:stroke on="f"/>
            <v:imagedata r:id="rId18" o:title=""/>
            <o:lock v:ext="edit" aspectratio="t"/>
          </v:shape>
          <o:OLEObject Type="Embed" ProgID="AcroExch.Document.11" ShapeID="Object 1" DrawAspect="Icon" ObjectID="_1468075728" r:id="rId17">
            <o:LockedField>false</o:LockedField>
          </o:OLEObject>
        </w:pict>
      </w:r>
    </w:p>
    <w:p>
      <w:pPr>
        <w:pStyle w:val="40"/>
        <w:widowControl/>
        <w:tabs>
          <w:tab w:val="left" w:pos="760"/>
        </w:tabs>
        <w:spacing w:line="440" w:lineRule="exact"/>
        <w:ind w:firstLine="200"/>
        <w:rPr>
          <w:rStyle w:val="21"/>
          <w:rFonts w:ascii="宋体" w:hAnsi="宋体" w:eastAsia="宋体" w:cs="黑体"/>
          <w:b/>
          <w:bCs/>
          <w:color w:val="auto"/>
          <w:kern w:val="0"/>
          <w:szCs w:val="21"/>
          <w:highlight w:val="none"/>
        </w:rPr>
      </w:pPr>
    </w:p>
    <w:p>
      <w:pPr>
        <w:pStyle w:val="40"/>
        <w:widowControl/>
        <w:tabs>
          <w:tab w:val="left" w:pos="760"/>
        </w:tabs>
        <w:spacing w:line="440" w:lineRule="exact"/>
        <w:ind w:firstLine="200"/>
        <w:rPr>
          <w:rStyle w:val="21"/>
          <w:rFonts w:ascii="宋体" w:hAnsi="宋体" w:eastAsia="宋体" w:cs="黑体"/>
          <w:b/>
          <w:bCs/>
          <w:color w:val="auto"/>
          <w:kern w:val="0"/>
          <w:szCs w:val="21"/>
          <w:highlight w:val="none"/>
        </w:rPr>
      </w:pPr>
    </w:p>
    <w:p>
      <w:pPr>
        <w:pStyle w:val="40"/>
        <w:widowControl/>
        <w:tabs>
          <w:tab w:val="left" w:pos="760"/>
        </w:tabs>
        <w:spacing w:line="440" w:lineRule="exact"/>
        <w:ind w:firstLine="200"/>
        <w:rPr>
          <w:rStyle w:val="21"/>
          <w:rFonts w:ascii="宋体" w:hAnsi="宋体" w:eastAsia="宋体" w:cs="黑体"/>
          <w:b/>
          <w:bCs/>
          <w:color w:val="auto"/>
          <w:kern w:val="0"/>
          <w:szCs w:val="21"/>
          <w:highlight w:val="none"/>
        </w:rPr>
      </w:pPr>
    </w:p>
    <w:p>
      <w:pPr>
        <w:pStyle w:val="40"/>
        <w:widowControl/>
        <w:tabs>
          <w:tab w:val="left" w:pos="760"/>
        </w:tabs>
        <w:spacing w:line="440" w:lineRule="exact"/>
        <w:ind w:firstLine="200"/>
        <w:rPr>
          <w:rStyle w:val="21"/>
          <w:rFonts w:ascii="宋体" w:hAnsi="宋体" w:eastAsia="宋体" w:cs="黑体"/>
          <w:b/>
          <w:bCs/>
          <w:color w:val="auto"/>
          <w:kern w:val="0"/>
          <w:szCs w:val="21"/>
          <w:highlight w:val="none"/>
        </w:rPr>
      </w:pPr>
      <w:r>
        <w:rPr>
          <w:rStyle w:val="21"/>
          <w:rFonts w:hint="eastAsia" w:ascii="宋体" w:hAnsi="宋体" w:eastAsia="宋体" w:cs="黑体"/>
          <w:b/>
          <w:bCs/>
          <w:color w:val="auto"/>
          <w:kern w:val="0"/>
          <w:szCs w:val="21"/>
          <w:highlight w:val="none"/>
        </w:rPr>
        <w:t>二、其他说明</w:t>
      </w:r>
    </w:p>
    <w:p>
      <w:pPr>
        <w:pStyle w:val="40"/>
        <w:tabs>
          <w:tab w:val="left" w:pos="620"/>
        </w:tabs>
        <w:spacing w:line="440" w:lineRule="exact"/>
        <w:ind w:firstLine="420" w:firstLineChars="200"/>
        <w:rPr>
          <w:rStyle w:val="21"/>
          <w:rFonts w:ascii="宋体" w:hAnsi="宋体" w:eastAsia="宋体" w:cs="Times New Roman"/>
          <w:color w:val="auto"/>
          <w:szCs w:val="21"/>
          <w:highlight w:val="none"/>
        </w:rPr>
      </w:pPr>
      <w:r>
        <w:rPr>
          <w:rStyle w:val="21"/>
          <w:rFonts w:ascii="宋体" w:hAnsi="宋体" w:eastAsia="宋体" w:cs="Times New Roman"/>
          <w:color w:val="auto"/>
          <w:szCs w:val="21"/>
          <w:highlight w:val="none"/>
        </w:rPr>
        <w:t>1.</w:t>
      </w:r>
      <w:r>
        <w:rPr>
          <w:rStyle w:val="21"/>
          <w:rFonts w:hint="eastAsia" w:ascii="宋体" w:hAnsi="宋体" w:eastAsia="宋体" w:cs="Times New Roman"/>
          <w:color w:val="auto"/>
          <w:szCs w:val="21"/>
          <w:highlight w:val="none"/>
        </w:rPr>
        <w:t>供应商物资身份码赋码工作需严格按照湖南省电力有限公司相关文件执行，若出现不合规情况，湖南省电力有限公司将有权利拒收物资。</w:t>
      </w:r>
    </w:p>
    <w:p>
      <w:pPr>
        <w:pStyle w:val="40"/>
        <w:tabs>
          <w:tab w:val="left" w:pos="620"/>
        </w:tabs>
        <w:spacing w:line="440" w:lineRule="exact"/>
        <w:ind w:firstLine="420" w:firstLineChars="200"/>
        <w:rPr>
          <w:rStyle w:val="21"/>
          <w:rFonts w:ascii="宋体" w:hAnsi="宋体" w:eastAsia="宋体" w:cs="Times New Roman"/>
          <w:color w:val="auto"/>
          <w:szCs w:val="21"/>
          <w:highlight w:val="none"/>
        </w:rPr>
      </w:pPr>
      <w:r>
        <w:rPr>
          <w:rStyle w:val="21"/>
          <w:rFonts w:hint="eastAsia" w:ascii="宋体" w:hAnsi="宋体" w:eastAsia="宋体" w:cs="Times New Roman"/>
          <w:color w:val="auto"/>
          <w:szCs w:val="21"/>
          <w:highlight w:val="none"/>
        </w:rPr>
        <w:t>2.中标人在货物装箱运输前，应按照招标人要求完成实物</w:t>
      </w:r>
      <w:r>
        <w:rPr>
          <w:rStyle w:val="21"/>
          <w:rFonts w:ascii="宋体" w:hAnsi="宋体" w:eastAsia="宋体" w:cs="Times New Roman"/>
          <w:color w:val="auto"/>
          <w:szCs w:val="21"/>
          <w:highlight w:val="none"/>
        </w:rPr>
        <w:t>ID标签的制作、安装等工作，并在招标人提供的《设备出厂参数表》中录入供货设备相关参数。</w:t>
      </w:r>
    </w:p>
    <w:p>
      <w:pPr>
        <w:pStyle w:val="40"/>
        <w:tabs>
          <w:tab w:val="left" w:pos="620"/>
        </w:tabs>
        <w:spacing w:line="440" w:lineRule="exact"/>
        <w:ind w:firstLine="420" w:firstLineChars="200"/>
        <w:rPr>
          <w:rStyle w:val="21"/>
          <w:rFonts w:ascii="宋体" w:hAnsi="宋体" w:eastAsia="宋体" w:cs="Times New Roman"/>
          <w:color w:val="auto"/>
          <w:szCs w:val="21"/>
          <w:highlight w:val="none"/>
        </w:rPr>
      </w:pPr>
      <w:r>
        <w:rPr>
          <w:rStyle w:val="21"/>
          <w:rFonts w:hint="eastAsia" w:ascii="宋体" w:hAnsi="宋体" w:eastAsia="宋体" w:cs="Times New Roman"/>
          <w:color w:val="auto"/>
          <w:szCs w:val="21"/>
          <w:highlight w:val="none"/>
        </w:rPr>
        <w:t>3</w:t>
      </w:r>
      <w:r>
        <w:rPr>
          <w:rStyle w:val="21"/>
          <w:rFonts w:ascii="宋体" w:hAnsi="宋体" w:eastAsia="宋体" w:cs="Times New Roman"/>
          <w:color w:val="auto"/>
          <w:szCs w:val="21"/>
          <w:highlight w:val="none"/>
        </w:rPr>
        <w:t>.</w:t>
      </w:r>
      <w:r>
        <w:rPr>
          <w:rStyle w:val="21"/>
          <w:rFonts w:hint="eastAsia" w:ascii="宋体" w:hAnsi="宋体" w:eastAsia="宋体" w:cs="Times New Roman"/>
          <w:color w:val="auto"/>
          <w:szCs w:val="21"/>
          <w:highlight w:val="none"/>
        </w:rPr>
        <w:t>物资身份码标签的制作及安装需要供应商承担额外的成本，对于此部分成本供应商须在报价中予以考虑。</w:t>
      </w:r>
    </w:p>
    <w:p>
      <w:pPr>
        <w:widowControl/>
        <w:jc w:val="left"/>
        <w:rPr>
          <w:rFonts w:ascii="黑体" w:hAnsi="黑体" w:eastAsia="黑体" w:cs="黑体"/>
          <w:b/>
          <w:bCs/>
          <w:color w:val="auto"/>
          <w:sz w:val="24"/>
          <w:highlight w:val="none"/>
        </w:rPr>
      </w:pPr>
      <w:r>
        <w:rPr>
          <w:rFonts w:hint="eastAsia" w:ascii="黑体" w:hAnsi="黑体" w:eastAsia="黑体" w:cs="黑体"/>
          <w:b/>
          <w:bCs/>
          <w:color w:val="auto"/>
          <w:sz w:val="24"/>
          <w:szCs w:val="24"/>
          <w:highlight w:val="none"/>
          <w:lang w:bidi="zh-CN"/>
        </w:rPr>
        <w:br w:type="page"/>
      </w:r>
      <w:r>
        <w:rPr>
          <w:rFonts w:hint="eastAsia" w:ascii="黑体" w:hAnsi="黑体" w:eastAsia="黑体" w:cs="黑体"/>
          <w:b/>
          <w:bCs/>
          <w:color w:val="auto"/>
          <w:sz w:val="24"/>
          <w:highlight w:val="none"/>
        </w:rPr>
        <w:t>附件</w:t>
      </w:r>
      <w:r>
        <w:rPr>
          <w:rFonts w:hint="eastAsia" w:ascii="黑体" w:hAnsi="黑体" w:eastAsia="黑体" w:cs="黑体"/>
          <w:b/>
          <w:bCs/>
          <w:color w:val="auto"/>
          <w:sz w:val="24"/>
          <w:highlight w:val="none"/>
          <w:lang w:val="en-US" w:eastAsia="zh-CN"/>
        </w:rPr>
        <w:t>6</w:t>
      </w:r>
      <w:r>
        <w:rPr>
          <w:rFonts w:hint="eastAsia" w:ascii="黑体" w:hAnsi="黑体" w:eastAsia="黑体" w:cs="黑体"/>
          <w:b/>
          <w:bCs/>
          <w:color w:val="auto"/>
          <w:sz w:val="24"/>
          <w:highlight w:val="none"/>
        </w:rPr>
        <w:t>：增值税发票信息采集表</w:t>
      </w:r>
    </w:p>
    <w:p>
      <w:pPr>
        <w:keepNext w:val="0"/>
        <w:keepLines w:val="0"/>
        <w:pageBreakBefore w:val="0"/>
        <w:widowControl w:val="0"/>
        <w:kinsoku/>
        <w:wordWrap/>
        <w:overflowPunct/>
        <w:topLinePunct w:val="0"/>
        <w:autoSpaceDE/>
        <w:autoSpaceDN/>
        <w:bidi w:val="0"/>
        <w:adjustRightInd/>
        <w:snapToGrid/>
        <w:spacing w:before="313" w:beforeLines="100" w:line="440" w:lineRule="auto"/>
        <w:textAlignment w:val="auto"/>
        <w:rPr>
          <w:rFonts w:cs="方正仿宋_GBK" w:asciiTheme="minorEastAsia" w:hAnsiTheme="minorEastAsia"/>
          <w:color w:val="auto"/>
          <w:highlight w:val="none"/>
        </w:rPr>
      </w:pPr>
      <w:r>
        <w:rPr>
          <w:rFonts w:cs="方正仿宋_GBK" w:asciiTheme="minorEastAsia" w:hAnsiTheme="minorEastAsia"/>
          <w:color w:val="auto"/>
          <w:highlight w:val="none"/>
        </w:rPr>
        <w:t>尊敬的客户：</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ind w:firstLine="420" w:firstLineChars="200"/>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如您需取得增值税发票，请完整并准确填写以下“增值税发票信息采集表”，请务必在</w:t>
      </w:r>
      <w:r>
        <w:rPr>
          <w:rFonts w:hint="eastAsia" w:cs="宋体"/>
          <w:b w:val="0"/>
          <w:bCs w:val="0"/>
          <w:color w:val="auto"/>
          <w:sz w:val="21"/>
          <w:szCs w:val="21"/>
          <w:highlight w:val="yellow"/>
          <w:lang w:val="en-US" w:eastAsia="zh-CN"/>
        </w:rPr>
        <w:t>成交结果公告</w:t>
      </w:r>
      <w:r>
        <w:rPr>
          <w:rFonts w:hint="eastAsia" w:ascii="宋体" w:hAnsi="宋体" w:eastAsia="宋体" w:cs="宋体"/>
          <w:b w:val="0"/>
          <w:bCs w:val="0"/>
          <w:color w:val="auto"/>
          <w:sz w:val="21"/>
          <w:szCs w:val="21"/>
          <w:highlight w:val="yellow"/>
          <w:lang w:val="en-US" w:eastAsia="zh-CN"/>
        </w:rPr>
        <w:t>后</w:t>
      </w:r>
      <w:r>
        <w:rPr>
          <w:rFonts w:hint="eastAsia" w:ascii="宋体" w:hAnsi="宋体" w:eastAsia="宋体" w:cs="宋体"/>
          <w:b w:val="0"/>
          <w:bCs w:val="0"/>
          <w:color w:val="auto"/>
          <w:sz w:val="21"/>
          <w:szCs w:val="21"/>
          <w:highlight w:val="none"/>
          <w:lang w:val="en-US" w:eastAsia="zh-CN"/>
        </w:rPr>
        <w:t>将此文件内容以EXCEL表可复制粘贴的格式发邮件至邮箱xnzb_cw01@xnbidding.com，邮件标题请注明单位全称！我们将据此开具增值税专用发票或普通发票，注明普通发票的不予接受替换专用发票的要求，请知悉。</w:t>
      </w:r>
    </w:p>
    <w:p>
      <w:pPr>
        <w:pStyle w:val="23"/>
        <w:keepNext w:val="0"/>
        <w:keepLines w:val="0"/>
        <w:pageBreakBefore w:val="0"/>
        <w:widowControl w:val="0"/>
        <w:kinsoku/>
        <w:wordWrap/>
        <w:overflowPunct/>
        <w:topLinePunct w:val="0"/>
        <w:autoSpaceDE w:val="0"/>
        <w:autoSpaceDN w:val="0"/>
        <w:bidi w:val="0"/>
        <w:adjustRightInd w:val="0"/>
        <w:snapToGrid w:val="0"/>
        <w:spacing w:beforeLines="0" w:afterLines="0" w:line="360" w:lineRule="auto"/>
        <w:ind w:firstLine="420" w:firstLineChars="200"/>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注：若以下8项内容信息有变更，请重新填写并发送指定邮箱，否则我公司将按原开票信息为其开具纸质发票且不予替换,开票信息无变更的投标单位无需重复提供开票信息，请在开具后90天内取票。我公司代为保管发票的期限为一年，若专用发票开具后投标单位未在认证期内取回所造成的后果，由投标单位自行承担。</w:t>
      </w:r>
    </w:p>
    <w:p>
      <w:pPr>
        <w:spacing w:line="440" w:lineRule="auto"/>
        <w:jc w:val="center"/>
        <w:outlineLvl w:val="1"/>
        <w:rPr>
          <w:rFonts w:cs="方正仿宋_GBK" w:asciiTheme="minorEastAsia" w:hAnsiTheme="minorEastAsia"/>
          <w:b/>
          <w:color w:val="auto"/>
          <w:highlight w:val="none"/>
        </w:rPr>
      </w:pPr>
      <w:r>
        <w:rPr>
          <w:rFonts w:cs="方正仿宋_GBK" w:asciiTheme="minorEastAsia" w:hAnsiTheme="minorEastAsia"/>
          <w:b/>
          <w:color w:val="auto"/>
          <w:highlight w:val="none"/>
        </w:rPr>
        <w:t>增值税发票开票信息样表</w:t>
      </w:r>
      <w:r>
        <w:rPr>
          <w:rFonts w:cs="方正仿宋_GBK" w:asciiTheme="minorEastAsia" w:hAnsiTheme="minorEastAsia"/>
          <w:color w:val="auto"/>
          <w:highlight w:val="none"/>
        </w:rPr>
        <w:t>（用EXCEL表格发送）</w:t>
      </w:r>
    </w:p>
    <w:tbl>
      <w:tblPr>
        <w:tblStyle w:val="19"/>
        <w:tblW w:w="984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5"/>
        <w:gridCol w:w="1340"/>
        <w:gridCol w:w="583"/>
        <w:gridCol w:w="947"/>
        <w:gridCol w:w="583"/>
        <w:gridCol w:w="727"/>
        <w:gridCol w:w="583"/>
        <w:gridCol w:w="583"/>
        <w:gridCol w:w="941"/>
        <w:gridCol w:w="1309"/>
        <w:gridCol w:w="159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jc w:val="center"/>
        </w:trPr>
        <w:tc>
          <w:tcPr>
            <w:tcW w:w="655"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b/>
                <w:bCs/>
                <w:color w:val="auto"/>
                <w:kern w:val="0"/>
                <w:sz w:val="15"/>
                <w:szCs w:val="15"/>
                <w:highlight w:val="none"/>
              </w:rPr>
            </w:pPr>
            <w:r>
              <w:rPr>
                <w:rFonts w:hint="eastAsia" w:ascii="宋体" w:hAnsi="宋体" w:eastAsia="宋体" w:cs="宋体"/>
                <w:b/>
                <w:color w:val="auto"/>
                <w:kern w:val="0"/>
                <w:sz w:val="15"/>
                <w:szCs w:val="15"/>
                <w:highlight w:val="none"/>
              </w:rPr>
              <w:t>纳税人名称</w:t>
            </w:r>
          </w:p>
        </w:tc>
        <w:tc>
          <w:tcPr>
            <w:tcW w:w="1340"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b/>
                <w:bCs/>
                <w:color w:val="auto"/>
                <w:sz w:val="15"/>
                <w:szCs w:val="15"/>
                <w:highlight w:val="none"/>
              </w:rPr>
            </w:pPr>
            <w:r>
              <w:rPr>
                <w:rStyle w:val="41"/>
                <w:rFonts w:hint="default"/>
                <w:b/>
                <w:color w:val="auto"/>
                <w:sz w:val="15"/>
                <w:szCs w:val="15"/>
                <w:highlight w:val="none"/>
              </w:rPr>
              <w:t>纳税人识别号/统一社会信用代码</w:t>
            </w:r>
          </w:p>
        </w:tc>
        <w:tc>
          <w:tcPr>
            <w:tcW w:w="583"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Style w:val="41"/>
                <w:rFonts w:hint="default"/>
                <w:b/>
                <w:color w:val="auto"/>
                <w:sz w:val="15"/>
                <w:szCs w:val="15"/>
                <w:highlight w:val="none"/>
              </w:rPr>
              <w:t>注册地址</w:t>
            </w:r>
          </w:p>
        </w:tc>
        <w:tc>
          <w:tcPr>
            <w:tcW w:w="947"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Style w:val="41"/>
                <w:rFonts w:hint="default"/>
                <w:b/>
                <w:color w:val="auto"/>
                <w:sz w:val="15"/>
                <w:szCs w:val="15"/>
                <w:highlight w:val="none"/>
              </w:rPr>
            </w:pPr>
            <w:r>
              <w:rPr>
                <w:rStyle w:val="41"/>
                <w:rFonts w:hint="default"/>
                <w:b/>
                <w:color w:val="auto"/>
                <w:sz w:val="15"/>
                <w:szCs w:val="15"/>
                <w:highlight w:val="none"/>
              </w:rPr>
              <w:t>企业性质</w:t>
            </w:r>
          </w:p>
        </w:tc>
        <w:tc>
          <w:tcPr>
            <w:tcW w:w="583"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Style w:val="41"/>
                <w:rFonts w:hint="default"/>
                <w:b/>
                <w:color w:val="auto"/>
                <w:sz w:val="15"/>
                <w:szCs w:val="15"/>
                <w:highlight w:val="none"/>
              </w:rPr>
              <w:t>电话号码</w:t>
            </w:r>
          </w:p>
        </w:tc>
        <w:tc>
          <w:tcPr>
            <w:tcW w:w="727"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b/>
                <w:color w:val="auto"/>
                <w:kern w:val="0"/>
                <w:sz w:val="15"/>
                <w:szCs w:val="15"/>
                <w:highlight w:val="none"/>
              </w:rPr>
            </w:pPr>
            <w:r>
              <w:rPr>
                <w:rFonts w:hint="eastAsia" w:ascii="宋体" w:hAnsi="宋体" w:eastAsia="宋体" w:cs="宋体"/>
                <w:b/>
                <w:color w:val="auto"/>
                <w:kern w:val="0"/>
                <w:sz w:val="15"/>
                <w:szCs w:val="15"/>
                <w:highlight w:val="none"/>
              </w:rPr>
              <w:t>企业邮箱信息</w:t>
            </w:r>
          </w:p>
        </w:tc>
        <w:tc>
          <w:tcPr>
            <w:tcW w:w="583"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Style w:val="41"/>
                <w:rFonts w:hint="default"/>
                <w:b/>
                <w:color w:val="auto"/>
                <w:sz w:val="15"/>
                <w:szCs w:val="15"/>
                <w:highlight w:val="none"/>
              </w:rPr>
            </w:pPr>
            <w:r>
              <w:rPr>
                <w:rFonts w:hint="eastAsia" w:ascii="宋体" w:hAnsi="宋体" w:eastAsia="宋体" w:cs="宋体"/>
                <w:b/>
                <w:color w:val="auto"/>
                <w:kern w:val="0"/>
                <w:sz w:val="15"/>
                <w:szCs w:val="15"/>
                <w:highlight w:val="none"/>
              </w:rPr>
              <w:t>开户银行</w:t>
            </w:r>
          </w:p>
        </w:tc>
        <w:tc>
          <w:tcPr>
            <w:tcW w:w="583"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Style w:val="41"/>
                <w:rFonts w:hint="default"/>
                <w:b/>
                <w:color w:val="auto"/>
                <w:sz w:val="15"/>
                <w:szCs w:val="15"/>
                <w:highlight w:val="none"/>
              </w:rPr>
            </w:pPr>
            <w:r>
              <w:rPr>
                <w:rStyle w:val="41"/>
                <w:rFonts w:hint="default"/>
                <w:b/>
                <w:color w:val="auto"/>
                <w:sz w:val="15"/>
                <w:szCs w:val="15"/>
                <w:highlight w:val="none"/>
              </w:rPr>
              <w:t>开户</w:t>
            </w:r>
            <w:r>
              <w:rPr>
                <w:rFonts w:hint="eastAsia" w:ascii="宋体" w:hAnsi="宋体" w:eastAsia="宋体" w:cs="宋体"/>
                <w:b/>
                <w:color w:val="auto"/>
                <w:kern w:val="0"/>
                <w:sz w:val="15"/>
                <w:szCs w:val="15"/>
                <w:highlight w:val="none"/>
              </w:rPr>
              <w:t>账号</w:t>
            </w:r>
          </w:p>
        </w:tc>
        <w:tc>
          <w:tcPr>
            <w:tcW w:w="941"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Style w:val="41"/>
                <w:rFonts w:hint="default"/>
                <w:b/>
                <w:color w:val="auto"/>
                <w:sz w:val="15"/>
                <w:szCs w:val="15"/>
                <w:highlight w:val="none"/>
              </w:rPr>
            </w:pPr>
            <w:r>
              <w:rPr>
                <w:rStyle w:val="41"/>
                <w:rFonts w:hint="default"/>
                <w:b/>
                <w:color w:val="auto"/>
                <w:sz w:val="15"/>
                <w:szCs w:val="15"/>
                <w:highlight w:val="none"/>
              </w:rPr>
              <w:t>联行号</w:t>
            </w:r>
          </w:p>
        </w:tc>
        <w:tc>
          <w:tcPr>
            <w:tcW w:w="1309"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Style w:val="41"/>
                <w:rFonts w:hint="default"/>
                <w:b/>
                <w:color w:val="auto"/>
                <w:sz w:val="15"/>
                <w:szCs w:val="15"/>
                <w:highlight w:val="none"/>
              </w:rPr>
            </w:pPr>
            <w:r>
              <w:rPr>
                <w:rStyle w:val="41"/>
                <w:rFonts w:hint="default"/>
                <w:b/>
                <w:color w:val="auto"/>
                <w:sz w:val="15"/>
                <w:szCs w:val="15"/>
                <w:highlight w:val="none"/>
              </w:rPr>
              <w:t>一般纳税人还是小规模纳税人</w:t>
            </w:r>
          </w:p>
        </w:tc>
        <w:tc>
          <w:tcPr>
            <w:tcW w:w="1597"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Style w:val="41"/>
                <w:rFonts w:hint="default"/>
                <w:b/>
                <w:color w:val="auto"/>
                <w:sz w:val="15"/>
                <w:szCs w:val="15"/>
                <w:highlight w:val="none"/>
              </w:rPr>
            </w:pPr>
            <w:r>
              <w:rPr>
                <w:rStyle w:val="41"/>
                <w:rFonts w:hint="default"/>
                <w:b/>
                <w:color w:val="auto"/>
                <w:sz w:val="15"/>
                <w:szCs w:val="15"/>
                <w:highlight w:val="none"/>
              </w:rPr>
              <w:t>需要开具增值税专用发票还是普通发票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91" w:hRule="atLeast"/>
          <w:jc w:val="center"/>
        </w:trPr>
        <w:tc>
          <w:tcPr>
            <w:tcW w:w="655"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XX</w:t>
            </w:r>
          </w:p>
        </w:tc>
        <w:tc>
          <w:tcPr>
            <w:tcW w:w="1340"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XX</w:t>
            </w:r>
          </w:p>
        </w:tc>
        <w:tc>
          <w:tcPr>
            <w:tcW w:w="583"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XX</w:t>
            </w:r>
          </w:p>
        </w:tc>
        <w:tc>
          <w:tcPr>
            <w:tcW w:w="947"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如：民营或非民营</w:t>
            </w:r>
          </w:p>
        </w:tc>
        <w:tc>
          <w:tcPr>
            <w:tcW w:w="583"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XX</w:t>
            </w:r>
          </w:p>
        </w:tc>
        <w:tc>
          <w:tcPr>
            <w:tcW w:w="727"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XX</w:t>
            </w:r>
          </w:p>
        </w:tc>
        <w:tc>
          <w:tcPr>
            <w:tcW w:w="583"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XX</w:t>
            </w:r>
          </w:p>
        </w:tc>
        <w:tc>
          <w:tcPr>
            <w:tcW w:w="583"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XX</w:t>
            </w:r>
          </w:p>
        </w:tc>
        <w:tc>
          <w:tcPr>
            <w:tcW w:w="941"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本单位银行的联行号</w:t>
            </w:r>
          </w:p>
        </w:tc>
        <w:tc>
          <w:tcPr>
            <w:tcW w:w="1309"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如：一般纳税人</w:t>
            </w:r>
          </w:p>
        </w:tc>
        <w:tc>
          <w:tcPr>
            <w:tcW w:w="1597" w:type="dxa"/>
            <w:tcBorders>
              <w:top w:val="single" w:color="000000" w:sz="4" w:space="0"/>
              <w:left w:val="single" w:color="000000" w:sz="4" w:space="0"/>
              <w:bottom w:val="single" w:color="000000" w:sz="4" w:space="0"/>
              <w:right w:val="single" w:color="000000" w:sz="4" w:space="0"/>
            </w:tcBorders>
            <w:noWrap w:val="0"/>
            <w:vAlign w:val="center"/>
          </w:tcPr>
          <w:p>
            <w:pPr>
              <w:adjustRightInd w:val="0"/>
              <w:snapToGrid w:val="0"/>
              <w:jc w:val="center"/>
              <w:rPr>
                <w:rFonts w:hint="eastAsia" w:ascii="宋体" w:hAnsi="宋体" w:eastAsia="宋体" w:cs="宋体"/>
                <w:color w:val="auto"/>
                <w:sz w:val="15"/>
                <w:szCs w:val="15"/>
                <w:highlight w:val="none"/>
              </w:rPr>
            </w:pPr>
            <w:r>
              <w:rPr>
                <w:rFonts w:hint="eastAsia" w:ascii="宋体" w:hAnsi="宋体" w:eastAsia="宋体" w:cs="宋体"/>
                <w:color w:val="auto"/>
                <w:sz w:val="15"/>
                <w:szCs w:val="15"/>
                <w:highlight w:val="none"/>
              </w:rPr>
              <w:t>如：专用发票</w:t>
            </w:r>
          </w:p>
        </w:tc>
      </w:tr>
    </w:tbl>
    <w:p>
      <w:pPr>
        <w:spacing w:line="440" w:lineRule="auto"/>
        <w:ind w:firstLine="420"/>
        <w:rPr>
          <w:rFonts w:cs="方正仿宋_GBK" w:asciiTheme="minorEastAsia" w:hAnsiTheme="minorEastAsia"/>
          <w:color w:val="auto"/>
          <w:highlight w:val="none"/>
        </w:rPr>
      </w:pPr>
      <w:r>
        <w:rPr>
          <w:rFonts w:cs="方正仿宋_GBK" w:asciiTheme="minorEastAsia" w:hAnsiTheme="minorEastAsia"/>
          <w:color w:val="auto"/>
          <w:highlight w:val="none"/>
        </w:rPr>
        <w:t>注：客户税号数字首位及中间不能有空格。</w:t>
      </w:r>
    </w:p>
    <w:p>
      <w:pPr>
        <w:spacing w:line="300" w:lineRule="auto"/>
        <w:jc w:val="center"/>
        <w:rPr>
          <w:rFonts w:cs="仿宋_GB2312" w:asciiTheme="minorEastAsia" w:hAnsiTheme="minorEastAsia"/>
          <w:color w:val="auto"/>
          <w:sz w:val="24"/>
          <w:highlight w:val="none"/>
        </w:rPr>
      </w:pPr>
    </w:p>
    <w:p>
      <w:pPr>
        <w:spacing w:line="300" w:lineRule="auto"/>
        <w:jc w:val="center"/>
        <w:rPr>
          <w:rFonts w:cs="仿宋_GB2312" w:asciiTheme="minorEastAsia" w:hAnsiTheme="minorEastAsia"/>
          <w:color w:val="auto"/>
          <w:sz w:val="24"/>
          <w:highlight w:val="none"/>
        </w:rPr>
      </w:pPr>
    </w:p>
    <w:p>
      <w:pPr>
        <w:jc w:val="left"/>
        <w:rPr>
          <w:rFonts w:cs="仿宋_GB2312" w:asciiTheme="minorEastAsia" w:hAnsiTheme="minorEastAsia"/>
          <w:color w:val="auto"/>
          <w:sz w:val="24"/>
          <w:highlight w:val="none"/>
        </w:rPr>
      </w:pPr>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Pr>
        <w:widowControl/>
        <w:jc w:val="left"/>
        <w:rPr>
          <w:color w:val="auto"/>
          <w:highlight w:val="none"/>
        </w:rPr>
      </w:pPr>
    </w:p>
    <w:sectPr>
      <w:headerReference r:id="rId8" w:type="default"/>
      <w:footerReference r:id="rId9" w:type="default"/>
      <w:footnotePr>
        <w:pos w:val="beneathText"/>
      </w:footnotePr>
      <w:pgSz w:w="11906" w:h="16838"/>
      <w:pgMar w:top="1797" w:right="1440" w:bottom="1797" w:left="1440" w:header="851" w:footer="851" w:gutter="0"/>
      <w:cols w:space="720" w:num="1"/>
      <w:titlePg/>
      <w:docGrid w:linePitch="28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Microsoft JhengHei">
    <w:panose1 w:val="020B0604030504040204"/>
    <w:charset w:val="88"/>
    <w:family w:val="swiss"/>
    <w:pitch w:val="default"/>
    <w:sig w:usb0="000002A7" w:usb1="28CF4400" w:usb2="00000016" w:usb3="00000000" w:csb0="00100009" w:csb1="00000000"/>
  </w:font>
  <w:font w:name="方正小标宋_GBK">
    <w:panose1 w:val="03000509000000000000"/>
    <w:charset w:val="86"/>
    <w:family w:val="script"/>
    <w:pitch w:val="default"/>
    <w:sig w:usb0="00000001" w:usb1="080E0000" w:usb2="00000000" w:usb3="00000000" w:csb0="00040000" w:csb1="00000000"/>
  </w:font>
  <w:font w:name="方正仿宋_GBK">
    <w:panose1 w:val="03000509000000000000"/>
    <w:charset w:val="86"/>
    <w:family w:val="script"/>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spacing w:beforeLines="0" w:afterLines="0"/>
      <w:jc w:val="center"/>
      <w:rPr>
        <w:rFonts w:hint="eastAsia" w:eastAsia="等线"/>
        <w:sz w:val="18"/>
        <w:szCs w:val="18"/>
      </w:rPr>
    </w:pPr>
    <w:r>
      <w:rPr>
        <w:rFonts w:hint="default"/>
        <w:sz w:val="18"/>
        <w:szCs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57785" cy="131445"/>
              <wp:effectExtent l="0" t="0" r="0" b="0"/>
              <wp:wrapNone/>
              <wp:docPr id="1" name="文本框 1"/>
              <wp:cNvGraphicFramePr/>
              <a:graphic xmlns:a="http://schemas.openxmlformats.org/drawingml/2006/main">
                <a:graphicData uri="http://schemas.microsoft.com/office/word/2010/wordprocessingShape">
                  <wps:wsp>
                    <wps:cNvSpPr txBox="1"/>
                    <wps:spPr>
                      <a:xfrm>
                        <a:off x="0" y="0"/>
                        <a:ext cx="57785" cy="131445"/>
                      </a:xfrm>
                      <a:prstGeom prst="rect">
                        <a:avLst/>
                      </a:prstGeom>
                      <a:noFill/>
                      <a:ln>
                        <a:noFill/>
                      </a:ln>
                    </wps:spPr>
                    <wps:txbx>
                      <w:txbxContent>
                        <w:p>
                          <w:pPr>
                            <w:pStyle w:val="17"/>
                            <w:spacing w:beforeLines="0" w:afterLines="0"/>
                            <w:rPr>
                              <w:rFonts w:hint="default" w:eastAsia="宋体"/>
                              <w:sz w:val="18"/>
                              <w:szCs w:val="18"/>
                            </w:rPr>
                          </w:pPr>
                          <w:r>
                            <w:rPr>
                              <w:rFonts w:hint="eastAsia" w:eastAsia="宋体"/>
                              <w:sz w:val="18"/>
                              <w:szCs w:val="18"/>
                            </w:rPr>
                            <w:fldChar w:fldCharType="begin"/>
                          </w:r>
                          <w:r>
                            <w:rPr>
                              <w:rFonts w:hint="eastAsia" w:eastAsia="宋体"/>
                              <w:sz w:val="18"/>
                              <w:szCs w:val="18"/>
                            </w:rPr>
                            <w:instrText xml:space="preserve"> PAGE  \* MERGEFORMAT </w:instrText>
                          </w:r>
                          <w:r>
                            <w:rPr>
                              <w:rFonts w:hint="eastAsia" w:eastAsia="宋体"/>
                              <w:sz w:val="18"/>
                              <w:szCs w:val="18"/>
                            </w:rPr>
                            <w:fldChar w:fldCharType="separate"/>
                          </w:r>
                          <w:r>
                            <w:rPr>
                              <w:rFonts w:hint="eastAsia" w:eastAsia="宋体"/>
                              <w:sz w:val="18"/>
                              <w:szCs w:val="18"/>
                            </w:rPr>
                            <w:t>6</w:t>
                          </w:r>
                          <w:r>
                            <w:rPr>
                              <w:rFonts w:hint="eastAsia" w:eastAsia="宋体"/>
                              <w:sz w:val="18"/>
                              <w:szCs w:val="18"/>
                            </w:rPr>
                            <w:fldChar w:fldCharType="end"/>
                          </w:r>
                        </w:p>
                      </w:txbxContent>
                    </wps:txbx>
                    <wps:bodyPr wrap="none" lIns="0" tIns="0" rIns="0" bIns="0" upright="1">
                      <a:spAutoFit/>
                    </wps:bodyPr>
                  </wps:wsp>
                </a:graphicData>
              </a:graphic>
            </wp:anchor>
          </w:drawing>
        </mc:Choice>
        <mc:Fallback>
          <w:pict>
            <v:shape id="_x0000_s1026" o:spid="_x0000_s1026" o:spt="202" type="#_x0000_t202" style="position:absolute;left:0pt;margin-top:0pt;height:10.35pt;width:4.55pt;mso-position-horizontal:center;mso-position-horizontal-relative:margin;mso-wrap-style:none;z-index:251662336;mso-width-relative:page;mso-height-relative:page;" filled="f" stroked="f" coordsize="21600,21600" o:gfxdata="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M+L3UTQAAAAAgEAAA8AAAAAAAAAAQAgAAAAIgAAAGRycy9kb3du&#10;cmV2LnhtbFBLAQIUABQAAAAIAIdO4kDXOMk/zgEAAJYDAAAOAAAAAAAAAAEAIAAAAB8BAABkcnMv&#10;ZTJvRG9jLnhtbFBLBQYAAAAABgAGAFkBAABfBQAAAAA=&#10;">
              <v:fill on="f" focussize="0,0"/>
              <v:stroke on="f"/>
              <v:imagedata o:title=""/>
              <o:lock v:ext="edit" aspectratio="f"/>
              <v:textbox inset="0mm,0mm,0mm,0mm" style="mso-fit-shape-to-text:t;">
                <w:txbxContent>
                  <w:p>
                    <w:pPr>
                      <w:pStyle w:val="17"/>
                      <w:spacing w:beforeLines="0" w:afterLines="0"/>
                      <w:rPr>
                        <w:rFonts w:hint="default" w:eastAsia="宋体"/>
                        <w:sz w:val="18"/>
                        <w:szCs w:val="18"/>
                      </w:rPr>
                    </w:pPr>
                    <w:r>
                      <w:rPr>
                        <w:rFonts w:hint="eastAsia" w:eastAsia="宋体"/>
                        <w:sz w:val="18"/>
                        <w:szCs w:val="18"/>
                      </w:rPr>
                      <w:fldChar w:fldCharType="begin"/>
                    </w:r>
                    <w:r>
                      <w:rPr>
                        <w:rFonts w:hint="eastAsia" w:eastAsia="宋体"/>
                        <w:sz w:val="18"/>
                        <w:szCs w:val="18"/>
                      </w:rPr>
                      <w:instrText xml:space="preserve"> PAGE  \* MERGEFORMAT </w:instrText>
                    </w:r>
                    <w:r>
                      <w:rPr>
                        <w:rFonts w:hint="eastAsia" w:eastAsia="宋体"/>
                        <w:sz w:val="18"/>
                        <w:szCs w:val="18"/>
                      </w:rPr>
                      <w:fldChar w:fldCharType="separate"/>
                    </w:r>
                    <w:r>
                      <w:rPr>
                        <w:rFonts w:hint="eastAsia" w:eastAsia="宋体"/>
                        <w:sz w:val="18"/>
                        <w:szCs w:val="18"/>
                      </w:rPr>
                      <w:t>6</w:t>
                    </w:r>
                    <w:r>
                      <w:rPr>
                        <w:rFonts w:hint="eastAsia" w:eastAsia="宋体"/>
                        <w:sz w:val="18"/>
                        <w:szCs w:val="18"/>
                      </w:rPr>
                      <w:fldChar w:fldCharType="end"/>
                    </w:r>
                  </w:p>
                </w:txbxContent>
              </v:textbox>
            </v:shape>
          </w:pict>
        </mc:Fallback>
      </mc:AlternateContent>
    </w:r>
    <w:r>
      <w:rPr>
        <w:rFonts w:hint="eastAsia" w:eastAsia="等线"/>
        <w:sz w:val="18"/>
        <w:szCs w:val="18"/>
      </w:rPr>
      <w:t xml:space="preserve">     </w:t>
    </w:r>
  </w:p>
  <w:p>
    <w:pPr>
      <w:pStyle w:val="17"/>
      <w:spacing w:beforeLines="0" w:afterLines="0"/>
      <w:rPr>
        <w:rFonts w:hint="default"/>
        <w:sz w:val="18"/>
        <w:szCs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spacing w:beforeLines="0" w:afterLines="0"/>
      <w:jc w:val="center"/>
      <w:rPr>
        <w:rFonts w:hint="eastAsia" w:eastAsia="等线"/>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17"/>
                    </w:pPr>
                    <w:r>
                      <w:fldChar w:fldCharType="begin"/>
                    </w:r>
                    <w:r>
                      <w:instrText xml:space="preserve"> PAGE  \* MERGEFORMAT </w:instrText>
                    </w:r>
                    <w:r>
                      <w:fldChar w:fldCharType="separate"/>
                    </w:r>
                    <w:r>
                      <w:t>1</w:t>
                    </w:r>
                    <w:r>
                      <w:fldChar w:fldCharType="end"/>
                    </w:r>
                  </w:p>
                </w:txbxContent>
              </v:textbox>
            </v:shape>
          </w:pict>
        </mc:Fallback>
      </mc:AlternateContent>
    </w:r>
    <w:r>
      <w:rPr>
        <w:rFonts w:hint="default"/>
        <w:sz w:val="18"/>
        <w:szCs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57785" cy="131445"/>
              <wp:effectExtent l="0" t="0" r="0" b="0"/>
              <wp:wrapNone/>
              <wp:docPr id="2" name="文本框 2"/>
              <wp:cNvGraphicFramePr/>
              <a:graphic xmlns:a="http://schemas.openxmlformats.org/drawingml/2006/main">
                <a:graphicData uri="http://schemas.microsoft.com/office/word/2010/wordprocessingShape">
                  <wps:wsp>
                    <wps:cNvSpPr txBox="1"/>
                    <wps:spPr>
                      <a:xfrm>
                        <a:off x="0" y="0"/>
                        <a:ext cx="57785" cy="131445"/>
                      </a:xfrm>
                      <a:prstGeom prst="rect">
                        <a:avLst/>
                      </a:prstGeom>
                      <a:noFill/>
                      <a:ln>
                        <a:noFill/>
                      </a:ln>
                    </wps:spPr>
                    <wps:txbx>
                      <w:txbxContent>
                        <w:p>
                          <w:pPr>
                            <w:pStyle w:val="17"/>
                            <w:spacing w:beforeLines="0" w:afterLines="0"/>
                            <w:rPr>
                              <w:rFonts w:hint="default" w:eastAsia="宋体"/>
                              <w:sz w:val="18"/>
                              <w:szCs w:val="18"/>
                            </w:rPr>
                          </w:pPr>
                        </w:p>
                      </w:txbxContent>
                    </wps:txbx>
                    <wps:bodyPr wrap="none" lIns="0" tIns="0" rIns="0" bIns="0" upright="1">
                      <a:spAutoFit/>
                    </wps:bodyPr>
                  </wps:wsp>
                </a:graphicData>
              </a:graphic>
            </wp:anchor>
          </w:drawing>
        </mc:Choice>
        <mc:Fallback>
          <w:pict>
            <v:shape id="_x0000_s1026" o:spid="_x0000_s1026" o:spt="202" type="#_x0000_t202" style="position:absolute;left:0pt;margin-top:0pt;height:10.35pt;width:4.55pt;mso-position-horizontal:center;mso-position-horizontal-relative:margin;mso-wrap-style:none;z-index:251660288;mso-width-relative:page;mso-height-relative:page;" filled="f" stroked="f" coordsize="21600,21600" o:gfxdata="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M+L3UTQAAAAAgEAAA8AAAAAAAAAAQAgAAAAIgAAAGRycy9kb3du&#10;cmV2LnhtbFBLAQIUABQAAAAIAIdO4kAWJSK0zgEAAJYDAAAOAAAAAAAAAAEAIAAAAB8BAABkcnMv&#10;ZTJvRG9jLnhtbFBLBQYAAAAABgAGAFkBAABfBQAAAAA=&#10;">
              <v:fill on="f" focussize="0,0"/>
              <v:stroke on="f"/>
              <v:imagedata o:title=""/>
              <o:lock v:ext="edit" aspectratio="f"/>
              <v:textbox inset="0mm,0mm,0mm,0mm" style="mso-fit-shape-to-text:t;">
                <w:txbxContent>
                  <w:p>
                    <w:pPr>
                      <w:pStyle w:val="17"/>
                      <w:spacing w:beforeLines="0" w:afterLines="0"/>
                      <w:rPr>
                        <w:rFonts w:hint="default" w:eastAsia="宋体"/>
                        <w:sz w:val="18"/>
                        <w:szCs w:val="18"/>
                      </w:rPr>
                    </w:pPr>
                  </w:p>
                </w:txbxContent>
              </v:textbox>
            </v:shape>
          </w:pict>
        </mc:Fallback>
      </mc:AlternateContent>
    </w:r>
  </w:p>
  <w:p>
    <w:pPr>
      <w:pStyle w:val="17"/>
      <w:spacing w:beforeLines="0" w:afterLines="0"/>
      <w:rPr>
        <w:rFonts w:hint="default"/>
        <w:sz w:val="18"/>
        <w:szCs w:val="18"/>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spacing w:beforeLines="0" w:afterLines="0"/>
      <w:ind w:firstLine="360"/>
      <w:jc w:val="center"/>
      <w:rPr>
        <w:rFonts w:hint="default"/>
        <w:sz w:val="18"/>
        <w:szCs w:val="18"/>
      </w:rPr>
    </w:pPr>
    <w:r>
      <w:rPr>
        <w:rFonts w:hint="eastAsia" w:eastAsia="等线"/>
        <w:sz w:val="18"/>
        <w:szCs w:val="18"/>
      </w:rPr>
      <w:fldChar w:fldCharType="begin"/>
    </w:r>
    <w:r>
      <w:rPr>
        <w:rFonts w:hint="eastAsia" w:eastAsia="等线"/>
        <w:sz w:val="18"/>
        <w:szCs w:val="18"/>
      </w:rPr>
      <w:instrText xml:space="preserve"> PAGE   \* MERGEFORMAT </w:instrText>
    </w:r>
    <w:r>
      <w:rPr>
        <w:rFonts w:hint="eastAsia" w:eastAsia="等线"/>
        <w:sz w:val="18"/>
        <w:szCs w:val="18"/>
      </w:rPr>
      <w:fldChar w:fldCharType="separate"/>
    </w:r>
    <w:r>
      <w:rPr>
        <w:rFonts w:hint="eastAsia" w:eastAsia="等线"/>
        <w:sz w:val="18"/>
        <w:szCs w:val="18"/>
      </w:rPr>
      <w:t>97</w:t>
    </w:r>
    <w:r>
      <w:rPr>
        <w:rFonts w:hint="eastAsia" w:eastAsia="等线"/>
        <w:sz w:val="18"/>
        <w:szCs w:val="18"/>
      </w:rPr>
      <w:fldChar w:fldCharType="end"/>
    </w:r>
  </w:p>
  <w:p>
    <w:pPr>
      <w:pStyle w:val="13"/>
      <w:spacing w:beforeLines="0" w:afterLines="0" w:line="14" w:lineRule="auto"/>
      <w:ind w:firstLine="240"/>
      <w:rPr>
        <w:rFonts w:hint="default"/>
        <w:sz w:val="12"/>
        <w:szCs w:val="21"/>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none" w:color="auto" w:sz="0" w:space="0"/>
      </w:pBdr>
      <w:spacing w:beforeLines="0" w:afterLines="0"/>
      <w:ind w:firstLine="360"/>
      <w:rPr>
        <w:rFonts w:hint="default" w:eastAsia="宋体"/>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none" w:color="auto" w:sz="0" w:space="0"/>
      </w:pBdr>
      <w:spacing w:beforeLines="0" w:afterLines="0"/>
      <w:ind w:firstLine="360"/>
      <w:rPr>
        <w:rFonts w:hint="default" w:eastAsia="宋体"/>
        <w:sz w:val="18"/>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none" w:color="auto" w:sz="0" w:space="0"/>
      </w:pBdr>
      <w:spacing w:beforeLines="0" w:afterLines="0"/>
      <w:ind w:firstLine="360"/>
      <w:rPr>
        <w:rFonts w:hint="default"/>
        <w:sz w:val="18"/>
        <w:szCs w:val="1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MyNjAxOTI3NGRiYTg2OGUxZWU3ZmNiMzlmOTJmNGIifQ=="/>
  </w:docVars>
  <w:rsids>
    <w:rsidRoot w:val="00000000"/>
    <w:rsid w:val="01355129"/>
    <w:rsid w:val="01416DF2"/>
    <w:rsid w:val="01944FA6"/>
    <w:rsid w:val="02035734"/>
    <w:rsid w:val="021E41D8"/>
    <w:rsid w:val="026E4207"/>
    <w:rsid w:val="037F3350"/>
    <w:rsid w:val="03830BB7"/>
    <w:rsid w:val="03856675"/>
    <w:rsid w:val="03D45396"/>
    <w:rsid w:val="04435677"/>
    <w:rsid w:val="056F1060"/>
    <w:rsid w:val="056F3BC2"/>
    <w:rsid w:val="059269D8"/>
    <w:rsid w:val="060A7E98"/>
    <w:rsid w:val="06572FF5"/>
    <w:rsid w:val="065C13E3"/>
    <w:rsid w:val="07261BF2"/>
    <w:rsid w:val="074C3905"/>
    <w:rsid w:val="079C3C62"/>
    <w:rsid w:val="07C531CC"/>
    <w:rsid w:val="07FB49F0"/>
    <w:rsid w:val="080C03D3"/>
    <w:rsid w:val="084D4E16"/>
    <w:rsid w:val="085053EA"/>
    <w:rsid w:val="086B2CD6"/>
    <w:rsid w:val="088323FA"/>
    <w:rsid w:val="089B216C"/>
    <w:rsid w:val="09992B4F"/>
    <w:rsid w:val="09BF428B"/>
    <w:rsid w:val="0AED6133"/>
    <w:rsid w:val="0B092A8A"/>
    <w:rsid w:val="0B253E2A"/>
    <w:rsid w:val="0B9A2BAF"/>
    <w:rsid w:val="0BC70195"/>
    <w:rsid w:val="0C000C64"/>
    <w:rsid w:val="0C3D184D"/>
    <w:rsid w:val="0C8C56A3"/>
    <w:rsid w:val="0C9869F1"/>
    <w:rsid w:val="0CA76A42"/>
    <w:rsid w:val="0DD46CBF"/>
    <w:rsid w:val="0DEF0975"/>
    <w:rsid w:val="0DFD0AB2"/>
    <w:rsid w:val="0DFD30C9"/>
    <w:rsid w:val="0E370B89"/>
    <w:rsid w:val="0EAF0988"/>
    <w:rsid w:val="0EFC540F"/>
    <w:rsid w:val="0F84395A"/>
    <w:rsid w:val="0FC24482"/>
    <w:rsid w:val="1019343B"/>
    <w:rsid w:val="10F25AC4"/>
    <w:rsid w:val="11991724"/>
    <w:rsid w:val="12040D82"/>
    <w:rsid w:val="126C30D5"/>
    <w:rsid w:val="139A54CB"/>
    <w:rsid w:val="14434396"/>
    <w:rsid w:val="146B50E8"/>
    <w:rsid w:val="15B71F7E"/>
    <w:rsid w:val="15BE2917"/>
    <w:rsid w:val="170B70BE"/>
    <w:rsid w:val="17242406"/>
    <w:rsid w:val="175A4C8C"/>
    <w:rsid w:val="183A4AFD"/>
    <w:rsid w:val="1852340B"/>
    <w:rsid w:val="19F92F44"/>
    <w:rsid w:val="1A47212C"/>
    <w:rsid w:val="1A605EA9"/>
    <w:rsid w:val="1A9F3EA8"/>
    <w:rsid w:val="1B0F1420"/>
    <w:rsid w:val="1B4F57C2"/>
    <w:rsid w:val="1B9535FC"/>
    <w:rsid w:val="1BED6758"/>
    <w:rsid w:val="1C6C24EB"/>
    <w:rsid w:val="1CDA72AF"/>
    <w:rsid w:val="1D01483C"/>
    <w:rsid w:val="1E53414B"/>
    <w:rsid w:val="1E5C34F6"/>
    <w:rsid w:val="1EA277D2"/>
    <w:rsid w:val="1F967805"/>
    <w:rsid w:val="1FF17AD2"/>
    <w:rsid w:val="211B0713"/>
    <w:rsid w:val="213E1BF4"/>
    <w:rsid w:val="21F91F85"/>
    <w:rsid w:val="220E16ED"/>
    <w:rsid w:val="22FE4D4D"/>
    <w:rsid w:val="239650E4"/>
    <w:rsid w:val="23B928A0"/>
    <w:rsid w:val="24322348"/>
    <w:rsid w:val="25DC4098"/>
    <w:rsid w:val="27103FF0"/>
    <w:rsid w:val="272E2055"/>
    <w:rsid w:val="27A92102"/>
    <w:rsid w:val="280F75F2"/>
    <w:rsid w:val="28165840"/>
    <w:rsid w:val="281B5912"/>
    <w:rsid w:val="293E7836"/>
    <w:rsid w:val="29506212"/>
    <w:rsid w:val="2A4E0F10"/>
    <w:rsid w:val="2A9B5F16"/>
    <w:rsid w:val="2AC80EE5"/>
    <w:rsid w:val="2B4815E8"/>
    <w:rsid w:val="2D2C6F2F"/>
    <w:rsid w:val="2DA04568"/>
    <w:rsid w:val="2DB142C8"/>
    <w:rsid w:val="2E171112"/>
    <w:rsid w:val="2E771928"/>
    <w:rsid w:val="2F4F2D25"/>
    <w:rsid w:val="2F9A04D8"/>
    <w:rsid w:val="30704386"/>
    <w:rsid w:val="31EE28F9"/>
    <w:rsid w:val="33854E66"/>
    <w:rsid w:val="33925EB5"/>
    <w:rsid w:val="339A2172"/>
    <w:rsid w:val="366B5955"/>
    <w:rsid w:val="36F82102"/>
    <w:rsid w:val="371812F8"/>
    <w:rsid w:val="37D82322"/>
    <w:rsid w:val="37ED3EE3"/>
    <w:rsid w:val="38883C0B"/>
    <w:rsid w:val="39333B77"/>
    <w:rsid w:val="397452A4"/>
    <w:rsid w:val="3A0067B6"/>
    <w:rsid w:val="3A2078FB"/>
    <w:rsid w:val="3A766E13"/>
    <w:rsid w:val="3AEB004E"/>
    <w:rsid w:val="3BC31A6A"/>
    <w:rsid w:val="3C9B3F0D"/>
    <w:rsid w:val="3E754580"/>
    <w:rsid w:val="3EA87256"/>
    <w:rsid w:val="3EC70904"/>
    <w:rsid w:val="3ECD21E7"/>
    <w:rsid w:val="3F30121F"/>
    <w:rsid w:val="3FA1655A"/>
    <w:rsid w:val="3FE1257F"/>
    <w:rsid w:val="3FE95D44"/>
    <w:rsid w:val="3FFC30B5"/>
    <w:rsid w:val="400659DF"/>
    <w:rsid w:val="4057639D"/>
    <w:rsid w:val="41180364"/>
    <w:rsid w:val="41F85A2C"/>
    <w:rsid w:val="42061A59"/>
    <w:rsid w:val="42A307CD"/>
    <w:rsid w:val="431762B8"/>
    <w:rsid w:val="43197030"/>
    <w:rsid w:val="43C20EE5"/>
    <w:rsid w:val="449B2788"/>
    <w:rsid w:val="44FE7975"/>
    <w:rsid w:val="45855886"/>
    <w:rsid w:val="465F3505"/>
    <w:rsid w:val="46832DC8"/>
    <w:rsid w:val="476C67E4"/>
    <w:rsid w:val="48402AB0"/>
    <w:rsid w:val="48754D8D"/>
    <w:rsid w:val="48D90193"/>
    <w:rsid w:val="49916AB9"/>
    <w:rsid w:val="4998477E"/>
    <w:rsid w:val="4A310CEA"/>
    <w:rsid w:val="4AB54D91"/>
    <w:rsid w:val="4ABA28A7"/>
    <w:rsid w:val="4B9D648B"/>
    <w:rsid w:val="4C460902"/>
    <w:rsid w:val="4C63431C"/>
    <w:rsid w:val="4D3F08E5"/>
    <w:rsid w:val="4E215CB4"/>
    <w:rsid w:val="4E3D0B9C"/>
    <w:rsid w:val="4E7B594C"/>
    <w:rsid w:val="4E87384F"/>
    <w:rsid w:val="4EDA454F"/>
    <w:rsid w:val="4EF63225"/>
    <w:rsid w:val="4F354AB5"/>
    <w:rsid w:val="50B07329"/>
    <w:rsid w:val="50E7594A"/>
    <w:rsid w:val="514B5913"/>
    <w:rsid w:val="5151508A"/>
    <w:rsid w:val="51995F89"/>
    <w:rsid w:val="51ED0539"/>
    <w:rsid w:val="529E7E5B"/>
    <w:rsid w:val="52C1530E"/>
    <w:rsid w:val="53230361"/>
    <w:rsid w:val="53302860"/>
    <w:rsid w:val="53951D31"/>
    <w:rsid w:val="53CC7100"/>
    <w:rsid w:val="53DE6F02"/>
    <w:rsid w:val="54081DD7"/>
    <w:rsid w:val="54AF7A88"/>
    <w:rsid w:val="550E4400"/>
    <w:rsid w:val="55FF3307"/>
    <w:rsid w:val="567C3CF2"/>
    <w:rsid w:val="56C90805"/>
    <w:rsid w:val="56EE4F92"/>
    <w:rsid w:val="57372049"/>
    <w:rsid w:val="5759527C"/>
    <w:rsid w:val="57993545"/>
    <w:rsid w:val="57E96447"/>
    <w:rsid w:val="58612C3C"/>
    <w:rsid w:val="597E1D61"/>
    <w:rsid w:val="598C04F3"/>
    <w:rsid w:val="5A604FDD"/>
    <w:rsid w:val="5AB653D5"/>
    <w:rsid w:val="5B7A727B"/>
    <w:rsid w:val="5DA1398C"/>
    <w:rsid w:val="5DAC78BD"/>
    <w:rsid w:val="5DD92690"/>
    <w:rsid w:val="5EAD4EE1"/>
    <w:rsid w:val="5ED729B4"/>
    <w:rsid w:val="5F410615"/>
    <w:rsid w:val="5F5654C9"/>
    <w:rsid w:val="5F6A42C5"/>
    <w:rsid w:val="5FEB2206"/>
    <w:rsid w:val="60B90BF4"/>
    <w:rsid w:val="617D6C1D"/>
    <w:rsid w:val="61E01520"/>
    <w:rsid w:val="62745F50"/>
    <w:rsid w:val="62A20BB9"/>
    <w:rsid w:val="62A80F69"/>
    <w:rsid w:val="62E95114"/>
    <w:rsid w:val="631F3D7B"/>
    <w:rsid w:val="632A3AC1"/>
    <w:rsid w:val="63C875D7"/>
    <w:rsid w:val="65441BB2"/>
    <w:rsid w:val="65833F03"/>
    <w:rsid w:val="65A12ABE"/>
    <w:rsid w:val="65C940E4"/>
    <w:rsid w:val="65D676FC"/>
    <w:rsid w:val="66754F1F"/>
    <w:rsid w:val="68B23CC2"/>
    <w:rsid w:val="68F80968"/>
    <w:rsid w:val="69053B90"/>
    <w:rsid w:val="69612116"/>
    <w:rsid w:val="6A4A4921"/>
    <w:rsid w:val="6AD46458"/>
    <w:rsid w:val="6B0B3DC6"/>
    <w:rsid w:val="6C1628B6"/>
    <w:rsid w:val="6C66196F"/>
    <w:rsid w:val="6C7D59F6"/>
    <w:rsid w:val="6D464D49"/>
    <w:rsid w:val="6DA46816"/>
    <w:rsid w:val="6DAE5E0C"/>
    <w:rsid w:val="6F3F60CB"/>
    <w:rsid w:val="6F524D03"/>
    <w:rsid w:val="6FF973B3"/>
    <w:rsid w:val="70745238"/>
    <w:rsid w:val="70AF6258"/>
    <w:rsid w:val="70EB02B8"/>
    <w:rsid w:val="70F937C8"/>
    <w:rsid w:val="714B0CBE"/>
    <w:rsid w:val="716F5D3C"/>
    <w:rsid w:val="7183166A"/>
    <w:rsid w:val="71E857EE"/>
    <w:rsid w:val="7221167A"/>
    <w:rsid w:val="72F6504E"/>
    <w:rsid w:val="7327134F"/>
    <w:rsid w:val="732B0050"/>
    <w:rsid w:val="73345810"/>
    <w:rsid w:val="740B21FC"/>
    <w:rsid w:val="74BF33C5"/>
    <w:rsid w:val="75582372"/>
    <w:rsid w:val="75E2386D"/>
    <w:rsid w:val="75E3085A"/>
    <w:rsid w:val="76156CAA"/>
    <w:rsid w:val="766E2965"/>
    <w:rsid w:val="77384382"/>
    <w:rsid w:val="77794AE4"/>
    <w:rsid w:val="77A43BE9"/>
    <w:rsid w:val="77CA3C95"/>
    <w:rsid w:val="77D67276"/>
    <w:rsid w:val="77E24F13"/>
    <w:rsid w:val="78455575"/>
    <w:rsid w:val="78721CEF"/>
    <w:rsid w:val="78EB703F"/>
    <w:rsid w:val="78FA3091"/>
    <w:rsid w:val="7A0E3419"/>
    <w:rsid w:val="7A154075"/>
    <w:rsid w:val="7A871CE4"/>
    <w:rsid w:val="7B1E3F7C"/>
    <w:rsid w:val="7BBA37C5"/>
    <w:rsid w:val="7BCD518A"/>
    <w:rsid w:val="7C890F67"/>
    <w:rsid w:val="7C9C4B5C"/>
    <w:rsid w:val="7CEE323F"/>
    <w:rsid w:val="7DCD708E"/>
    <w:rsid w:val="7E3A4BAB"/>
    <w:rsid w:val="7EAE5170"/>
    <w:rsid w:val="7EC172D3"/>
    <w:rsid w:val="7FF03FE4"/>
    <w:rsid w:val="7FF76391"/>
    <w:rsid w:val="DB5BDDDE"/>
    <w:rsid w:val="DEFF46A8"/>
    <w:rsid w:val="FEA55811"/>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iPriority="0" w:semiHidden="0" w:name="Normal"/>
    <w:lsdException w:qFormat="1" w:unhideWhenUsed="0" w:uiPriority="9" w:semiHidden="0" w:name="heading 1"/>
    <w:lsdException w:qFormat="1" w:uiPriority="0" w:semiHidden="0" w:name="heading 2"/>
    <w:lsdException w:qFormat="1" w:unhideWhenUsed="0" w:uiPriority="0" w:semiHidden="0" w:name="heading 3"/>
    <w:lsdException w:qFormat="1"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0" w:semiHidden="0" w:name="Normal Indent"/>
    <w:lsdException w:unhideWhenUsed="0" w:uiPriority="0" w:semiHidden="0" w:name="footnote text"/>
    <w:lsdException w:qFormat="1" w:unhideWhenUsed="0" w:uiPriority="0" w:semiHidden="0" w:name="annotation text"/>
    <w:lsdException w:qFormat="1"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0" w:semiHidden="0" w:name="Body Text"/>
    <w:lsdException w:qFormat="1"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iPriority="0" w:semiHidden="0" w:name="Document Map"/>
    <w:lsdException w:qFormat="1"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unhideWhenUsed/>
    <w:qFormat/>
    <w:uiPriority w:val="0"/>
    <w:pPr>
      <w:widowControl w:val="0"/>
      <w:spacing w:beforeLines="0" w:afterLines="0"/>
      <w:jc w:val="both"/>
    </w:pPr>
    <w:rPr>
      <w:rFonts w:hint="eastAsia" w:ascii="等线" w:hAnsi="等线" w:eastAsia="等线" w:cs="Times New Roman"/>
      <w:kern w:val="2"/>
      <w:sz w:val="21"/>
      <w:szCs w:val="22"/>
      <w:lang w:val="en-US" w:eastAsia="zh-CN" w:bidi="ar-SA"/>
    </w:rPr>
  </w:style>
  <w:style w:type="paragraph" w:styleId="8">
    <w:name w:val="heading 2"/>
    <w:basedOn w:val="1"/>
    <w:next w:val="1"/>
    <w:unhideWhenUsed/>
    <w:qFormat/>
    <w:uiPriority w:val="0"/>
    <w:pPr>
      <w:autoSpaceDE w:val="0"/>
      <w:autoSpaceDN w:val="0"/>
      <w:spacing w:beforeLines="0" w:afterLines="0"/>
      <w:ind w:left="801" w:hanging="401"/>
      <w:jc w:val="left"/>
      <w:outlineLvl w:val="1"/>
    </w:pPr>
    <w:rPr>
      <w:rFonts w:hint="eastAsia" w:ascii="Microsoft JhengHei" w:hAnsi="Microsoft JhengHei" w:eastAsia="Microsoft JhengHei" w:cs="Microsoft JhengHei"/>
      <w:b/>
      <w:sz w:val="32"/>
      <w:szCs w:val="32"/>
      <w:lang w:val="zh-CN"/>
    </w:rPr>
  </w:style>
  <w:style w:type="paragraph" w:styleId="9">
    <w:name w:val="heading 3"/>
    <w:basedOn w:val="1"/>
    <w:next w:val="1"/>
    <w:qFormat/>
    <w:uiPriority w:val="0"/>
    <w:pPr>
      <w:autoSpaceDE w:val="0"/>
      <w:autoSpaceDN w:val="0"/>
      <w:ind w:left="866" w:hanging="489"/>
      <w:jc w:val="left"/>
      <w:outlineLvl w:val="2"/>
    </w:pPr>
    <w:rPr>
      <w:rFonts w:ascii="宋体" w:hAnsi="宋体"/>
      <w:kern w:val="0"/>
      <w:sz w:val="28"/>
      <w:szCs w:val="28"/>
      <w:lang w:val="zh-CN"/>
    </w:rPr>
  </w:style>
  <w:style w:type="paragraph" w:styleId="10">
    <w:name w:val="heading 4"/>
    <w:basedOn w:val="1"/>
    <w:next w:val="1"/>
    <w:unhideWhenUsed/>
    <w:qFormat/>
    <w:uiPriority w:val="9"/>
    <w:pPr>
      <w:keepNext/>
      <w:keepLines/>
      <w:spacing w:before="280" w:beforeLines="0" w:after="290" w:afterLines="0" w:line="372" w:lineRule="auto"/>
      <w:outlineLvl w:val="3"/>
    </w:pPr>
    <w:rPr>
      <w:rFonts w:hint="eastAsia" w:ascii="Arial" w:hAnsi="Arial" w:eastAsia="黑体" w:cs="宋体"/>
      <w:b/>
      <w:sz w:val="28"/>
      <w:szCs w:val="21"/>
    </w:rPr>
  </w:style>
  <w:style w:type="character" w:default="1" w:styleId="21">
    <w:name w:val="Default Paragraph Font"/>
    <w:semiHidden/>
    <w:qFormat/>
    <w:uiPriority w:val="0"/>
  </w:style>
  <w:style w:type="table" w:default="1" w:styleId="19">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6"/>
    <w:unhideWhenUsed/>
    <w:qFormat/>
    <w:uiPriority w:val="0"/>
    <w:pPr>
      <w:spacing w:beforeLines="0" w:afterLines="0"/>
      <w:ind w:firstLine="420"/>
    </w:pPr>
    <w:rPr>
      <w:rFonts w:hint="eastAsia"/>
      <w:sz w:val="21"/>
      <w:szCs w:val="24"/>
    </w:rPr>
  </w:style>
  <w:style w:type="paragraph" w:styleId="3">
    <w:name w:val="Body Text Indent"/>
    <w:basedOn w:val="4"/>
    <w:next w:val="5"/>
    <w:unhideWhenUsed/>
    <w:qFormat/>
    <w:uiPriority w:val="0"/>
    <w:pPr>
      <w:autoSpaceDE w:val="0"/>
      <w:autoSpaceDN w:val="0"/>
      <w:spacing w:beforeLines="0" w:after="120" w:afterLines="0"/>
      <w:ind w:left="420"/>
    </w:pPr>
    <w:rPr>
      <w:rFonts w:hint="eastAsia" w:ascii="Times New Roman" w:hAnsi="Times New Roman" w:eastAsia="宋体"/>
      <w:sz w:val="21"/>
      <w:szCs w:val="24"/>
      <w:lang w:val="zh-CN"/>
    </w:rPr>
  </w:style>
  <w:style w:type="paragraph" w:customStyle="1" w:styleId="4">
    <w:name w:val="正文12"/>
    <w:next w:val="2"/>
    <w:qFormat/>
    <w:uiPriority w:val="1"/>
    <w:pPr>
      <w:widowControl w:val="0"/>
      <w:jc w:val="both"/>
    </w:pPr>
    <w:rPr>
      <w:rFonts w:ascii="宋体" w:hAnsi="宋体" w:eastAsia="宋体" w:cs="宋体"/>
      <w:kern w:val="2"/>
      <w:sz w:val="21"/>
      <w:szCs w:val="21"/>
      <w:lang w:val="en-US" w:eastAsia="zh-CN" w:bidi="ar-SA"/>
    </w:rPr>
  </w:style>
  <w:style w:type="paragraph" w:styleId="5">
    <w:name w:val="envelope return"/>
    <w:basedOn w:val="4"/>
    <w:qFormat/>
    <w:uiPriority w:val="0"/>
    <w:pPr>
      <w:snapToGrid w:val="0"/>
    </w:pPr>
    <w:rPr>
      <w:rFonts w:ascii="Arial" w:hAnsi="Arial"/>
    </w:rPr>
  </w:style>
  <w:style w:type="paragraph" w:customStyle="1" w:styleId="6">
    <w:name w:val="表格文字"/>
    <w:basedOn w:val="7"/>
    <w:next w:val="4"/>
    <w:unhideWhenUsed/>
    <w:qFormat/>
    <w:uiPriority w:val="0"/>
    <w:pPr>
      <w:spacing w:beforeLines="0" w:afterLines="0"/>
      <w:ind w:firstLine="0" w:firstLineChars="0"/>
      <w:jc w:val="center"/>
    </w:pPr>
    <w:rPr>
      <w:rFonts w:hint="eastAsia"/>
      <w:sz w:val="21"/>
      <w:szCs w:val="20"/>
    </w:rPr>
  </w:style>
  <w:style w:type="paragraph" w:styleId="7">
    <w:name w:val="List"/>
    <w:basedOn w:val="4"/>
    <w:unhideWhenUsed/>
    <w:qFormat/>
    <w:uiPriority w:val="0"/>
    <w:pPr>
      <w:spacing w:beforeLines="0" w:afterLines="0"/>
      <w:ind w:left="200" w:hanging="200" w:hangingChars="200"/>
    </w:pPr>
    <w:rPr>
      <w:rFonts w:hint="eastAsia" w:ascii="宋体" w:hAnsi="宋体" w:eastAsia="宋体" w:cs="宋体"/>
      <w:sz w:val="21"/>
      <w:szCs w:val="21"/>
    </w:rPr>
  </w:style>
  <w:style w:type="paragraph" w:styleId="11">
    <w:name w:val="Normal Indent"/>
    <w:basedOn w:val="12"/>
    <w:next w:val="13"/>
    <w:unhideWhenUsed/>
    <w:qFormat/>
    <w:uiPriority w:val="0"/>
    <w:pPr>
      <w:spacing w:beforeLines="0" w:afterLines="0"/>
      <w:ind w:firstLine="420"/>
    </w:pPr>
    <w:rPr>
      <w:rFonts w:hint="eastAsia" w:ascii="Times New Roman" w:hAnsi="Times New Roman" w:eastAsia="宋体"/>
      <w:sz w:val="21"/>
      <w:szCs w:val="20"/>
    </w:rPr>
  </w:style>
  <w:style w:type="paragraph" w:customStyle="1" w:styleId="12">
    <w:name w:val="正文11"/>
    <w:next w:val="11"/>
    <w:qFormat/>
    <w:uiPriority w:val="1"/>
    <w:pPr>
      <w:widowControl w:val="0"/>
      <w:jc w:val="both"/>
    </w:pPr>
    <w:rPr>
      <w:rFonts w:ascii="宋体" w:hAnsi="宋体" w:eastAsia="宋体" w:cs="宋体"/>
      <w:kern w:val="2"/>
      <w:sz w:val="21"/>
      <w:szCs w:val="21"/>
      <w:lang w:val="en-US" w:eastAsia="zh-CN" w:bidi="ar-SA"/>
    </w:rPr>
  </w:style>
  <w:style w:type="paragraph" w:styleId="13">
    <w:name w:val="Body Text"/>
    <w:basedOn w:val="12"/>
    <w:next w:val="12"/>
    <w:unhideWhenUsed/>
    <w:qFormat/>
    <w:uiPriority w:val="0"/>
    <w:pPr>
      <w:autoSpaceDE w:val="0"/>
      <w:autoSpaceDN w:val="0"/>
      <w:spacing w:beforeLines="0" w:afterLines="0"/>
      <w:jc w:val="left"/>
    </w:pPr>
    <w:rPr>
      <w:rFonts w:hint="eastAsia" w:ascii="宋体" w:hAnsi="宋体" w:eastAsia="宋体" w:cs="宋体"/>
      <w:sz w:val="21"/>
      <w:szCs w:val="21"/>
      <w:lang w:val="zh-CN"/>
    </w:rPr>
  </w:style>
  <w:style w:type="paragraph" w:styleId="14">
    <w:name w:val="Document Map"/>
    <w:basedOn w:val="1"/>
    <w:unhideWhenUsed/>
    <w:qFormat/>
    <w:uiPriority w:val="0"/>
    <w:pPr>
      <w:spacing w:beforeLines="0" w:afterLines="0"/>
    </w:pPr>
    <w:rPr>
      <w:rFonts w:hint="eastAsia" w:ascii="宋体" w:hAnsi="宋体" w:eastAsia="宋体" w:cs="宋体"/>
      <w:sz w:val="18"/>
      <w:szCs w:val="18"/>
    </w:rPr>
  </w:style>
  <w:style w:type="paragraph" w:styleId="15">
    <w:name w:val="annotation text"/>
    <w:basedOn w:val="1"/>
    <w:qFormat/>
    <w:uiPriority w:val="0"/>
    <w:pPr>
      <w:jc w:val="left"/>
    </w:pPr>
  </w:style>
  <w:style w:type="paragraph" w:styleId="16">
    <w:name w:val="Plain Text"/>
    <w:basedOn w:val="1"/>
    <w:unhideWhenUsed/>
    <w:qFormat/>
    <w:uiPriority w:val="0"/>
    <w:pPr>
      <w:autoSpaceDE w:val="0"/>
      <w:autoSpaceDN w:val="0"/>
      <w:spacing w:beforeLines="0" w:afterLines="0"/>
    </w:pPr>
    <w:rPr>
      <w:rFonts w:hint="eastAsia" w:ascii="宋体" w:hAnsi="Courier New" w:eastAsia="宋体"/>
      <w:sz w:val="21"/>
      <w:szCs w:val="21"/>
      <w:lang w:val="zh-CN"/>
    </w:rPr>
  </w:style>
  <w:style w:type="paragraph" w:styleId="17">
    <w:name w:val="footer"/>
    <w:basedOn w:val="1"/>
    <w:unhideWhenUsed/>
    <w:qFormat/>
    <w:uiPriority w:val="99"/>
    <w:pPr>
      <w:tabs>
        <w:tab w:val="center" w:pos="4153"/>
        <w:tab w:val="right" w:pos="8306"/>
      </w:tabs>
      <w:snapToGrid w:val="0"/>
      <w:spacing w:beforeLines="0" w:afterLines="0"/>
      <w:jc w:val="left"/>
    </w:pPr>
    <w:rPr>
      <w:rFonts w:hint="eastAsia"/>
      <w:sz w:val="18"/>
      <w:szCs w:val="18"/>
    </w:rPr>
  </w:style>
  <w:style w:type="paragraph" w:styleId="18">
    <w:name w:val="header"/>
    <w:basedOn w:val="1"/>
    <w:unhideWhenUsed/>
    <w:qFormat/>
    <w:uiPriority w:val="0"/>
    <w:pPr>
      <w:pBdr>
        <w:bottom w:val="single" w:color="auto" w:sz="6" w:space="1"/>
      </w:pBdr>
      <w:tabs>
        <w:tab w:val="center" w:pos="4153"/>
        <w:tab w:val="right" w:pos="8306"/>
      </w:tabs>
      <w:snapToGrid w:val="0"/>
      <w:spacing w:beforeLines="0" w:afterLines="0"/>
      <w:jc w:val="center"/>
    </w:pPr>
    <w:rPr>
      <w:rFonts w:hint="eastAsia"/>
      <w:sz w:val="18"/>
      <w:szCs w:val="18"/>
    </w:rPr>
  </w:style>
  <w:style w:type="table" w:styleId="20">
    <w:name w:val="Table Grid"/>
    <w:basedOn w:val="1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Hyperlink"/>
    <w:basedOn w:val="21"/>
    <w:qFormat/>
    <w:uiPriority w:val="0"/>
    <w:rPr>
      <w:color w:val="0000FF"/>
      <w:u w:val="single"/>
    </w:rPr>
  </w:style>
  <w:style w:type="paragraph" w:customStyle="1" w:styleId="23">
    <w:name w:val="正文文本2"/>
    <w:basedOn w:val="4"/>
    <w:unhideWhenUsed/>
    <w:qFormat/>
    <w:uiPriority w:val="0"/>
    <w:pPr>
      <w:autoSpaceDE w:val="0"/>
      <w:autoSpaceDN w:val="0"/>
      <w:spacing w:beforeLines="0" w:afterLines="0"/>
      <w:jc w:val="left"/>
    </w:pPr>
    <w:rPr>
      <w:rFonts w:hint="eastAsia" w:ascii="宋体" w:hAnsi="宋体" w:eastAsia="宋体"/>
      <w:sz w:val="20"/>
      <w:szCs w:val="21"/>
      <w:lang w:val="zh-CN"/>
    </w:rPr>
  </w:style>
  <w:style w:type="paragraph" w:customStyle="1" w:styleId="24">
    <w:name w:val="列出段落7"/>
    <w:basedOn w:val="1"/>
    <w:unhideWhenUsed/>
    <w:qFormat/>
    <w:uiPriority w:val="0"/>
    <w:pPr>
      <w:spacing w:beforeLines="0" w:afterLines="0"/>
      <w:ind w:left="400" w:firstLine="420"/>
    </w:pPr>
    <w:rPr>
      <w:rFonts w:hint="eastAsia" w:ascii="宋体" w:hAnsi="宋体" w:eastAsia="宋体" w:cs="宋体"/>
      <w:sz w:val="21"/>
      <w:szCs w:val="21"/>
    </w:rPr>
  </w:style>
  <w:style w:type="paragraph" w:customStyle="1" w:styleId="25">
    <w:name w:val="样式8"/>
    <w:basedOn w:val="26"/>
    <w:unhideWhenUsed/>
    <w:qFormat/>
    <w:uiPriority w:val="1"/>
    <w:pPr>
      <w:spacing w:beforeLines="0" w:afterLines="0"/>
    </w:pPr>
    <w:rPr>
      <w:rFonts w:hint="eastAsia"/>
      <w:sz w:val="28"/>
      <w:szCs w:val="28"/>
    </w:rPr>
  </w:style>
  <w:style w:type="paragraph" w:customStyle="1" w:styleId="26">
    <w:name w:val="一级标题"/>
    <w:basedOn w:val="1"/>
    <w:unhideWhenUsed/>
    <w:qFormat/>
    <w:uiPriority w:val="0"/>
    <w:pPr>
      <w:adjustRightInd w:val="0"/>
      <w:snapToGrid w:val="0"/>
      <w:spacing w:beforeLines="0" w:afterLines="0"/>
      <w:jc w:val="center"/>
      <w:outlineLvl w:val="0"/>
    </w:pPr>
    <w:rPr>
      <w:rFonts w:hint="eastAsia" w:ascii="黑体" w:hAnsi="宋体" w:eastAsia="黑体" w:cs="宋体"/>
      <w:b/>
      <w:sz w:val="28"/>
      <w:szCs w:val="28"/>
    </w:rPr>
  </w:style>
  <w:style w:type="paragraph" w:customStyle="1" w:styleId="27">
    <w:name w:val="Table Paragraph"/>
    <w:basedOn w:val="1"/>
    <w:unhideWhenUsed/>
    <w:qFormat/>
    <w:uiPriority w:val="1"/>
    <w:pPr>
      <w:autoSpaceDE w:val="0"/>
      <w:autoSpaceDN w:val="0"/>
      <w:spacing w:beforeLines="0" w:afterLines="0"/>
      <w:jc w:val="left"/>
    </w:pPr>
    <w:rPr>
      <w:rFonts w:hint="eastAsia" w:ascii="宋体" w:hAnsi="宋体" w:eastAsia="宋体" w:cs="宋体"/>
      <w:sz w:val="22"/>
      <w:szCs w:val="22"/>
      <w:lang w:val="zh-CN"/>
    </w:rPr>
  </w:style>
  <w:style w:type="paragraph" w:customStyle="1" w:styleId="28">
    <w:name w:val="列出段落1"/>
    <w:basedOn w:val="1"/>
    <w:unhideWhenUsed/>
    <w:qFormat/>
    <w:uiPriority w:val="0"/>
    <w:pPr>
      <w:autoSpaceDE w:val="0"/>
      <w:autoSpaceDN w:val="0"/>
      <w:spacing w:beforeLines="0" w:afterLines="0"/>
      <w:ind w:left="240" w:firstLine="420"/>
      <w:jc w:val="left"/>
    </w:pPr>
    <w:rPr>
      <w:rFonts w:hint="eastAsia" w:ascii="宋体" w:hAnsi="宋体" w:eastAsia="宋体" w:cs="宋体"/>
      <w:sz w:val="22"/>
      <w:szCs w:val="22"/>
      <w:lang w:val="zh-CN"/>
    </w:rPr>
  </w:style>
  <w:style w:type="paragraph" w:customStyle="1" w:styleId="29">
    <w:name w:val="列出段落1111"/>
    <w:basedOn w:val="1"/>
    <w:unhideWhenUsed/>
    <w:qFormat/>
    <w:uiPriority w:val="0"/>
    <w:pPr>
      <w:autoSpaceDE w:val="0"/>
      <w:autoSpaceDN w:val="0"/>
      <w:spacing w:beforeLines="0" w:afterLines="0"/>
      <w:ind w:firstLine="420" w:firstLineChars="200"/>
    </w:pPr>
    <w:rPr>
      <w:rFonts w:hint="eastAsia" w:ascii="Calibri" w:hAnsi="Calibri" w:eastAsia="宋体"/>
      <w:sz w:val="22"/>
      <w:szCs w:val="20"/>
    </w:rPr>
  </w:style>
  <w:style w:type="paragraph" w:customStyle="1" w:styleId="30">
    <w:name w:val="正文文本3"/>
    <w:basedOn w:val="1"/>
    <w:unhideWhenUsed/>
    <w:qFormat/>
    <w:uiPriority w:val="0"/>
    <w:pPr>
      <w:autoSpaceDE w:val="0"/>
      <w:autoSpaceDN w:val="0"/>
      <w:spacing w:beforeLines="0" w:afterLines="0"/>
      <w:jc w:val="left"/>
    </w:pPr>
    <w:rPr>
      <w:rFonts w:hint="eastAsia" w:ascii="宋体" w:hAnsi="宋体" w:eastAsia="宋体"/>
      <w:sz w:val="20"/>
      <w:szCs w:val="21"/>
      <w:lang w:val="zh-CN"/>
    </w:rPr>
  </w:style>
  <w:style w:type="character" w:customStyle="1" w:styleId="31">
    <w:name w:val="标题 1.1 Char1"/>
    <w:unhideWhenUsed/>
    <w:qFormat/>
    <w:uiPriority w:val="0"/>
    <w:rPr>
      <w:rFonts w:hint="eastAsia" w:ascii="Arial" w:hAnsi="Arial" w:eastAsia="黑体"/>
      <w:b/>
      <w:kern w:val="2"/>
      <w:sz w:val="32"/>
      <w:szCs w:val="24"/>
    </w:rPr>
  </w:style>
  <w:style w:type="paragraph" w:customStyle="1" w:styleId="32">
    <w:name w:val="bgg"/>
    <w:basedOn w:val="33"/>
    <w:unhideWhenUsed/>
    <w:qFormat/>
    <w:uiPriority w:val="0"/>
    <w:pPr>
      <w:snapToGrid w:val="0"/>
      <w:spacing w:beforeLines="0" w:afterLines="0"/>
      <w:ind w:left="52" w:leftChars="25" w:right="52" w:rightChars="25"/>
      <w:jc w:val="center"/>
    </w:pPr>
    <w:rPr>
      <w:rFonts w:hint="eastAsia" w:ascii="Times New Roman" w:hAnsi="Times New Roman"/>
      <w:sz w:val="18"/>
      <w:szCs w:val="18"/>
    </w:rPr>
  </w:style>
  <w:style w:type="paragraph" w:customStyle="1" w:styleId="33">
    <w:name w:val="默认段落字体 Para Char Char Char Char"/>
    <w:basedOn w:val="1"/>
    <w:unhideWhenUsed/>
    <w:qFormat/>
    <w:uiPriority w:val="0"/>
    <w:pPr>
      <w:autoSpaceDE w:val="0"/>
      <w:autoSpaceDN w:val="0"/>
      <w:spacing w:beforeLines="0" w:afterLines="0"/>
    </w:pPr>
    <w:rPr>
      <w:rFonts w:hint="eastAsia" w:ascii="宋体" w:hAnsi="宋体" w:eastAsia="宋体"/>
      <w:b/>
      <w:color w:val="000000"/>
      <w:sz w:val="24"/>
      <w:szCs w:val="24"/>
      <w:lang w:val="zh-CN"/>
    </w:rPr>
  </w:style>
  <w:style w:type="paragraph" w:customStyle="1" w:styleId="34">
    <w:name w:val="p0"/>
    <w:basedOn w:val="1"/>
    <w:unhideWhenUsed/>
    <w:qFormat/>
    <w:uiPriority w:val="0"/>
    <w:pPr>
      <w:widowControl/>
      <w:autoSpaceDE w:val="0"/>
      <w:autoSpaceDN w:val="0"/>
      <w:spacing w:beforeLines="0" w:afterLines="0"/>
    </w:pPr>
    <w:rPr>
      <w:rFonts w:hint="eastAsia" w:ascii="Times New Roman" w:hAnsi="Times New Roman" w:eastAsia="宋体"/>
      <w:sz w:val="21"/>
      <w:szCs w:val="21"/>
    </w:rPr>
  </w:style>
  <w:style w:type="paragraph" w:customStyle="1" w:styleId="35">
    <w:name w:val="纯文本2"/>
    <w:basedOn w:val="1"/>
    <w:unhideWhenUsed/>
    <w:qFormat/>
    <w:uiPriority w:val="0"/>
    <w:pPr>
      <w:adjustRightInd w:val="0"/>
      <w:spacing w:beforeLines="0" w:afterLines="0"/>
      <w:textAlignment w:val="baseline"/>
    </w:pPr>
    <w:rPr>
      <w:rFonts w:hint="eastAsia" w:ascii="宋体" w:hAnsi="Courier New" w:eastAsia="宋体"/>
      <w:sz w:val="21"/>
      <w:szCs w:val="20"/>
      <w:lang w:val="zh-CN"/>
    </w:rPr>
  </w:style>
  <w:style w:type="paragraph" w:customStyle="1" w:styleId="36">
    <w:name w:val="列出段落111"/>
    <w:basedOn w:val="1"/>
    <w:unhideWhenUsed/>
    <w:qFormat/>
    <w:uiPriority w:val="0"/>
    <w:pPr>
      <w:autoSpaceDE w:val="0"/>
      <w:autoSpaceDN w:val="0"/>
      <w:spacing w:beforeLines="0" w:afterLines="0"/>
      <w:ind w:firstLine="420" w:firstLineChars="200"/>
    </w:pPr>
    <w:rPr>
      <w:rFonts w:hint="eastAsia" w:ascii="Calibri" w:hAnsi="Calibri" w:eastAsia="宋体"/>
      <w:sz w:val="21"/>
      <w:szCs w:val="20"/>
    </w:rPr>
  </w:style>
  <w:style w:type="paragraph" w:customStyle="1" w:styleId="37">
    <w:name w:val="A标题3"/>
    <w:basedOn w:val="9"/>
    <w:next w:val="1"/>
    <w:qFormat/>
    <w:uiPriority w:val="0"/>
    <w:pPr>
      <w:keepNext/>
      <w:keepLines/>
      <w:tabs>
        <w:tab w:val="left" w:pos="720"/>
        <w:tab w:val="left" w:pos="851"/>
      </w:tabs>
      <w:autoSpaceDE/>
      <w:autoSpaceDN/>
      <w:adjustRightInd w:val="0"/>
      <w:spacing w:line="360" w:lineRule="auto"/>
      <w:jc w:val="both"/>
      <w:textAlignment w:val="baseline"/>
    </w:pPr>
    <w:rPr>
      <w:rFonts w:ascii="Calibri" w:hAnsi="Calibri"/>
      <w:b/>
      <w:kern w:val="24"/>
      <w:sz w:val="24"/>
      <w:szCs w:val="20"/>
    </w:rPr>
  </w:style>
  <w:style w:type="paragraph" w:styleId="38">
    <w:name w:val="List Paragraph"/>
    <w:basedOn w:val="1"/>
    <w:qFormat/>
    <w:uiPriority w:val="99"/>
    <w:pPr>
      <w:ind w:firstLine="420" w:firstLineChars="200"/>
    </w:pPr>
  </w:style>
  <w:style w:type="paragraph" w:customStyle="1" w:styleId="39">
    <w:name w:val="正文1"/>
    <w:next w:val="2"/>
    <w:qFormat/>
    <w:uiPriority w:val="1"/>
    <w:pPr>
      <w:widowControl w:val="0"/>
      <w:jc w:val="both"/>
    </w:pPr>
    <w:rPr>
      <w:rFonts w:ascii="宋体" w:hAnsi="宋体" w:eastAsia="宋体" w:cs="宋体"/>
      <w:kern w:val="2"/>
      <w:sz w:val="21"/>
      <w:szCs w:val="21"/>
      <w:lang w:val="en-US" w:eastAsia="zh-CN" w:bidi="ar-SA"/>
    </w:rPr>
  </w:style>
  <w:style w:type="paragraph" w:customStyle="1" w:styleId="40">
    <w:name w:val="Normal_1"/>
    <w:qFormat/>
    <w:uiPriority w:val="0"/>
    <w:pPr>
      <w:widowControl w:val="0"/>
      <w:jc w:val="both"/>
    </w:pPr>
    <w:rPr>
      <w:rFonts w:ascii="Calibri" w:hAnsi="Calibri" w:eastAsia="宋体" w:cs="Times New Roman"/>
      <w:kern w:val="2"/>
      <w:sz w:val="21"/>
      <w:lang w:val="en-US" w:eastAsia="zh-CN" w:bidi="ar-SA"/>
    </w:rPr>
  </w:style>
  <w:style w:type="character" w:customStyle="1" w:styleId="41">
    <w:name w:val="font11"/>
    <w:qFormat/>
    <w:uiPriority w:val="0"/>
    <w:rPr>
      <w:rFonts w:hint="eastAsia" w:ascii="宋体" w:hAnsi="宋体" w:eastAsia="宋体" w:cs="宋体"/>
      <w:color w:val="000000"/>
      <w:sz w:val="24"/>
      <w:szCs w:val="24"/>
      <w:u w:val="none"/>
    </w:rPr>
  </w:style>
  <w:style w:type="paragraph" w:customStyle="1" w:styleId="42">
    <w:name w:val="Normal_0"/>
    <w:next w:val="11"/>
    <w:qFormat/>
    <w:uiPriority w:val="0"/>
    <w:pPr>
      <w:widowControl w:val="0"/>
      <w:spacing w:after="200" w:line="276" w:lineRule="auto"/>
      <w:jc w:val="both"/>
    </w:pPr>
    <w:rPr>
      <w:rFonts w:ascii="Calibri" w:hAnsi="Calibri" w:eastAsia="宋体" w:cs="Times New Roman"/>
      <w:kern w:val="2"/>
      <w:sz w:val="21"/>
      <w:lang w:val="en-US" w:eastAsia="zh-CN" w:bidi="ar-SA"/>
    </w:rPr>
  </w:style>
  <w:style w:type="paragraph" w:customStyle="1" w:styleId="43">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3.xml"/><Relationship Id="rId7" Type="http://schemas.openxmlformats.org/officeDocument/2006/relationships/footer" Target="footer2.xml"/><Relationship Id="rId6" Type="http://schemas.openxmlformats.org/officeDocument/2006/relationships/header" Target="header2.xml"/><Relationship Id="rId5" Type="http://schemas.openxmlformats.org/officeDocument/2006/relationships/footer" Target="footer1.xml"/><Relationship Id="rId4" Type="http://schemas.openxmlformats.org/officeDocument/2006/relationships/header" Target="header1.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4.emf"/><Relationship Id="rId17" Type="http://schemas.openxmlformats.org/officeDocument/2006/relationships/oleObject" Target="embeddings/oleObject4.bin"/><Relationship Id="rId16" Type="http://schemas.openxmlformats.org/officeDocument/2006/relationships/image" Target="media/image3.emf"/><Relationship Id="rId15" Type="http://schemas.openxmlformats.org/officeDocument/2006/relationships/oleObject" Target="embeddings/oleObject3.bin"/><Relationship Id="rId14" Type="http://schemas.openxmlformats.org/officeDocument/2006/relationships/image" Target="media/image2.emf"/><Relationship Id="rId13" Type="http://schemas.openxmlformats.org/officeDocument/2006/relationships/oleObject" Target="embeddings/oleObject2.bin"/><Relationship Id="rId12" Type="http://schemas.openxmlformats.org/officeDocument/2006/relationships/image" Target="media/image1.emf"/><Relationship Id="rId11" Type="http://schemas.openxmlformats.org/officeDocument/2006/relationships/oleObject" Target="embeddings/oleObject1.bin"/><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1027"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28</Pages>
  <Words>25028</Words>
  <Characters>26779</Characters>
  <Lines>0</Lines>
  <Paragraphs>0</Paragraphs>
  <TotalTime>23</TotalTime>
  <ScaleCrop>false</ScaleCrop>
  <LinksUpToDate>false</LinksUpToDate>
  <CharactersWithSpaces>26945</CharactersWithSpaces>
  <Application>WPS Office_11.8.2.12085_F1E327BC-269C-435d-A152-05C5408002CA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2024-09-04T09:40:00Z</dcterms:created>
  <dc:creator>lg</dc:creator>
  <cp:lastModifiedBy>周  蓉</cp:lastModifiedBy>
  <dcterms:modified xsi:type="dcterms:W3CDTF">2025-07-04T13:20:48Z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2052-11.8.2.12085</vt:lpwstr>
  </property>
  <property fmtid="{D5CDD505-2E9C-101B-9397-08002B2CF9AE}" pid="3" name="ICV">
    <vt:lpwstr>912F39DF95244EE9897D66746A73ED78</vt:lpwstr>
  </property>
  <property fmtid="{D5CDD505-2E9C-101B-9397-08002B2CF9AE}" pid="4" name="KSOTemplateDocerSaveRecord">
    <vt:lpwstr>eyJoZGlkIjoiNTdhMDk3NDZmZTBlNDVlYzViNDMzNzcwM2VmOWM1ZTEiLCJ1c2VySWQiOiI0MzE5MDMzMTEifQ==</vt:lpwstr>
  </property>
</Properties>
</file>