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right="-20"/>
        <w:jc w:val="center"/>
        <w:rPr>
          <w:rFonts w:ascii="Arial Unicode MS" w:eastAsia="Arial Unicode MS" w:cs="Arial Unicode MS"/>
          <w:b/>
          <w:spacing w:val="2"/>
          <w:w w:val="99"/>
          <w:sz w:val="52"/>
          <w:szCs w:val="52"/>
        </w:rPr>
      </w:pPr>
      <w:r>
        <w:rPr>
          <w:rFonts w:ascii="Arial Unicode MS" w:eastAsia="Arial Unicode MS" w:cs="Arial Unicode MS"/>
          <w:b/>
          <w:spacing w:val="2"/>
          <w:w w:val="99"/>
          <w:sz w:val="52"/>
          <w:szCs w:val="52"/>
          <w:lang w:eastAsia="zh-CN"/>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Arial Unicode MS" w:eastAsia="Arial Unicode MS" w:cs="Arial Unicode MS"/>
          <w:b/>
          <w:spacing w:val="2"/>
          <w:w w:val="99"/>
          <w:sz w:val="52"/>
          <w:szCs w:val="52"/>
        </w:rPr>
      </w:pPr>
    </w:p>
    <w:p>
      <w:pPr>
        <w:autoSpaceDE w:val="0"/>
        <w:autoSpaceDN w:val="0"/>
        <w:spacing w:before="120" w:after="120"/>
        <w:ind w:right="-20"/>
        <w:jc w:val="center"/>
        <w:rPr>
          <w:rFonts w:ascii="微软雅黑" w:hAnsi="微软雅黑" w:eastAsia="微软雅黑" w:cs="Arial Unicode MS"/>
          <w:b/>
          <w:spacing w:val="2"/>
          <w:w w:val="99"/>
          <w:sz w:val="52"/>
          <w:szCs w:val="52"/>
        </w:rPr>
      </w:pPr>
    </w:p>
    <w:p>
      <w:pPr>
        <w:jc w:val="center"/>
        <w:rPr>
          <w:rFonts w:ascii="微软雅黑" w:hAnsi="微软雅黑" w:eastAsia="微软雅黑" w:cs="Arial Unicode MS"/>
          <w:color w:val="000000"/>
          <w:spacing w:val="2"/>
          <w:w w:val="99"/>
          <w:sz w:val="52"/>
          <w:szCs w:val="52"/>
          <w:lang w:eastAsia="zh-CN"/>
        </w:rPr>
      </w:pPr>
      <w:r>
        <w:rPr>
          <w:rFonts w:hint="eastAsia" w:ascii="微软雅黑" w:hAnsi="微软雅黑" w:eastAsia="微软雅黑" w:cs="Arial Unicode MS"/>
          <w:color w:val="000000"/>
          <w:spacing w:val="2"/>
          <w:w w:val="99"/>
          <w:sz w:val="52"/>
          <w:szCs w:val="52"/>
          <w:lang w:eastAsia="zh-CN"/>
        </w:rPr>
        <w:t>中海油能源发展股份有限公司</w:t>
      </w:r>
    </w:p>
    <w:p>
      <w:pPr>
        <w:jc w:val="center"/>
        <w:rPr>
          <w:rFonts w:ascii="微软雅黑" w:hAnsi="微软雅黑" w:eastAsia="微软雅黑" w:cs="Arial Unicode MS"/>
          <w:b/>
          <w:spacing w:val="2"/>
          <w:w w:val="99"/>
          <w:sz w:val="52"/>
          <w:szCs w:val="52"/>
          <w:lang w:eastAsia="zh-CN"/>
        </w:rPr>
      </w:pPr>
    </w:p>
    <w:p>
      <w:pPr>
        <w:jc w:val="center"/>
        <w:rPr>
          <w:rFonts w:hint="default" w:ascii="微软雅黑" w:hAnsi="微软雅黑" w:eastAsia="微软雅黑" w:cs="Arial Unicode MS"/>
          <w:spacing w:val="2"/>
          <w:w w:val="99"/>
          <w:sz w:val="52"/>
          <w:szCs w:val="52"/>
          <w:u w:val="single"/>
          <w:lang w:val="en-US" w:eastAsia="zh-CN"/>
        </w:rPr>
      </w:pPr>
      <w:r>
        <w:rPr>
          <w:rFonts w:hint="eastAsia" w:ascii="微软雅黑" w:hAnsi="微软雅黑" w:eastAsia="微软雅黑" w:cs="Arial Unicode MS"/>
          <w:spacing w:val="2"/>
          <w:w w:val="99"/>
          <w:sz w:val="52"/>
          <w:szCs w:val="52"/>
          <w:u w:val="single"/>
          <w:lang w:val="en-US" w:eastAsia="zh-CN"/>
        </w:rPr>
        <w:t>便携式模拟器</w:t>
      </w:r>
    </w:p>
    <w:p>
      <w:pPr>
        <w:jc w:val="center"/>
        <w:rPr>
          <w:rFonts w:ascii="微软雅黑" w:hAnsi="微软雅黑" w:eastAsia="微软雅黑" w:cs="Arial Unicode MS"/>
          <w:b/>
          <w:spacing w:val="2"/>
          <w:w w:val="99"/>
          <w:sz w:val="52"/>
          <w:szCs w:val="52"/>
          <w:lang w:eastAsia="zh-CN"/>
        </w:rPr>
      </w:pPr>
      <w:r>
        <w:rPr>
          <w:rFonts w:hint="eastAsia" w:ascii="微软雅黑" w:hAnsi="微软雅黑" w:eastAsia="微软雅黑" w:cs="Arial Unicode MS"/>
          <w:b/>
          <w:spacing w:val="2"/>
          <w:w w:val="99"/>
          <w:sz w:val="52"/>
          <w:szCs w:val="52"/>
          <w:lang w:eastAsia="zh-CN"/>
        </w:rPr>
        <w:t>采购技术要求书</w:t>
      </w:r>
    </w:p>
    <w:p>
      <w:pPr>
        <w:jc w:val="center"/>
        <w:rPr>
          <w:rFonts w:ascii="微软雅黑" w:hAnsi="微软雅黑" w:eastAsia="微软雅黑" w:cs="Arial Unicode MS"/>
          <w:b/>
          <w:spacing w:val="2"/>
          <w:w w:val="99"/>
          <w:sz w:val="52"/>
          <w:szCs w:val="52"/>
          <w:lang w:eastAsia="zh-CN"/>
        </w:rPr>
      </w:pPr>
    </w:p>
    <w:p>
      <w:pPr>
        <w:pStyle w:val="4"/>
        <w:rPr>
          <w:rFonts w:ascii="微软雅黑" w:hAnsi="微软雅黑" w:eastAsia="微软雅黑" w:cs="Arial Unicode MS"/>
          <w:b/>
          <w:color w:val="000000"/>
          <w:w w:val="99"/>
          <w:sz w:val="44"/>
          <w:szCs w:val="44"/>
        </w:rPr>
      </w:pP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编制：</w:t>
      </w:r>
      <w:r>
        <w:rPr>
          <w:rFonts w:hint="eastAsia" w:ascii="Arial Unicode MS" w:eastAsia="Arial Unicode MS" w:cs="Arial Unicode MS"/>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审核：</w:t>
      </w:r>
      <w:r>
        <w:rPr>
          <w:rFonts w:hint="eastAsia" w:ascii="Arial Unicode MS" w:eastAsia="Arial Unicode MS" w:cs="Arial Unicode MS"/>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批准：</w:t>
      </w:r>
      <w:r>
        <w:rPr>
          <w:rFonts w:hint="eastAsia" w:ascii="Arial Unicode MS" w:eastAsia="Arial Unicode MS" w:cs="Arial Unicode MS"/>
          <w:spacing w:val="2"/>
          <w:w w:val="99"/>
          <w:sz w:val="36"/>
          <w:szCs w:val="36"/>
          <w:u w:val="single"/>
          <w:lang w:eastAsia="zh-CN"/>
        </w:rPr>
        <w:t xml:space="preserve">                </w:t>
      </w:r>
      <w:r>
        <w:rPr>
          <w:rFonts w:hint="eastAsia" w:ascii="Arial Unicode MS" w:eastAsia="Arial Unicode MS" w:cs="Arial Unicode MS"/>
          <w:spacing w:val="2"/>
          <w:w w:val="99"/>
          <w:sz w:val="36"/>
          <w:szCs w:val="36"/>
          <w:lang w:eastAsia="zh-CN"/>
        </w:rPr>
        <w:t xml:space="preserve"> </w:t>
      </w:r>
    </w:p>
    <w:p>
      <w:pPr>
        <w:widowControl/>
        <w:rPr>
          <w:rFonts w:ascii="宋体" w:eastAsia="宋体" w:cs="宋体"/>
          <w:b/>
          <w:color w:val="000000"/>
          <w:sz w:val="32"/>
          <w:szCs w:val="32"/>
          <w:lang w:eastAsia="zh-CN"/>
        </w:rPr>
      </w:pPr>
      <w:r>
        <w:rPr>
          <w:b/>
          <w:sz w:val="32"/>
          <w:szCs w:val="32"/>
          <w:lang w:eastAsia="zh-CN"/>
        </w:rPr>
        <w:br w:type="page"/>
      </w:r>
    </w:p>
    <w:p>
      <w:pPr>
        <w:pStyle w:val="20"/>
        <w:spacing w:before="120" w:after="120"/>
        <w:outlineLvl w:val="0"/>
        <w:rPr>
          <w:rFonts w:ascii="微软雅黑" w:hAnsi="微软雅黑" w:eastAsia="微软雅黑" w:cs="Times New Roman"/>
          <w:bCs/>
          <w:color w:val="auto"/>
          <w:sz w:val="32"/>
          <w:szCs w:val="32"/>
        </w:rPr>
      </w:pPr>
      <w:bookmarkStart w:id="0" w:name="_Toc13249324"/>
      <w:bookmarkStart w:id="1" w:name="_Toc13248927"/>
      <w:r>
        <w:rPr>
          <w:rFonts w:ascii="微软雅黑" w:hAnsi="微软雅黑" w:eastAsia="微软雅黑" w:cs="Times New Roman"/>
          <w:bCs/>
          <w:color w:val="auto"/>
          <w:sz w:val="32"/>
          <w:szCs w:val="32"/>
        </w:rPr>
        <w:t>一、项目概况及总体要求</w:t>
      </w:r>
      <w:bookmarkEnd w:id="0"/>
      <w:bookmarkEnd w:id="1"/>
    </w:p>
    <w:p>
      <w:pPr>
        <w:pStyle w:val="5"/>
        <w:spacing w:line="240" w:lineRule="auto"/>
        <w:ind w:left="220" w:right="122" w:firstLine="420"/>
        <w:rPr>
          <w:rFonts w:hint="eastAsia" w:ascii="微软雅黑" w:hAnsi="微软雅黑" w:eastAsia="微软雅黑"/>
          <w:color w:val="auto"/>
          <w:lang w:eastAsia="zh-CN"/>
        </w:rPr>
      </w:pPr>
      <w:r>
        <w:rPr>
          <w:rFonts w:hint="eastAsia" w:ascii="微软雅黑" w:hAnsi="微软雅黑" w:eastAsia="微软雅黑"/>
          <w:color w:val="auto"/>
          <w:lang w:eastAsia="zh-CN"/>
        </w:rPr>
        <w:t>中海油能源发展股份有限公司工程技术分公司下属的井控中心，承担着中国海油的井控培训工作，是中国海油唯一的专业井控培训机构。为满足海南基地、惠州基地及中联基地井控取证培训及模拟器出海/赴现场培训需求，需要购置便携</w:t>
      </w:r>
      <w:r>
        <w:rPr>
          <w:rFonts w:hint="eastAsia" w:ascii="微软雅黑" w:hAnsi="微软雅黑" w:eastAsia="微软雅黑"/>
          <w:color w:val="auto"/>
          <w:lang w:val="en-US" w:eastAsia="zh-CN"/>
        </w:rPr>
        <w:t>式</w:t>
      </w:r>
      <w:r>
        <w:rPr>
          <w:rFonts w:hint="eastAsia" w:ascii="微软雅黑" w:hAnsi="微软雅黑" w:eastAsia="微软雅黑"/>
          <w:color w:val="auto"/>
          <w:lang w:eastAsia="zh-CN"/>
        </w:rPr>
        <w:t>模拟器。</w:t>
      </w:r>
    </w:p>
    <w:p>
      <w:pPr>
        <w:pStyle w:val="5"/>
        <w:spacing w:line="240" w:lineRule="auto"/>
        <w:ind w:left="220" w:right="122" w:firstLine="420"/>
        <w:rPr>
          <w:rFonts w:hint="default" w:asciiTheme="minorEastAsia" w:hAnsiTheme="minorEastAsia"/>
          <w:color w:val="auto"/>
          <w:sz w:val="24"/>
          <w:szCs w:val="24"/>
          <w:lang w:val="en-US" w:eastAsia="zh-CN"/>
        </w:rPr>
      </w:pPr>
      <w:r>
        <w:rPr>
          <w:rFonts w:hint="eastAsia" w:ascii="微软雅黑" w:hAnsi="微软雅黑" w:eastAsia="微软雅黑"/>
          <w:color w:val="auto"/>
          <w:lang w:eastAsia="zh-CN"/>
        </w:rPr>
        <w:t>本技术要求描述了中海油能源发展股份有限公司工程技术分公司对便携</w:t>
      </w:r>
      <w:r>
        <w:rPr>
          <w:rFonts w:hint="eastAsia" w:ascii="微软雅黑" w:hAnsi="微软雅黑" w:eastAsia="微软雅黑"/>
          <w:color w:val="auto"/>
          <w:lang w:val="en-US" w:eastAsia="zh-CN"/>
        </w:rPr>
        <w:t>式</w:t>
      </w:r>
      <w:r>
        <w:rPr>
          <w:rFonts w:hint="eastAsia" w:ascii="微软雅黑" w:hAnsi="微软雅黑" w:eastAsia="微软雅黑"/>
          <w:color w:val="auto"/>
          <w:lang w:eastAsia="zh-CN"/>
        </w:rPr>
        <w:t>模拟器的最低要求。</w:t>
      </w:r>
    </w:p>
    <w:p>
      <w:pPr>
        <w:pStyle w:val="20"/>
        <w:spacing w:before="120" w:after="120"/>
        <w:outlineLvl w:val="0"/>
        <w:rPr>
          <w:rFonts w:ascii="微软雅黑" w:hAnsi="微软雅黑" w:eastAsia="微软雅黑" w:cs="Times New Roman"/>
          <w:bCs/>
          <w:color w:val="auto"/>
          <w:sz w:val="32"/>
          <w:szCs w:val="32"/>
        </w:rPr>
      </w:pPr>
      <w:bookmarkStart w:id="2" w:name="_Toc13248928"/>
      <w:bookmarkStart w:id="3" w:name="_Toc13249325"/>
      <w:r>
        <w:rPr>
          <w:rFonts w:ascii="微软雅黑" w:hAnsi="微软雅黑" w:eastAsia="微软雅黑" w:cs="Times New Roman"/>
          <w:bCs/>
          <w:color w:val="auto"/>
          <w:sz w:val="32"/>
          <w:szCs w:val="32"/>
        </w:rPr>
        <w:t>二、需求一览表</w:t>
      </w:r>
    </w:p>
    <w:bookmarkEnd w:id="2"/>
    <w:bookmarkEnd w:id="3"/>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605"/>
        <w:gridCol w:w="4346"/>
        <w:gridCol w:w="566"/>
        <w:gridCol w:w="510"/>
        <w:gridCol w:w="510"/>
        <w:gridCol w:w="51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4"/>
              <w:adjustRightInd w:val="0"/>
              <w:snapToGrid w:val="0"/>
              <w:spacing w:line="240" w:lineRule="auto"/>
              <w:jc w:val="center"/>
              <w:rPr>
                <w:rFonts w:ascii="微软雅黑" w:hAnsi="微软雅黑" w:eastAsia="微软雅黑"/>
                <w:spacing w:val="0"/>
                <w:sz w:val="21"/>
                <w:szCs w:val="21"/>
              </w:rPr>
            </w:pPr>
            <w:bookmarkStart w:id="4" w:name="_Toc13248929"/>
            <w:bookmarkStart w:id="5" w:name="_Toc13249326"/>
            <w:r>
              <w:rPr>
                <w:rFonts w:ascii="微软雅黑" w:hAnsi="微软雅黑" w:eastAsia="微软雅黑"/>
                <w:spacing w:val="0"/>
                <w:sz w:val="21"/>
                <w:szCs w:val="21"/>
              </w:rPr>
              <w:t>序号</w:t>
            </w:r>
          </w:p>
        </w:tc>
        <w:tc>
          <w:tcPr>
            <w:tcW w:w="355" w:type="pct"/>
            <w:vAlign w:val="center"/>
          </w:tcPr>
          <w:p>
            <w:pPr>
              <w:pStyle w:val="4"/>
              <w:adjustRightInd w:val="0"/>
              <w:snapToGrid w:val="0"/>
              <w:spacing w:line="240" w:lineRule="auto"/>
              <w:jc w:val="center"/>
              <w:rPr>
                <w:rFonts w:ascii="微软雅黑" w:hAnsi="微软雅黑" w:eastAsia="微软雅黑"/>
                <w:spacing w:val="0"/>
                <w:sz w:val="21"/>
                <w:szCs w:val="21"/>
              </w:rPr>
            </w:pPr>
            <w:r>
              <w:rPr>
                <w:rFonts w:hint="eastAsia" w:ascii="微软雅黑" w:hAnsi="微软雅黑" w:eastAsia="微软雅黑"/>
                <w:spacing w:val="0"/>
                <w:sz w:val="21"/>
                <w:szCs w:val="21"/>
              </w:rPr>
              <w:t>物资</w:t>
            </w:r>
            <w:r>
              <w:rPr>
                <w:rFonts w:ascii="微软雅黑" w:hAnsi="微软雅黑" w:eastAsia="微软雅黑"/>
                <w:spacing w:val="0"/>
                <w:sz w:val="21"/>
                <w:szCs w:val="21"/>
              </w:rPr>
              <w:t>名称</w:t>
            </w:r>
          </w:p>
        </w:tc>
        <w:tc>
          <w:tcPr>
            <w:tcW w:w="2549" w:type="pct"/>
            <w:vAlign w:val="center"/>
          </w:tcPr>
          <w:p>
            <w:pPr>
              <w:pStyle w:val="4"/>
              <w:adjustRightInd w:val="0"/>
              <w:snapToGrid w:val="0"/>
              <w:spacing w:line="240" w:lineRule="auto"/>
              <w:jc w:val="center"/>
              <w:rPr>
                <w:rFonts w:ascii="微软雅黑" w:hAnsi="微软雅黑" w:eastAsia="微软雅黑"/>
                <w:spacing w:val="0"/>
                <w:sz w:val="21"/>
                <w:szCs w:val="21"/>
              </w:rPr>
            </w:pPr>
            <w:r>
              <w:rPr>
                <w:rFonts w:ascii="微软雅黑" w:hAnsi="微软雅黑" w:eastAsia="微软雅黑"/>
                <w:spacing w:val="0"/>
                <w:sz w:val="21"/>
                <w:szCs w:val="21"/>
              </w:rPr>
              <w:t>规格型号</w:t>
            </w:r>
          </w:p>
        </w:tc>
        <w:tc>
          <w:tcPr>
            <w:tcW w:w="332" w:type="pct"/>
            <w:vAlign w:val="center"/>
          </w:tcPr>
          <w:p>
            <w:pPr>
              <w:pStyle w:val="4"/>
              <w:adjustRightInd w:val="0"/>
              <w:snapToGrid w:val="0"/>
              <w:spacing w:line="240" w:lineRule="auto"/>
              <w:jc w:val="center"/>
              <w:rPr>
                <w:rFonts w:ascii="微软雅黑" w:hAnsi="微软雅黑" w:eastAsia="微软雅黑"/>
                <w:spacing w:val="0"/>
                <w:sz w:val="21"/>
                <w:szCs w:val="21"/>
              </w:rPr>
            </w:pPr>
            <w:r>
              <w:rPr>
                <w:rFonts w:ascii="微软雅黑" w:hAnsi="微软雅黑" w:eastAsia="微软雅黑"/>
                <w:spacing w:val="0"/>
                <w:sz w:val="21"/>
                <w:szCs w:val="21"/>
              </w:rPr>
              <w:t>数量</w:t>
            </w:r>
          </w:p>
        </w:tc>
        <w:tc>
          <w:tcPr>
            <w:tcW w:w="299" w:type="pct"/>
            <w:vAlign w:val="center"/>
          </w:tcPr>
          <w:p>
            <w:pPr>
              <w:pStyle w:val="4"/>
              <w:adjustRightInd w:val="0"/>
              <w:snapToGrid w:val="0"/>
              <w:spacing w:line="240" w:lineRule="auto"/>
              <w:jc w:val="center"/>
              <w:rPr>
                <w:rFonts w:ascii="微软雅黑" w:hAnsi="微软雅黑" w:eastAsia="微软雅黑"/>
                <w:spacing w:val="0"/>
                <w:sz w:val="21"/>
                <w:szCs w:val="21"/>
              </w:rPr>
            </w:pPr>
            <w:r>
              <w:rPr>
                <w:rFonts w:ascii="微软雅黑" w:hAnsi="微软雅黑" w:eastAsia="微软雅黑"/>
                <w:spacing w:val="0"/>
                <w:sz w:val="21"/>
                <w:szCs w:val="21"/>
              </w:rPr>
              <w:t>单位</w:t>
            </w:r>
          </w:p>
        </w:tc>
        <w:tc>
          <w:tcPr>
            <w:tcW w:w="299" w:type="pct"/>
            <w:vAlign w:val="center"/>
          </w:tcPr>
          <w:p>
            <w:pPr>
              <w:pStyle w:val="4"/>
              <w:adjustRightInd w:val="0"/>
              <w:snapToGrid w:val="0"/>
              <w:spacing w:line="240" w:lineRule="auto"/>
              <w:jc w:val="center"/>
              <w:rPr>
                <w:rFonts w:ascii="微软雅黑" w:hAnsi="微软雅黑" w:eastAsia="微软雅黑"/>
                <w:spacing w:val="0"/>
                <w:sz w:val="21"/>
                <w:szCs w:val="21"/>
              </w:rPr>
            </w:pPr>
            <w:r>
              <w:rPr>
                <w:rFonts w:ascii="微软雅黑" w:hAnsi="微软雅黑" w:eastAsia="微软雅黑"/>
                <w:spacing w:val="0"/>
                <w:sz w:val="21"/>
                <w:szCs w:val="21"/>
              </w:rPr>
              <w:t>交货期</w:t>
            </w:r>
          </w:p>
        </w:tc>
        <w:tc>
          <w:tcPr>
            <w:tcW w:w="299" w:type="pct"/>
            <w:vAlign w:val="center"/>
          </w:tcPr>
          <w:p>
            <w:pPr>
              <w:pStyle w:val="4"/>
              <w:adjustRightInd w:val="0"/>
              <w:snapToGrid w:val="0"/>
              <w:spacing w:line="240" w:lineRule="auto"/>
              <w:jc w:val="center"/>
              <w:rPr>
                <w:rFonts w:ascii="微软雅黑" w:hAnsi="微软雅黑" w:eastAsia="微软雅黑"/>
                <w:spacing w:val="0"/>
                <w:sz w:val="21"/>
                <w:szCs w:val="21"/>
              </w:rPr>
            </w:pPr>
            <w:r>
              <w:rPr>
                <w:rFonts w:ascii="微软雅黑" w:hAnsi="微软雅黑" w:eastAsia="微软雅黑"/>
                <w:spacing w:val="0"/>
                <w:sz w:val="21"/>
                <w:szCs w:val="21"/>
              </w:rPr>
              <w:t>交货地点</w:t>
            </w:r>
          </w:p>
        </w:tc>
        <w:tc>
          <w:tcPr>
            <w:tcW w:w="602" w:type="pct"/>
            <w:vAlign w:val="center"/>
          </w:tcPr>
          <w:p>
            <w:pPr>
              <w:pStyle w:val="4"/>
              <w:adjustRightInd w:val="0"/>
              <w:snapToGrid w:val="0"/>
              <w:spacing w:line="240" w:lineRule="auto"/>
              <w:jc w:val="center"/>
              <w:rPr>
                <w:rFonts w:ascii="微软雅黑" w:hAnsi="微软雅黑" w:eastAsia="微软雅黑"/>
                <w:spacing w:val="0"/>
                <w:sz w:val="21"/>
                <w:szCs w:val="21"/>
              </w:rPr>
            </w:pPr>
            <w:r>
              <w:rPr>
                <w:rFonts w:hint="eastAsia" w:ascii="微软雅黑" w:hAnsi="微软雅黑" w:eastAsia="微软雅黑"/>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4"/>
              <w:spacing w:line="400" w:lineRule="exact"/>
              <w:jc w:val="center"/>
              <w:rPr>
                <w:rFonts w:ascii="微软雅黑" w:hAnsi="微软雅黑" w:eastAsia="微软雅黑"/>
                <w:spacing w:val="0"/>
                <w:sz w:val="21"/>
                <w:szCs w:val="21"/>
              </w:rPr>
            </w:pPr>
            <w:r>
              <w:rPr>
                <w:rFonts w:hint="eastAsia" w:ascii="微软雅黑" w:hAnsi="微软雅黑" w:eastAsia="微软雅黑"/>
                <w:spacing w:val="0"/>
                <w:sz w:val="21"/>
                <w:szCs w:val="21"/>
              </w:rPr>
              <w:t>1</w:t>
            </w:r>
          </w:p>
        </w:tc>
        <w:tc>
          <w:tcPr>
            <w:tcW w:w="355" w:type="pct"/>
            <w:vAlign w:val="center"/>
          </w:tcPr>
          <w:p>
            <w:pPr>
              <w:spacing w:line="400" w:lineRule="exact"/>
              <w:jc w:val="center"/>
              <w:rPr>
                <w:rFonts w:ascii="微软雅黑" w:hAnsi="微软雅黑" w:eastAsia="微软雅黑"/>
                <w:spacing w:val="0"/>
                <w:sz w:val="21"/>
                <w:szCs w:val="21"/>
              </w:rPr>
            </w:pPr>
            <w:r>
              <w:rPr>
                <w:rFonts w:hint="eastAsia" w:ascii="微软雅黑" w:hAnsi="微软雅黑" w:eastAsia="微软雅黑"/>
                <w:sz w:val="21"/>
                <w:szCs w:val="18"/>
                <w:lang w:eastAsia="zh-CN"/>
              </w:rPr>
              <w:t>便携</w:t>
            </w:r>
            <w:r>
              <w:rPr>
                <w:rFonts w:hint="eastAsia" w:ascii="微软雅黑" w:hAnsi="微软雅黑" w:eastAsia="微软雅黑"/>
                <w:sz w:val="21"/>
                <w:szCs w:val="18"/>
                <w:lang w:val="en-US" w:eastAsia="zh-CN"/>
              </w:rPr>
              <w:t>式</w:t>
            </w:r>
            <w:r>
              <w:rPr>
                <w:rFonts w:hint="eastAsia" w:ascii="微软雅黑" w:hAnsi="微软雅黑" w:eastAsia="微软雅黑"/>
                <w:sz w:val="21"/>
                <w:szCs w:val="18"/>
                <w:lang w:eastAsia="zh-CN"/>
              </w:rPr>
              <w:t>模拟器</w:t>
            </w:r>
          </w:p>
        </w:tc>
        <w:tc>
          <w:tcPr>
            <w:tcW w:w="2549" w:type="pct"/>
            <w:vAlign w:val="center"/>
          </w:tcPr>
          <w:p>
            <w:pPr>
              <w:spacing w:line="400" w:lineRule="exact"/>
              <w:jc w:val="center"/>
              <w:rPr>
                <w:rFonts w:ascii="微软雅黑" w:hAnsi="微软雅黑" w:eastAsia="微软雅黑" w:cs="宋体"/>
                <w:color w:val="000000" w:themeColor="text1"/>
                <w:sz w:val="21"/>
                <w:szCs w:val="21"/>
                <w:lang w:eastAsia="zh-CN"/>
                <w14:textFill>
                  <w14:solidFill>
                    <w14:schemeClr w14:val="tx1"/>
                  </w14:solidFill>
                </w14:textFill>
              </w:rPr>
            </w:pPr>
            <w:r>
              <w:rPr>
                <w:rFonts w:hint="eastAsia" w:ascii="微软雅黑" w:hAnsi="微软雅黑" w:eastAsia="微软雅黑" w:cs="宋体"/>
                <w:color w:val="000000" w:themeColor="text1"/>
                <w:sz w:val="21"/>
                <w:szCs w:val="21"/>
                <w:lang w:eastAsia="zh-CN"/>
                <w14:textFill>
                  <w14:solidFill>
                    <w14:schemeClr w14:val="tx1"/>
                  </w14:solidFill>
                </w14:textFill>
              </w:rPr>
              <w:t>通用220V电压（50Hz）配备便携式司钻操控台、便携式节流控制箱、教师工作站和相关的控制软件。</w:t>
            </w:r>
          </w:p>
          <w:p>
            <w:pPr>
              <w:spacing w:line="400" w:lineRule="exact"/>
              <w:jc w:val="center"/>
              <w:rPr>
                <w:rFonts w:ascii="微软雅黑" w:hAnsi="微软雅黑" w:eastAsia="微软雅黑" w:cs="宋体"/>
                <w:color w:val="000000" w:themeColor="text1"/>
                <w:sz w:val="21"/>
                <w:szCs w:val="21"/>
                <w:lang w:eastAsia="zh-CN"/>
                <w14:textFill>
                  <w14:solidFill>
                    <w14:schemeClr w14:val="tx1"/>
                  </w14:solidFill>
                </w14:textFill>
              </w:rPr>
            </w:pPr>
            <w:r>
              <w:rPr>
                <w:rFonts w:hint="eastAsia" w:ascii="微软雅黑" w:hAnsi="微软雅黑" w:eastAsia="微软雅黑" w:cs="宋体"/>
                <w:color w:val="000000" w:themeColor="text1"/>
                <w:sz w:val="21"/>
                <w:szCs w:val="21"/>
                <w:lang w:eastAsia="zh-CN"/>
                <w14:textFill>
                  <w14:solidFill>
                    <w14:schemeClr w14:val="tx1"/>
                  </w14:solidFill>
                </w14:textFill>
              </w:rPr>
              <w:t>能实现水上和水下，钻井和修井防喷器组的开关井模拟，压井模拟，显示立压、套压、泵速、累计泵充数、节流阀开度等参数的调节；编辑井深、钻具、地层、泥浆密度等相关参数；实现教师机的自动送钻、加速、随机触发故障等考评操作。</w:t>
            </w:r>
          </w:p>
          <w:p>
            <w:pPr>
              <w:spacing w:line="400" w:lineRule="exact"/>
              <w:jc w:val="center"/>
              <w:rPr>
                <w:rFonts w:ascii="微软雅黑" w:hAnsi="微软雅黑" w:eastAsia="微软雅黑"/>
                <w:spacing w:val="0"/>
                <w:sz w:val="21"/>
                <w:szCs w:val="21"/>
              </w:rPr>
            </w:pPr>
            <w:r>
              <w:rPr>
                <w:rFonts w:hint="eastAsia" w:ascii="微软雅黑" w:hAnsi="微软雅黑" w:eastAsia="微软雅黑" w:cs="宋体"/>
                <w:color w:val="000000" w:themeColor="text1"/>
                <w:sz w:val="21"/>
                <w:szCs w:val="21"/>
                <w:lang w:eastAsia="zh-CN"/>
                <w14:textFill>
                  <w14:solidFill>
                    <w14:schemeClr w14:val="tx1"/>
                  </w14:solidFill>
                </w14:textFill>
              </w:rPr>
              <w:t>可实现两名学员协同操作。</w:t>
            </w:r>
          </w:p>
        </w:tc>
        <w:tc>
          <w:tcPr>
            <w:tcW w:w="332" w:type="pct"/>
            <w:vAlign w:val="center"/>
          </w:tcPr>
          <w:p>
            <w:pPr>
              <w:spacing w:line="400" w:lineRule="exact"/>
              <w:jc w:val="center"/>
              <w:rPr>
                <w:rFonts w:hint="default" w:ascii="微软雅黑" w:hAnsi="微软雅黑" w:eastAsia="微软雅黑"/>
                <w:spacing w:val="0"/>
                <w:sz w:val="21"/>
                <w:szCs w:val="21"/>
                <w:lang w:val="en-US"/>
              </w:rPr>
            </w:pPr>
            <w:r>
              <w:rPr>
                <w:rFonts w:hint="eastAsia" w:ascii="微软雅黑" w:hAnsi="微软雅黑" w:eastAsia="微软雅黑" w:cs="宋体"/>
                <w:color w:val="000000" w:themeColor="text1"/>
                <w:sz w:val="21"/>
                <w:szCs w:val="21"/>
                <w:lang w:val="en-US" w:eastAsia="zh-CN"/>
                <w14:textFill>
                  <w14:solidFill>
                    <w14:schemeClr w14:val="tx1"/>
                  </w14:solidFill>
                </w14:textFill>
              </w:rPr>
              <w:t>6</w:t>
            </w:r>
          </w:p>
        </w:tc>
        <w:tc>
          <w:tcPr>
            <w:tcW w:w="299" w:type="pct"/>
            <w:vAlign w:val="center"/>
          </w:tcPr>
          <w:p>
            <w:pPr>
              <w:spacing w:line="400" w:lineRule="exact"/>
              <w:jc w:val="center"/>
              <w:rPr>
                <w:rFonts w:hint="eastAsia" w:ascii="微软雅黑" w:hAnsi="微软雅黑" w:eastAsia="微软雅黑" w:cs="宋体"/>
                <w:color w:val="000000" w:themeColor="text1"/>
                <w:sz w:val="21"/>
                <w:szCs w:val="21"/>
                <w:lang w:val="en-US" w:eastAsia="zh-CN"/>
                <w14:textFill>
                  <w14:solidFill>
                    <w14:schemeClr w14:val="tx1"/>
                  </w14:solidFill>
                </w14:textFill>
              </w:rPr>
            </w:pPr>
            <w:r>
              <w:rPr>
                <w:rFonts w:hint="eastAsia" w:ascii="微软雅黑" w:hAnsi="微软雅黑" w:eastAsia="微软雅黑" w:cs="宋体"/>
                <w:color w:val="000000" w:themeColor="text1"/>
                <w:sz w:val="21"/>
                <w:szCs w:val="21"/>
                <w:lang w:val="en-US" w:eastAsia="zh-CN"/>
                <w14:textFill>
                  <w14:solidFill>
                    <w14:schemeClr w14:val="tx1"/>
                  </w14:solidFill>
                </w14:textFill>
              </w:rPr>
              <w:t>EA</w:t>
            </w:r>
          </w:p>
        </w:tc>
        <w:tc>
          <w:tcPr>
            <w:tcW w:w="299" w:type="pct"/>
            <w:vAlign w:val="center"/>
          </w:tcPr>
          <w:p>
            <w:pPr>
              <w:spacing w:line="400" w:lineRule="exact"/>
              <w:jc w:val="center"/>
              <w:rPr>
                <w:rFonts w:ascii="微软雅黑" w:hAnsi="微软雅黑" w:eastAsia="微软雅黑"/>
                <w:spacing w:val="0"/>
                <w:sz w:val="21"/>
                <w:szCs w:val="21"/>
              </w:rPr>
            </w:pPr>
            <w:r>
              <w:rPr>
                <w:rFonts w:hint="eastAsia" w:ascii="微软雅黑" w:hAnsi="微软雅黑" w:eastAsia="微软雅黑"/>
                <w:sz w:val="21"/>
                <w:szCs w:val="21"/>
                <w:lang w:eastAsia="zh-CN"/>
              </w:rPr>
              <w:t>买方指定</w:t>
            </w:r>
          </w:p>
        </w:tc>
        <w:tc>
          <w:tcPr>
            <w:tcW w:w="299" w:type="pct"/>
            <w:vAlign w:val="center"/>
          </w:tcPr>
          <w:p>
            <w:pPr>
              <w:spacing w:line="400" w:lineRule="exact"/>
              <w:jc w:val="center"/>
              <w:rPr>
                <w:rFonts w:ascii="微软雅黑" w:hAnsi="微软雅黑" w:eastAsia="微软雅黑"/>
                <w:spacing w:val="0"/>
                <w:sz w:val="21"/>
                <w:szCs w:val="21"/>
              </w:rPr>
            </w:pPr>
            <w:r>
              <w:rPr>
                <w:rFonts w:hint="eastAsia" w:ascii="微软雅黑" w:hAnsi="微软雅黑" w:eastAsia="微软雅黑"/>
                <w:sz w:val="21"/>
                <w:szCs w:val="21"/>
                <w:lang w:eastAsia="zh-CN"/>
              </w:rPr>
              <w:t>买方指定</w:t>
            </w:r>
          </w:p>
        </w:tc>
        <w:tc>
          <w:tcPr>
            <w:tcW w:w="602" w:type="pct"/>
            <w:vAlign w:val="center"/>
          </w:tcPr>
          <w:p>
            <w:pPr>
              <w:pStyle w:val="4"/>
              <w:jc w:val="center"/>
              <w:rPr>
                <w:rFonts w:ascii="微软雅黑" w:hAnsi="微软雅黑" w:eastAsia="微软雅黑"/>
                <w:spacing w:val="0"/>
                <w:sz w:val="21"/>
                <w:szCs w:val="21"/>
              </w:rPr>
            </w:pPr>
            <w:r>
              <w:rPr>
                <w:rFonts w:hint="eastAsia" w:ascii="微软雅黑" w:hAnsi="微软雅黑" w:eastAsia="微软雅黑" w:cs="宋体"/>
                <w:color w:val="000000" w:themeColor="text1"/>
                <w:sz w:val="21"/>
                <w:szCs w:val="21"/>
                <w:lang w:val="en-US" w:eastAsia="zh-CN"/>
                <w14:textFill>
                  <w14:solidFill>
                    <w14:schemeClr w14:val="tx1"/>
                  </w14:solidFill>
                </w14:textFill>
              </w:rPr>
              <w:t>惠州2套、中联2套、海口2套</w:t>
            </w:r>
          </w:p>
        </w:tc>
      </w:tr>
    </w:tbl>
    <w:p>
      <w:pPr>
        <w:pStyle w:val="20"/>
        <w:spacing w:before="120" w:after="120"/>
        <w:outlineLvl w:val="0"/>
        <w:rPr>
          <w:rFonts w:hint="eastAsia" w:ascii="微软雅黑" w:hAnsi="微软雅黑" w:eastAsia="微软雅黑" w:cs="Times New Roman"/>
          <w:bCs/>
          <w:color w:val="auto"/>
          <w:sz w:val="32"/>
          <w:szCs w:val="32"/>
          <w:lang w:eastAsia="zh-CN"/>
        </w:rPr>
      </w:pPr>
      <w:r>
        <w:rPr>
          <w:rFonts w:hint="eastAsia" w:ascii="微软雅黑" w:hAnsi="微软雅黑" w:eastAsia="微软雅黑" w:cs="Times New Roman"/>
          <w:bCs/>
          <w:color w:val="auto"/>
          <w:sz w:val="32"/>
          <w:szCs w:val="32"/>
        </w:rPr>
        <w:t>三、执行标准/规范</w:t>
      </w:r>
    </w:p>
    <w:p>
      <w:pPr>
        <w:pStyle w:val="5"/>
        <w:spacing w:line="257" w:lineRule="auto"/>
        <w:ind w:left="220" w:right="122" w:firstLine="420"/>
        <w:rPr>
          <w:rFonts w:ascii="微软雅黑" w:hAnsi="微软雅黑" w:eastAsia="微软雅黑"/>
          <w:lang w:eastAsia="zh-CN"/>
        </w:rPr>
      </w:pPr>
      <w:r>
        <w:rPr>
          <w:rFonts w:hint="eastAsia" w:ascii="微软雅黑" w:hAnsi="微软雅黑" w:eastAsia="微软雅黑"/>
          <w:sz w:val="24"/>
          <w:szCs w:val="24"/>
          <w:lang w:val="en-US" w:eastAsia="zh-CN"/>
        </w:rPr>
        <w:t>无</w:t>
      </w:r>
      <w:r>
        <w:rPr>
          <w:rFonts w:hint="eastAsia" w:ascii="微软雅黑" w:hAnsi="微软雅黑" w:eastAsia="微软雅黑"/>
          <w:lang w:eastAsia="zh-CN"/>
        </w:rPr>
        <w:t>。</w:t>
      </w:r>
    </w:p>
    <w:p>
      <w:pPr>
        <w:pStyle w:val="20"/>
        <w:spacing w:before="120" w:after="120"/>
        <w:outlineLvl w:val="0"/>
        <w:rPr>
          <w:rFonts w:hint="eastAsia" w:ascii="微软雅黑" w:hAnsi="微软雅黑" w:eastAsia="微软雅黑" w:cs="Times New Roman"/>
          <w:bCs/>
          <w:color w:val="auto"/>
          <w:sz w:val="32"/>
          <w:szCs w:val="32"/>
          <w:lang w:eastAsia="zh-CN"/>
        </w:rPr>
      </w:pPr>
      <w:r>
        <w:rPr>
          <w:rFonts w:hint="eastAsia" w:ascii="微软雅黑" w:hAnsi="微软雅黑" w:eastAsia="微软雅黑" w:cs="Times New Roman"/>
          <w:bCs/>
          <w:color w:val="auto"/>
          <w:sz w:val="32"/>
          <w:szCs w:val="32"/>
        </w:rPr>
        <w:t>四、设计/使用条件</w:t>
      </w:r>
    </w:p>
    <w:p>
      <w:pPr>
        <w:pStyle w:val="5"/>
        <w:spacing w:line="257" w:lineRule="auto"/>
        <w:ind w:right="122" w:firstLine="199" w:firstLineChars="95"/>
        <w:rPr>
          <w:rFonts w:hint="default" w:ascii="微软雅黑" w:hAnsi="微软雅黑" w:eastAsia="微软雅黑"/>
          <w:lang w:val="en-US" w:eastAsia="zh-CN"/>
        </w:rPr>
      </w:pPr>
      <w:r>
        <w:rPr>
          <w:rFonts w:hint="eastAsia" w:ascii="微软雅黑" w:hAnsi="微软雅黑" w:eastAsia="微软雅黑"/>
          <w:lang w:eastAsia="zh-CN"/>
        </w:rPr>
        <w:t>1. 设计要求：</w:t>
      </w:r>
      <w:r>
        <w:rPr>
          <w:rFonts w:hint="eastAsia" w:ascii="微软雅黑" w:hAnsi="微软雅黑" w:eastAsia="微软雅黑" w:cs="宋体"/>
          <w:color w:val="000000" w:themeColor="text1"/>
          <w:sz w:val="21"/>
          <w:szCs w:val="21"/>
          <w:lang w:eastAsia="zh-CN"/>
          <w14:textFill>
            <w14:solidFill>
              <w14:schemeClr w14:val="tx1"/>
            </w14:solidFill>
          </w14:textFill>
        </w:rPr>
        <w:t>通用220V电压（50Hz）</w:t>
      </w:r>
      <w:r>
        <w:rPr>
          <w:rFonts w:hint="eastAsia" w:ascii="微软雅黑" w:hAnsi="微软雅黑" w:eastAsia="微软雅黑"/>
          <w:lang w:eastAsia="zh-CN"/>
        </w:rPr>
        <w:t>；配备便携式司钻操控台、便携式节流控制箱、教师工作站和相关的控制软件。</w:t>
      </w:r>
    </w:p>
    <w:p>
      <w:pPr>
        <w:pStyle w:val="5"/>
        <w:spacing w:line="257" w:lineRule="auto"/>
        <w:ind w:right="122" w:firstLine="199" w:firstLineChars="95"/>
        <w:rPr>
          <w:rFonts w:ascii="微软雅黑" w:hAnsi="微软雅黑" w:eastAsia="微软雅黑"/>
          <w:lang w:eastAsia="zh-CN"/>
        </w:rPr>
      </w:pPr>
      <w:r>
        <w:rPr>
          <w:rFonts w:hint="eastAsia" w:ascii="微软雅黑" w:hAnsi="微软雅黑" w:eastAsia="微软雅黑"/>
          <w:lang w:eastAsia="zh-CN"/>
        </w:rPr>
        <w:t>2. 使用地点：</w:t>
      </w:r>
      <w:r>
        <w:rPr>
          <w:rFonts w:hint="eastAsia" w:ascii="微软雅黑" w:hAnsi="微软雅黑" w:eastAsia="微软雅黑"/>
          <w:lang w:val="en-US" w:eastAsia="zh-CN"/>
        </w:rPr>
        <w:t>广东惠州、海南海口、陕西神木等地的室内培训教室、办公室，海上平台办公室、会议室，陆地井场办公室、会议室等环境。</w:t>
      </w:r>
    </w:p>
    <w:p>
      <w:pPr>
        <w:pStyle w:val="20"/>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五</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技术要求</w:t>
      </w:r>
    </w:p>
    <w:p>
      <w:pPr>
        <w:pStyle w:val="4"/>
        <w:rPr>
          <w:sz w:val="24"/>
          <w:szCs w:val="24"/>
        </w:rPr>
      </w:pPr>
      <w:r>
        <w:rPr>
          <w:rFonts w:hint="eastAsia"/>
          <w:sz w:val="24"/>
          <w:szCs w:val="24"/>
        </w:rPr>
        <w:t>1. 便携式模拟器技术参数</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val="en-US" w:eastAsia="zh-CN"/>
        </w:rPr>
        <w:t>（1）便携式</w:t>
      </w:r>
      <w:r>
        <w:rPr>
          <w:rFonts w:hint="eastAsia" w:ascii="微软雅黑" w:hAnsi="微软雅黑" w:eastAsia="微软雅黑"/>
          <w:lang w:eastAsia="zh-CN"/>
        </w:rPr>
        <w:t>模拟器包括：司钻操作台*1，材质为铝或其它类似轻量材料；便携式节流控制箱*1，材质为铝或其它类似轻量材料，能够显示立压（数字显示）、套压（数字显示）、压井管线压力、泥浆泵速度、泥浆泵总冲数以及清零按钮、节流阀开关控制及位置显示（速度调节），材质为铝或其它类似轻量材料；液晶显示学生站*1（13-16寸触摸式OLED显示屏）；具备井下模型软件的教师工作站一套（满足相关硬件要求）；UPS电源一个（45分钟）；电源单元一个；互连电缆；常用易损件3套；上述硬件应能全部装在如下的防水抗震抗压仪器拉杆箱中，尺寸应</w:t>
      </w:r>
      <w:r>
        <w:rPr>
          <w:rFonts w:hint="eastAsia" w:ascii="微软雅黑" w:hAnsi="微软雅黑" w:eastAsia="微软雅黑"/>
          <w:lang w:val="en-US" w:eastAsia="zh-CN"/>
        </w:rPr>
        <w:t>不大于</w:t>
      </w:r>
      <w:r>
        <w:rPr>
          <w:rFonts w:hint="eastAsia" w:ascii="微软雅黑" w:hAnsi="微软雅黑" w:eastAsia="微软雅黑"/>
          <w:lang w:eastAsia="zh-CN"/>
        </w:rPr>
        <w:t>：61.3*47.8*33.7cm；行李箱空重不大于6kg；防水防尘等级不低于IP67。</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（2）输入电压220V。</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（3）★不允许按照设计好的步骤进行模拟器实训练习和评审，不同的操作过程应产生不同效果，如果操作不当，响应的参数会有科学变化。</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（4）★在进行模拟器实训练习和评审时，必须通过相关参数的变化来判断井下异常状况，不允许提示或直接告知。</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（5）★一个面板/后台软件，应同时满足水下防喷器和地面防喷器的模拟功能，不允许拆分为两套。</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（6）模拟器操作软件为中文。</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（7）模拟器应满足30000英尺深的井的钻井和井控操作。模拟器应能具备井喷预防、井控、井下井控和设备问题模拟演练的功能。</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（8）模拟器可用于开发和运行实操练习，包括但不限于：</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油基泥浆</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天然气膨胀和运移</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井控期间的动态压力</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地层流体类型和渗透率</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井底效应-等效循环密度、激动和抽汲</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水平井和定向井</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坍塌、压差卡钻、键槽、封堵</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岩石强度和可钻性</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节流冲蚀和堵塞</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IWCF和IADC要求的故障</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钻井和起下钻</w:t>
      </w:r>
    </w:p>
    <w:p>
      <w:pPr>
        <w:pStyle w:val="4"/>
        <w:rPr>
          <w:sz w:val="24"/>
          <w:szCs w:val="24"/>
        </w:rPr>
      </w:pPr>
      <w:r>
        <w:rPr>
          <w:rFonts w:hint="eastAsia"/>
          <w:sz w:val="24"/>
          <w:szCs w:val="24"/>
          <w:lang w:val="en-US" w:eastAsia="zh-CN"/>
        </w:rPr>
        <w:t>2.</w:t>
      </w:r>
      <w:r>
        <w:rPr>
          <w:rFonts w:hint="eastAsia"/>
          <w:sz w:val="24"/>
          <w:szCs w:val="24"/>
        </w:rPr>
        <w:t xml:space="preserve"> 模拟内容技术要求</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模拟器需配备鼠标驱动设施，使教师能够轻松设置模拟场景并控制模拟练习。模拟器不会引导学员完成操作，但允许他们自己思考并从错误中学习。</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（1）地面部分</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钻井液循环系统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旋转系统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顶驱系统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提升系统（绞车）</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运动补偿系统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井喷预防系统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修井压井设备</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（2）故障</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操作性故障</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装备故障</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（3）钻井液循环系统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泥浆控制</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泥浆罐</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在用泥浆罐</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储备泥浆罐</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泥浆补给罐</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泥浆气体分离器</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固体控制设备</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钻井液</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密度跟踪</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泥浆泵</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立管管汇</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节流管汇</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（4）旋转系统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模拟旋转系统应包括转盘，转盘的控制通过钻井控制台实现，能够模拟声音效果，钻机仪表控制台上提供旋转转速和扭矩计，供司钻观察。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（5）顶驱</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通过钻井控制台控制顶驱。钻井控制台上的顶驱扭矩限制控制装置使司钻能够在扭矩需求超过设定水平时设置顶驱起下钻。顶部驱动RPM和扭矩计安装在司钻仪表控制台上，供司钻观察。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（6）提升系统（绞车）</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应包括一套全面的绞车控制装置：</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司钻窗口图形</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钻井设备（钻头、钻铤、加重钻杆、钻杆、油管、套管）</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井下设备</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钻井控制</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（7）防喷系统</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地面防喷器控制</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水下防喷器控制</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（8）井控模拟内容</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井涌原因（等效循环密度、环空中的低泥浆重量、环空中的低泥浆静水压头、起下钻时的抽汲、起下钻时未填充、井漏）</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井涌种类（气、油、盐水）</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井涌流体密度</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井涌流量</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井内液面降低和稳定</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气体膨胀</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气体运移</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地下井喷</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井控动态压力</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钻井时井涌</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起下钻井涌</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（9）井下</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地质参数选择</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井下故障</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扭矩和阻力</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流体流量和压力损失</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（10）操作故障</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操作错误</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井的问题</w:t>
      </w:r>
    </w:p>
    <w:p>
      <w:pPr>
        <w:pStyle w:val="5"/>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设备故障</w:t>
      </w:r>
    </w:p>
    <w:p>
      <w:pPr>
        <w:pStyle w:val="5"/>
        <w:spacing w:line="257" w:lineRule="auto"/>
        <w:ind w:left="220" w:right="122" w:firstLine="420"/>
        <w:rPr>
          <w:rFonts w:hint="eastAsia"/>
          <w:sz w:val="24"/>
          <w:szCs w:val="24"/>
          <w:lang w:eastAsia="zh-CN"/>
        </w:rPr>
      </w:pPr>
      <w:r>
        <w:rPr>
          <w:rFonts w:hint="eastAsia" w:ascii="微软雅黑" w:hAnsi="微软雅黑" w:eastAsia="微软雅黑"/>
          <w:lang w:eastAsia="zh-CN"/>
        </w:rPr>
        <w:t>仪表故障。</w:t>
      </w:r>
      <w:r>
        <w:rPr>
          <w:rFonts w:hint="eastAsia"/>
          <w:sz w:val="24"/>
          <w:szCs w:val="24"/>
          <w:lang w:eastAsia="zh-CN"/>
        </w:rPr>
        <w:t xml:space="preserve"> </w:t>
      </w:r>
    </w:p>
    <w:p>
      <w:pPr>
        <w:pStyle w:val="20"/>
        <w:spacing w:before="120" w:after="120"/>
        <w:outlineLvl w:val="0"/>
        <w:rPr>
          <w:rFonts w:hint="eastAsia" w:ascii="微软雅黑" w:hAnsi="微软雅黑" w:eastAsia="微软雅黑" w:cs="Times New Roman"/>
          <w:bCs/>
          <w:color w:val="auto"/>
          <w:sz w:val="32"/>
          <w:szCs w:val="32"/>
          <w:lang w:eastAsia="zh-CN"/>
        </w:rPr>
      </w:pPr>
      <w:r>
        <w:rPr>
          <w:rFonts w:hint="eastAsia" w:ascii="微软雅黑" w:hAnsi="微软雅黑" w:eastAsia="微软雅黑" w:cs="Times New Roman"/>
          <w:bCs/>
          <w:color w:val="auto"/>
          <w:sz w:val="32"/>
          <w:szCs w:val="32"/>
        </w:rPr>
        <w:t>六、检测和试验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420" w:firstLineChars="200"/>
        <w:textAlignment w:val="auto"/>
        <w:rPr>
          <w:rFonts w:hint="default" w:ascii="微软雅黑" w:hAnsi="微软雅黑" w:eastAsia="微软雅黑"/>
          <w:lang w:val="en-US" w:eastAsia="zh-CN"/>
        </w:rPr>
      </w:pPr>
      <w:r>
        <w:rPr>
          <w:rFonts w:hint="eastAsia" w:ascii="微软雅黑" w:hAnsi="微软雅黑" w:eastAsia="微软雅黑"/>
          <w:lang w:eastAsia="zh-CN"/>
        </w:rPr>
        <w:t>货物在买方指定场地由卖方负责完成现场安装后，进行现场测试和功能测试。测试过程需双方同时在场，测试结果需经买方确认合格后视为最终交货。</w:t>
      </w:r>
    </w:p>
    <w:p>
      <w:pPr>
        <w:pStyle w:val="20"/>
        <w:spacing w:before="120" w:after="120"/>
        <w:outlineLvl w:val="0"/>
        <w:rPr>
          <w:rFonts w:hint="eastAsia" w:ascii="微软雅黑" w:hAnsi="微软雅黑" w:eastAsia="微软雅黑" w:cs="Times New Roman"/>
          <w:bCs/>
          <w:color w:val="auto"/>
          <w:sz w:val="32"/>
          <w:szCs w:val="32"/>
          <w:lang w:eastAsia="zh-CN"/>
        </w:rPr>
      </w:pPr>
      <w:r>
        <w:rPr>
          <w:rFonts w:hint="eastAsia" w:ascii="微软雅黑" w:hAnsi="微软雅黑" w:eastAsia="微软雅黑" w:cs="Times New Roman"/>
          <w:bCs/>
          <w:color w:val="auto"/>
          <w:sz w:val="32"/>
          <w:szCs w:val="32"/>
        </w:rPr>
        <w:t>七、标识、包装、运输和存储</w:t>
      </w:r>
    </w:p>
    <w:p>
      <w:pPr>
        <w:pStyle w:val="4"/>
        <w:spacing w:line="40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 产品包装</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420" w:firstLineChars="200"/>
        <w:textAlignment w:val="auto"/>
        <w:rPr>
          <w:rFonts w:hint="eastAsia" w:ascii="微软雅黑" w:hAnsi="微软雅黑" w:eastAsia="微软雅黑"/>
          <w:lang w:eastAsia="zh-CN"/>
        </w:rPr>
      </w:pPr>
      <w:r>
        <w:rPr>
          <w:rFonts w:hint="eastAsia" w:ascii="微软雅黑" w:hAnsi="微软雅黑" w:eastAsia="微软雅黑"/>
          <w:lang w:eastAsia="zh-CN"/>
        </w:rPr>
        <w:t>包装必须与运输方式相适应，包装方式的确定及包装费用均由卖方负责；由于不适当的包装而造成货物在运输过程中有任何损坏、丢失由卖方负责。包装应足以承受整个过程中的运输、转运、装卸、储存等，充分考虑到运输途中的各种情况（如暴露于恶劣气候等）和所经地区的气候特点，以及露天存放的需要。专用工具及备品备件应分别包装，并在包装箱外加以注明其用处。</w:t>
      </w:r>
    </w:p>
    <w:p>
      <w:pPr>
        <w:pStyle w:val="4"/>
        <w:spacing w:line="40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 产品运输</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420" w:firstLineChars="200"/>
        <w:textAlignment w:val="auto"/>
        <w:rPr>
          <w:rFonts w:hint="eastAsia" w:ascii="微软雅黑" w:hAnsi="微软雅黑" w:eastAsia="微软雅黑"/>
          <w:lang w:eastAsia="zh-CN"/>
        </w:rPr>
      </w:pPr>
      <w:r>
        <w:rPr>
          <w:rFonts w:hint="eastAsia" w:ascii="微软雅黑" w:hAnsi="微软雅黑" w:eastAsia="微软雅黑"/>
          <w:lang w:eastAsia="zh-CN"/>
        </w:rPr>
        <w:t>应采用防潮、防碰撞等符合投标设备特性及满足其运输要求的木包装，在每件设备的包装外表以不褪色的颜料标明箱/件号、毛重、尺码、净重、设备名称、到货地址、收货地址、收货人以及下列“勿近潮湿”、“小心轻放”、“此边朝上”等。运输方式由卖方自定。由于不适当包装或不适当装卸、运输造成的设备损失由卖方负责。</w:t>
      </w:r>
    </w:p>
    <w:p>
      <w:pPr>
        <w:pStyle w:val="4"/>
        <w:spacing w:line="40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 产品存储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420" w:firstLineChars="200"/>
        <w:textAlignment w:val="auto"/>
        <w:rPr>
          <w:rFonts w:hint="eastAsia" w:ascii="微软雅黑" w:hAnsi="微软雅黑" w:eastAsia="微软雅黑"/>
          <w:lang w:eastAsia="zh-CN"/>
        </w:rPr>
      </w:pPr>
      <w:r>
        <w:rPr>
          <w:rFonts w:hint="eastAsia" w:ascii="微软雅黑" w:hAnsi="微软雅黑" w:eastAsia="微软雅黑"/>
          <w:lang w:eastAsia="zh-CN"/>
        </w:rPr>
        <w:t>货物在验收合格前的保存和储存由卖方负责，卖方负责其派出的现场服务人员人身意外保险。</w:t>
      </w:r>
    </w:p>
    <w:p>
      <w:pPr>
        <w:pStyle w:val="20"/>
        <w:numPr>
          <w:ilvl w:val="0"/>
          <w:numId w:val="1"/>
        </w:numPr>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技术文件</w:t>
      </w:r>
    </w:p>
    <w:p>
      <w:pPr>
        <w:pStyle w:val="5"/>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1.产品交付技术文件</w:t>
      </w:r>
      <w:r>
        <w:rPr>
          <w:rFonts w:hint="eastAsia" w:ascii="微软雅黑" w:hAnsi="微软雅黑" w:eastAsia="微软雅黑"/>
          <w:lang w:val="en-US" w:eastAsia="zh-CN"/>
        </w:rPr>
        <w:t>应包含</w:t>
      </w:r>
      <w:r>
        <w:rPr>
          <w:rFonts w:hint="eastAsia" w:ascii="微软雅黑" w:hAnsi="微软雅黑" w:eastAsia="微软雅黑"/>
          <w:lang w:eastAsia="zh-CN"/>
        </w:rPr>
        <w:t>产品合格证、产品说明书</w:t>
      </w:r>
      <w:r>
        <w:rPr>
          <w:rFonts w:hint="eastAsia" w:ascii="微软雅黑" w:hAnsi="微软雅黑" w:eastAsia="微软雅黑"/>
          <w:color w:val="auto"/>
          <w:lang w:eastAsia="zh-CN"/>
        </w:rPr>
        <w:t>等。</w:t>
      </w:r>
    </w:p>
    <w:bookmarkEnd w:id="4"/>
    <w:bookmarkEnd w:id="5"/>
    <w:p>
      <w:pPr>
        <w:pStyle w:val="20"/>
        <w:spacing w:before="120" w:after="120"/>
        <w:outlineLvl w:val="0"/>
        <w:rPr>
          <w:rFonts w:hint="eastAsia" w:ascii="微软雅黑" w:hAnsi="微软雅黑" w:eastAsia="微软雅黑" w:cs="Times New Roman"/>
          <w:bCs/>
          <w:color w:val="auto"/>
          <w:sz w:val="32"/>
          <w:szCs w:val="32"/>
          <w:lang w:eastAsia="zh-CN"/>
        </w:rPr>
      </w:pPr>
      <w:r>
        <w:rPr>
          <w:rFonts w:hint="eastAsia" w:ascii="微软雅黑" w:hAnsi="微软雅黑" w:eastAsia="微软雅黑" w:cs="Times New Roman"/>
          <w:bCs/>
          <w:color w:val="auto"/>
          <w:sz w:val="32"/>
          <w:szCs w:val="32"/>
        </w:rPr>
        <w:t>九、工作进度、监造和现场验收</w:t>
      </w:r>
    </w:p>
    <w:p>
      <w:pPr>
        <w:pStyle w:val="20"/>
        <w:spacing w:before="120" w:after="120"/>
        <w:outlineLvl w:val="0"/>
        <w:rPr>
          <w:rFonts w:hint="eastAsia" w:ascii="微软雅黑" w:hAnsi="微软雅黑" w:eastAsia="微软雅黑" w:cs="Times New Roman"/>
          <w:bCs/>
          <w:color w:val="auto"/>
          <w:sz w:val="32"/>
          <w:szCs w:val="32"/>
          <w:lang w:eastAsia="zh-CN"/>
        </w:rPr>
      </w:pPr>
      <w:r>
        <w:rPr>
          <w:rFonts w:hint="eastAsia" w:ascii="微软雅黑" w:hAnsi="微软雅黑" w:eastAsia="微软雅黑" w:cs="Times New Roman"/>
          <w:bCs/>
          <w:color w:val="auto"/>
          <w:sz w:val="32"/>
          <w:szCs w:val="32"/>
        </w:rPr>
        <w:t>十、技术服务与售后服务</w:t>
      </w:r>
    </w:p>
    <w:p>
      <w:pPr>
        <w:pStyle w:val="5"/>
        <w:spacing w:line="257" w:lineRule="auto"/>
        <w:ind w:right="122" w:firstLineChars="0"/>
        <w:rPr>
          <w:rFonts w:ascii="微软雅黑" w:hAnsi="微软雅黑" w:eastAsia="微软雅黑"/>
          <w:lang w:eastAsia="zh-CN"/>
        </w:rPr>
      </w:pPr>
      <w:r>
        <w:rPr>
          <w:rFonts w:hint="eastAsia" w:ascii="微软雅黑" w:hAnsi="微软雅黑" w:eastAsia="微软雅黑"/>
          <w:lang w:eastAsia="zh-CN"/>
        </w:rPr>
        <w:t>1. 安装、调试指导要求：在设备安装/调试阶段，卖方负责派服务工程师到现场</w:t>
      </w:r>
      <w:r>
        <w:rPr>
          <w:rFonts w:hint="eastAsia" w:ascii="微软雅黑" w:hAnsi="微软雅黑" w:eastAsia="微软雅黑"/>
          <w:lang w:val="en-US" w:eastAsia="zh-CN"/>
        </w:rPr>
        <w:t>进行安装调试</w:t>
      </w:r>
      <w:r>
        <w:rPr>
          <w:rFonts w:hint="eastAsia" w:ascii="微软雅黑" w:hAnsi="微软雅黑" w:eastAsia="微软雅黑"/>
          <w:lang w:eastAsia="zh-CN"/>
        </w:rPr>
        <w:t>；</w:t>
      </w:r>
    </w:p>
    <w:p>
      <w:pPr>
        <w:pStyle w:val="5"/>
        <w:spacing w:line="257" w:lineRule="auto"/>
        <w:ind w:right="122" w:firstLineChars="0"/>
        <w:rPr>
          <w:rFonts w:ascii="微软雅黑" w:hAnsi="微软雅黑" w:eastAsia="微软雅黑"/>
          <w:lang w:eastAsia="zh-CN"/>
        </w:rPr>
      </w:pPr>
      <w:r>
        <w:rPr>
          <w:rFonts w:hint="eastAsia" w:ascii="微软雅黑" w:hAnsi="微软雅黑" w:eastAsia="微软雅黑"/>
          <w:lang w:eastAsia="zh-CN"/>
        </w:rPr>
        <w:t>2. 技术培训要求：需提供</w:t>
      </w:r>
      <w:r>
        <w:rPr>
          <w:rFonts w:hint="eastAsia" w:ascii="微软雅黑" w:hAnsi="微软雅黑" w:eastAsia="微软雅黑"/>
          <w:lang w:val="en-US" w:eastAsia="zh-CN"/>
        </w:rPr>
        <w:t>模拟器使用培训</w:t>
      </w:r>
      <w:r>
        <w:rPr>
          <w:rFonts w:hint="eastAsia" w:ascii="微软雅黑" w:hAnsi="微软雅黑" w:eastAsia="微软雅黑"/>
          <w:lang w:eastAsia="zh-CN"/>
        </w:rPr>
        <w:t>；</w:t>
      </w:r>
    </w:p>
    <w:p>
      <w:pPr>
        <w:pStyle w:val="5"/>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3. 技术联络与响应：卖方在接到卖方通知24小时内给予答复，48小时到达现场；</w:t>
      </w:r>
    </w:p>
    <w:p>
      <w:pPr>
        <w:widowControl/>
        <w:rPr>
          <w:rFonts w:ascii="微软雅黑" w:hAnsi="微软雅黑" w:eastAsia="微软雅黑"/>
          <w:strike w:val="0"/>
          <w:sz w:val="21"/>
          <w:szCs w:val="21"/>
          <w:lang w:eastAsia="zh-CN"/>
        </w:rPr>
      </w:pPr>
      <w:r>
        <w:rPr>
          <w:rFonts w:hint="eastAsia" w:ascii="微软雅黑" w:hAnsi="微软雅黑" w:eastAsia="微软雅黑" w:cs="Times New Roman"/>
          <w:bCs/>
          <w:strike w:val="0"/>
          <w:dstrike w:val="0"/>
          <w:color w:val="auto"/>
          <w:sz w:val="32"/>
          <w:szCs w:val="32"/>
        </w:rPr>
        <w:t>十一、其他</w:t>
      </w:r>
      <w:r>
        <w:rPr>
          <w:rFonts w:ascii="微软雅黑" w:hAnsi="微软雅黑" w:eastAsia="微软雅黑" w:cs="Times New Roman"/>
          <w:bCs/>
          <w:strike w:val="0"/>
          <w:dstrike w:val="0"/>
          <w:color w:val="auto"/>
          <w:sz w:val="32"/>
          <w:szCs w:val="32"/>
        </w:rPr>
        <w:t>要求</w:t>
      </w:r>
    </w:p>
    <w:p>
      <w:pPr>
        <w:ind w:firstLine="220" w:firstLineChars="100"/>
        <w:rPr>
          <w:rFonts w:hint="eastAsia" w:ascii="微软雅黑" w:hAnsi="微软雅黑" w:eastAsia="微软雅黑"/>
          <w:strike w:val="0"/>
          <w:dstrike w:val="0"/>
          <w:lang w:val="en-US" w:eastAsia="zh-CN"/>
        </w:rPr>
      </w:pPr>
      <w:r>
        <w:rPr>
          <w:rFonts w:hint="eastAsia" w:ascii="微软雅黑" w:hAnsi="微软雅黑" w:eastAsia="微软雅黑"/>
          <w:strike w:val="0"/>
          <w:dstrike w:val="0"/>
          <w:lang w:val="en-US" w:eastAsia="zh-CN"/>
        </w:rPr>
        <w:t>1. 交货地点：</w:t>
      </w:r>
    </w:p>
    <w:p>
      <w:pPr>
        <w:ind w:firstLine="220" w:firstLineChars="100"/>
        <w:rPr>
          <w:rFonts w:hint="eastAsia" w:ascii="微软雅黑" w:hAnsi="微软雅黑" w:eastAsia="微软雅黑"/>
          <w:strike w:val="0"/>
          <w:dstrike w:val="0"/>
          <w:lang w:val="en-US" w:eastAsia="zh-CN"/>
        </w:rPr>
      </w:pPr>
      <w:r>
        <w:rPr>
          <w:rFonts w:hint="eastAsia" w:ascii="微软雅黑" w:hAnsi="微软雅黑" w:eastAsia="微软雅黑"/>
          <w:strike w:val="0"/>
          <w:dstrike w:val="0"/>
          <w:lang w:val="en-US" w:eastAsia="zh-CN"/>
        </w:rPr>
        <w:t>广东省惠州市惠阳区科技东路8号中海油信息科技有限公司（惠州）工业互联网技术中心6楼培训基地；</w:t>
      </w:r>
    </w:p>
    <w:p>
      <w:pPr>
        <w:ind w:firstLine="220" w:firstLineChars="100"/>
        <w:rPr>
          <w:rFonts w:hint="eastAsia" w:ascii="微软雅黑" w:hAnsi="微软雅黑" w:eastAsia="微软雅黑"/>
          <w:strike w:val="0"/>
          <w:dstrike w:val="0"/>
          <w:lang w:val="en-US" w:eastAsia="zh-CN"/>
        </w:rPr>
      </w:pPr>
      <w:r>
        <w:rPr>
          <w:rFonts w:hint="eastAsia" w:ascii="微软雅黑" w:hAnsi="微软雅黑" w:eastAsia="微软雅黑"/>
          <w:strike w:val="0"/>
          <w:dstrike w:val="0"/>
          <w:lang w:val="en-US" w:eastAsia="zh-CN"/>
        </w:rPr>
        <w:t>陕西省神木市西沙街道牛毛壕中海油能源发展股份有限公司工程技术分公司神府项目部2楼培训教室；</w:t>
      </w:r>
    </w:p>
    <w:p>
      <w:pPr>
        <w:ind w:firstLine="220" w:firstLineChars="100"/>
        <w:rPr>
          <w:rFonts w:hint="eastAsia" w:ascii="微软雅黑" w:hAnsi="微软雅黑" w:eastAsia="微软雅黑"/>
          <w:strike w:val="0"/>
          <w:dstrike w:val="0"/>
          <w:lang w:val="en-US" w:eastAsia="zh-CN"/>
        </w:rPr>
      </w:pPr>
      <w:r>
        <w:rPr>
          <w:rFonts w:hint="eastAsia" w:ascii="微软雅黑" w:hAnsi="微软雅黑" w:eastAsia="微软雅黑"/>
          <w:strike w:val="0"/>
          <w:dstrike w:val="0"/>
          <w:lang w:val="en-US" w:eastAsia="zh-CN"/>
        </w:rPr>
        <w:t>海南省澄迈县马村人民路142号海南中海油码头有限公司</w:t>
      </w:r>
      <w:bookmarkStart w:id="6" w:name="_GoBack"/>
      <w:bookmarkEnd w:id="6"/>
      <w:r>
        <w:rPr>
          <w:rFonts w:hint="eastAsia" w:ascii="微软雅黑" w:hAnsi="微软雅黑" w:eastAsia="微软雅黑"/>
          <w:strike w:val="0"/>
          <w:dstrike w:val="0"/>
          <w:lang w:val="en-US" w:eastAsia="zh-CN"/>
        </w:rPr>
        <w:t>。</w:t>
      </w:r>
    </w:p>
    <w:p>
      <w:pPr>
        <w:ind w:firstLine="220" w:firstLineChars="100"/>
        <w:rPr>
          <w:rFonts w:hint="eastAsia" w:ascii="微软雅黑" w:hAnsi="微软雅黑" w:eastAsia="微软雅黑"/>
          <w:strike w:val="0"/>
          <w:dstrike w:val="0"/>
          <w:lang w:val="en-US" w:eastAsia="zh-CN"/>
        </w:rPr>
      </w:pPr>
      <w:r>
        <w:rPr>
          <w:rFonts w:hint="eastAsia" w:ascii="微软雅黑" w:hAnsi="微软雅黑" w:eastAsia="微软雅黑"/>
          <w:strike w:val="0"/>
          <w:dstrike w:val="0"/>
          <w:lang w:val="en-US" w:eastAsia="zh-CN"/>
        </w:rPr>
        <w:t>2. 运输方式，在保证货物安全的基础上由卖方确定，费用由卖方承担。</w:t>
      </w:r>
    </w:p>
    <w:p>
      <w:pPr>
        <w:ind w:firstLine="220" w:firstLineChars="100"/>
        <w:rPr>
          <w:rFonts w:hint="default" w:ascii="微软雅黑" w:hAnsi="微软雅黑" w:eastAsia="微软雅黑"/>
          <w:strike w:val="0"/>
          <w:dstrike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CF"/>
    <w:rsid w:val="0000572C"/>
    <w:rsid w:val="00015CC7"/>
    <w:rsid w:val="00055FDF"/>
    <w:rsid w:val="0009050D"/>
    <w:rsid w:val="000E7DCA"/>
    <w:rsid w:val="001323F9"/>
    <w:rsid w:val="001644CF"/>
    <w:rsid w:val="001B3054"/>
    <w:rsid w:val="001C0975"/>
    <w:rsid w:val="00223923"/>
    <w:rsid w:val="00255671"/>
    <w:rsid w:val="00291AC4"/>
    <w:rsid w:val="00296D9D"/>
    <w:rsid w:val="002A2EAC"/>
    <w:rsid w:val="002B756F"/>
    <w:rsid w:val="002D753E"/>
    <w:rsid w:val="002E2797"/>
    <w:rsid w:val="00316452"/>
    <w:rsid w:val="00335848"/>
    <w:rsid w:val="00367E0B"/>
    <w:rsid w:val="0037391E"/>
    <w:rsid w:val="00397269"/>
    <w:rsid w:val="004020A3"/>
    <w:rsid w:val="004077E1"/>
    <w:rsid w:val="004236F4"/>
    <w:rsid w:val="004D2468"/>
    <w:rsid w:val="005C1CC9"/>
    <w:rsid w:val="005C6578"/>
    <w:rsid w:val="0060078E"/>
    <w:rsid w:val="0069154A"/>
    <w:rsid w:val="006D5366"/>
    <w:rsid w:val="00706FF6"/>
    <w:rsid w:val="00723A5A"/>
    <w:rsid w:val="00753CBD"/>
    <w:rsid w:val="0076111A"/>
    <w:rsid w:val="00767FC6"/>
    <w:rsid w:val="0078770E"/>
    <w:rsid w:val="00834BD4"/>
    <w:rsid w:val="00852B10"/>
    <w:rsid w:val="00857686"/>
    <w:rsid w:val="008A30AE"/>
    <w:rsid w:val="008D107A"/>
    <w:rsid w:val="008F1C83"/>
    <w:rsid w:val="009824EA"/>
    <w:rsid w:val="009B54BE"/>
    <w:rsid w:val="009C2FD5"/>
    <w:rsid w:val="00A2514C"/>
    <w:rsid w:val="00A8052C"/>
    <w:rsid w:val="00AF5B72"/>
    <w:rsid w:val="00B10F50"/>
    <w:rsid w:val="00B15418"/>
    <w:rsid w:val="00B324F3"/>
    <w:rsid w:val="00B56245"/>
    <w:rsid w:val="00B56A52"/>
    <w:rsid w:val="00BE3C84"/>
    <w:rsid w:val="00C55808"/>
    <w:rsid w:val="00C61DB8"/>
    <w:rsid w:val="00C74A9D"/>
    <w:rsid w:val="00CE1FC9"/>
    <w:rsid w:val="00CF5864"/>
    <w:rsid w:val="00D50E01"/>
    <w:rsid w:val="00D71F6F"/>
    <w:rsid w:val="00E30386"/>
    <w:rsid w:val="00E53CCA"/>
    <w:rsid w:val="00E87CFE"/>
    <w:rsid w:val="00EF142B"/>
    <w:rsid w:val="00F22A9E"/>
    <w:rsid w:val="00FD2EA2"/>
    <w:rsid w:val="04110C75"/>
    <w:rsid w:val="0413669F"/>
    <w:rsid w:val="0A0C7A68"/>
    <w:rsid w:val="1B120817"/>
    <w:rsid w:val="1B6E555E"/>
    <w:rsid w:val="214749FB"/>
    <w:rsid w:val="21C51B44"/>
    <w:rsid w:val="25D6079F"/>
    <w:rsid w:val="2EF80E59"/>
    <w:rsid w:val="32A71932"/>
    <w:rsid w:val="420F697F"/>
    <w:rsid w:val="43827288"/>
    <w:rsid w:val="47065829"/>
    <w:rsid w:val="5C1E002B"/>
    <w:rsid w:val="5F9D5EDC"/>
    <w:rsid w:val="73EA06A3"/>
    <w:rsid w:val="759159FA"/>
    <w:rsid w:val="79DA45E5"/>
    <w:rsid w:val="7BBA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kern w:val="0"/>
      <w:sz w:val="22"/>
      <w:szCs w:val="22"/>
      <w:lang w:val="en-US" w:eastAsia="en-US" w:bidi="ar-SA"/>
    </w:rPr>
  </w:style>
  <w:style w:type="paragraph" w:styleId="3">
    <w:name w:val="heading 1"/>
    <w:basedOn w:val="1"/>
    <w:next w:val="1"/>
    <w:link w:val="21"/>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paragraph" w:styleId="4">
    <w:name w:val="heading 2"/>
    <w:basedOn w:val="1"/>
    <w:next w:val="1"/>
    <w:link w:val="15"/>
    <w:qFormat/>
    <w:uiPriority w:val="1"/>
    <w:pPr>
      <w:spacing w:line="479" w:lineRule="exact"/>
      <w:outlineLvl w:val="1"/>
    </w:pPr>
    <w:rPr>
      <w:rFonts w:ascii="Microsoft YaHei UI" w:hAnsi="Microsoft YaHei UI" w:eastAsia="Microsoft YaHei UI"/>
      <w:spacing w:val="2"/>
      <w:sz w:val="32"/>
      <w:szCs w:val="32"/>
      <w:lang w:eastAsia="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5">
    <w:name w:val="Body Text"/>
    <w:basedOn w:val="1"/>
    <w:link w:val="17"/>
    <w:qFormat/>
    <w:uiPriority w:val="1"/>
    <w:pPr>
      <w:ind w:firstLine="200" w:firstLineChars="200"/>
      <w:jc w:val="both"/>
    </w:pPr>
    <w:rPr>
      <w:rFonts w:ascii="Microsoft YaHei UI" w:hAnsi="Microsoft YaHei UI" w:eastAsia="Microsoft YaHei UI"/>
      <w:sz w:val="21"/>
      <w:szCs w:val="21"/>
    </w:rPr>
  </w:style>
  <w:style w:type="paragraph" w:styleId="6">
    <w:name w:val="toc 3"/>
    <w:basedOn w:val="1"/>
    <w:next w:val="1"/>
    <w:unhideWhenUsed/>
    <w:qFormat/>
    <w:uiPriority w:val="39"/>
    <w:pPr>
      <w:widowControl/>
      <w:spacing w:after="100" w:line="259" w:lineRule="auto"/>
      <w:ind w:left="440"/>
    </w:pPr>
    <w:rPr>
      <w:rFonts w:cs="Times New Roman"/>
      <w:lang w:eastAsia="zh-CN"/>
    </w:rPr>
  </w:style>
  <w:style w:type="paragraph" w:styleId="7">
    <w:name w:val="Balloon Text"/>
    <w:basedOn w:val="1"/>
    <w:link w:val="27"/>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pPr>
    <w:rPr>
      <w:rFonts w:cs="Times New Roman"/>
      <w:lang w:eastAsia="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2 Char"/>
    <w:basedOn w:val="13"/>
    <w:link w:val="4"/>
    <w:qFormat/>
    <w:uiPriority w:val="1"/>
    <w:rPr>
      <w:rFonts w:ascii="Microsoft YaHei UI" w:hAnsi="Microsoft YaHei UI" w:eastAsia="Microsoft YaHei UI"/>
      <w:spacing w:val="2"/>
      <w:kern w:val="0"/>
      <w:sz w:val="32"/>
      <w:szCs w:val="32"/>
    </w:rPr>
  </w:style>
  <w:style w:type="table" w:customStyle="1" w:styleId="16">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17">
    <w:name w:val="正文文本 Char"/>
    <w:basedOn w:val="13"/>
    <w:link w:val="5"/>
    <w:qFormat/>
    <w:uiPriority w:val="1"/>
    <w:rPr>
      <w:rFonts w:ascii="Microsoft YaHei UI" w:hAnsi="Microsoft YaHei UI" w:eastAsia="Microsoft YaHei UI"/>
      <w:kern w:val="0"/>
      <w:szCs w:val="21"/>
      <w:lang w:eastAsia="en-US"/>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Table Paragraph"/>
    <w:basedOn w:val="1"/>
    <w:qFormat/>
    <w:uiPriority w:val="1"/>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1">
    <w:name w:val="标题 1 Char"/>
    <w:basedOn w:val="13"/>
    <w:link w:val="3"/>
    <w:qFormat/>
    <w:uiPriority w:val="0"/>
    <w:rPr>
      <w:rFonts w:ascii="Times New Roman" w:hAnsi="Times New Roman" w:eastAsia="宋体" w:cs="Times New Roman"/>
      <w:b/>
      <w:bCs/>
      <w:kern w:val="44"/>
      <w:sz w:val="44"/>
      <w:szCs w:val="44"/>
      <w:lang w:val="zh-CN" w:eastAsia="zh-CN"/>
    </w:rPr>
  </w:style>
  <w:style w:type="paragraph" w:styleId="22">
    <w:name w:val="List Paragraph"/>
    <w:basedOn w:val="1"/>
    <w:qFormat/>
    <w:uiPriority w:val="34"/>
    <w:pPr>
      <w:ind w:firstLine="420" w:firstLineChars="200"/>
    </w:pPr>
  </w:style>
  <w:style w:type="paragraph" w:customStyle="1" w:styleId="23">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24">
    <w:name w:val="设计正文2"/>
    <w:basedOn w:val="1"/>
    <w:qFormat/>
    <w:uiPriority w:val="0"/>
    <w:pPr>
      <w:snapToGrid w:val="0"/>
      <w:spacing w:before="160" w:line="320" w:lineRule="atLeast"/>
      <w:jc w:val="both"/>
    </w:pPr>
    <w:rPr>
      <w:rFonts w:ascii="Times New Roman" w:hAnsi="Times New Roman" w:eastAsia="宋体" w:cs="Times New Roman"/>
      <w:kern w:val="2"/>
      <w:sz w:val="24"/>
      <w:szCs w:val="20"/>
      <w:lang w:eastAsia="zh-CN"/>
    </w:rPr>
  </w:style>
  <w:style w:type="character" w:customStyle="1" w:styleId="25">
    <w:name w:val="页眉 Char"/>
    <w:basedOn w:val="13"/>
    <w:link w:val="9"/>
    <w:qFormat/>
    <w:uiPriority w:val="99"/>
    <w:rPr>
      <w:kern w:val="0"/>
      <w:sz w:val="18"/>
      <w:szCs w:val="18"/>
      <w:lang w:eastAsia="en-US"/>
    </w:rPr>
  </w:style>
  <w:style w:type="character" w:customStyle="1" w:styleId="26">
    <w:name w:val="页脚 Char"/>
    <w:basedOn w:val="13"/>
    <w:link w:val="8"/>
    <w:qFormat/>
    <w:uiPriority w:val="99"/>
    <w:rPr>
      <w:kern w:val="0"/>
      <w:sz w:val="18"/>
      <w:szCs w:val="18"/>
      <w:lang w:eastAsia="en-US"/>
    </w:rPr>
  </w:style>
  <w:style w:type="character" w:customStyle="1" w:styleId="27">
    <w:name w:val="批注框文本 Char"/>
    <w:basedOn w:val="13"/>
    <w:link w:val="7"/>
    <w:semiHidden/>
    <w:qFormat/>
    <w:uiPriority w:val="99"/>
    <w:rPr>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344</Words>
  <Characters>1967</Characters>
  <Lines>16</Lines>
  <Paragraphs>4</Paragraphs>
  <TotalTime>0</TotalTime>
  <ScaleCrop>false</ScaleCrop>
  <LinksUpToDate>false</LinksUpToDate>
  <CharactersWithSpaces>2307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2019-08-21T07:58:00Z</dcterms:created>
  <dc:creator>王琴</dc:creator>
  <cp:lastModifiedBy>张光伟</cp:lastModifiedBy>
  <cp:lastPrinted>2019-09-24T03:20:00Z</cp:lastPrinted>
  <dcterms:modified xsi:type="dcterms:W3CDTF">2025-07-09T09:44:40Z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A8F81396670B42B985C1098FBDFAB9A6</vt:lpwstr>
  </property>
</Properties>
</file>