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6F57C">
      <w:pPr>
        <w:pStyle w:val="21"/>
        <w:spacing w:line="360" w:lineRule="auto"/>
        <w:jc w:val="center"/>
        <w:rPr>
          <w:rFonts w:hint="default" w:asciiTheme="minorEastAsia" w:hAnsiTheme="minorEastAsia" w:eastAsiaTheme="minorEastAsia" w:cstheme="minorEastAsia"/>
          <w:b/>
          <w:bCs/>
          <w:color w:val="auto"/>
          <w:sz w:val="52"/>
          <w:szCs w:val="52"/>
          <w:lang w:val="en-US" w:eastAsia="zh-CN"/>
        </w:rPr>
      </w:pPr>
      <w:r>
        <w:rPr>
          <w:rFonts w:hint="eastAsia" w:asciiTheme="minorEastAsia" w:hAnsiTheme="minorEastAsia" w:eastAsiaTheme="minorEastAsia" w:cstheme="minorEastAsia"/>
          <w:b/>
          <w:bCs/>
          <w:color w:val="auto"/>
          <w:sz w:val="52"/>
          <w:szCs w:val="52"/>
          <w:lang w:eastAsia="zh-CN"/>
        </w:rPr>
        <w:t>云南省玉溪工业财贸学校信息通信网络运行管理实训室建设</w:t>
      </w:r>
      <w:r>
        <w:rPr>
          <w:rFonts w:hint="eastAsia" w:asciiTheme="minorEastAsia" w:hAnsiTheme="minorEastAsia" w:eastAsiaTheme="minorEastAsia" w:cstheme="minorEastAsia"/>
          <w:b/>
          <w:bCs/>
          <w:color w:val="auto"/>
          <w:sz w:val="52"/>
          <w:szCs w:val="52"/>
          <w:lang w:val="en-US" w:eastAsia="zh-CN"/>
        </w:rPr>
        <w:t>采购项目</w:t>
      </w:r>
    </w:p>
    <w:p w14:paraId="67649BB8">
      <w:pPr>
        <w:pStyle w:val="21"/>
        <w:spacing w:line="360" w:lineRule="auto"/>
        <w:rPr>
          <w:rFonts w:hint="eastAsia" w:asciiTheme="minorEastAsia" w:hAnsiTheme="minorEastAsia" w:eastAsiaTheme="minorEastAsia" w:cstheme="minorEastAsia"/>
          <w:b/>
          <w:bCs/>
          <w:color w:val="auto"/>
          <w:sz w:val="32"/>
          <w:szCs w:val="32"/>
        </w:rPr>
      </w:pPr>
    </w:p>
    <w:p w14:paraId="19B6BD7C">
      <w:pPr>
        <w:pStyle w:val="21"/>
        <w:spacing w:line="360" w:lineRule="auto"/>
        <w:jc w:val="center"/>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rPr>
        <w:t>项目编号：</w:t>
      </w:r>
      <w:r>
        <w:rPr>
          <w:rFonts w:hint="eastAsia" w:asciiTheme="minorEastAsia" w:hAnsiTheme="minorEastAsia" w:eastAsiaTheme="minorEastAsia" w:cstheme="minorEastAsia"/>
          <w:b/>
          <w:bCs/>
          <w:color w:val="auto"/>
          <w:sz w:val="32"/>
          <w:szCs w:val="32"/>
          <w:lang w:eastAsia="zh-CN"/>
        </w:rPr>
        <w:t>WTZB-202511-002</w:t>
      </w:r>
    </w:p>
    <w:p w14:paraId="128FF725">
      <w:pPr>
        <w:pStyle w:val="21"/>
        <w:spacing w:line="360" w:lineRule="auto"/>
        <w:jc w:val="center"/>
        <w:rPr>
          <w:rFonts w:hint="eastAsia" w:asciiTheme="minorEastAsia" w:hAnsiTheme="minorEastAsia" w:eastAsiaTheme="minorEastAsia" w:cstheme="minorEastAsia"/>
          <w:b/>
          <w:bCs/>
          <w:color w:val="auto"/>
          <w:sz w:val="32"/>
          <w:szCs w:val="32"/>
        </w:rPr>
      </w:pPr>
    </w:p>
    <w:p w14:paraId="4DC422E2">
      <w:pPr>
        <w:pStyle w:val="21"/>
        <w:spacing w:line="360" w:lineRule="auto"/>
        <w:jc w:val="center"/>
        <w:rPr>
          <w:rFonts w:hint="eastAsia" w:asciiTheme="minorEastAsia" w:hAnsiTheme="minorEastAsia" w:eastAsiaTheme="minorEastAsia" w:cstheme="minorEastAsia"/>
          <w:b/>
          <w:bCs/>
          <w:color w:val="auto"/>
          <w:sz w:val="36"/>
          <w:szCs w:val="8"/>
        </w:rPr>
      </w:pPr>
    </w:p>
    <w:p w14:paraId="2FABEB7C">
      <w:pPr>
        <w:pStyle w:val="21"/>
        <w:spacing w:line="360" w:lineRule="auto"/>
        <w:jc w:val="center"/>
        <w:rPr>
          <w:rFonts w:hint="eastAsia" w:asciiTheme="minorEastAsia" w:hAnsiTheme="minorEastAsia" w:eastAsiaTheme="minorEastAsia" w:cstheme="minorEastAsia"/>
          <w:b/>
          <w:bCs/>
          <w:color w:val="auto"/>
          <w:sz w:val="84"/>
          <w:szCs w:val="84"/>
        </w:rPr>
      </w:pPr>
      <w:r>
        <w:rPr>
          <w:rFonts w:hint="eastAsia" w:asciiTheme="minorEastAsia" w:hAnsiTheme="minorEastAsia" w:eastAsiaTheme="minorEastAsia" w:cstheme="minorEastAsia"/>
          <w:b/>
          <w:bCs/>
          <w:color w:val="auto"/>
          <w:sz w:val="84"/>
          <w:szCs w:val="84"/>
        </w:rPr>
        <w:t>招标文件</w:t>
      </w:r>
    </w:p>
    <w:p w14:paraId="27069032">
      <w:pPr>
        <w:pStyle w:val="21"/>
        <w:spacing w:line="360" w:lineRule="auto"/>
        <w:jc w:val="center"/>
        <w:rPr>
          <w:rFonts w:hint="eastAsia" w:asciiTheme="minorEastAsia" w:hAnsiTheme="minorEastAsia" w:eastAsiaTheme="minorEastAsia" w:cstheme="minorEastAsia"/>
          <w:b/>
          <w:bCs/>
          <w:color w:val="auto"/>
          <w:sz w:val="32"/>
        </w:rPr>
      </w:pPr>
      <w:r>
        <w:rPr>
          <w:color w:val="auto"/>
        </w:rPr>
        <w:drawing>
          <wp:inline distT="0" distB="0" distL="114300" distR="114300">
            <wp:extent cx="2715895" cy="2549525"/>
            <wp:effectExtent l="0" t="0" r="8255" b="317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2715895" cy="2549525"/>
                    </a:xfrm>
                    <a:prstGeom prst="rect">
                      <a:avLst/>
                    </a:prstGeom>
                    <a:noFill/>
                    <a:ln>
                      <a:noFill/>
                    </a:ln>
                  </pic:spPr>
                </pic:pic>
              </a:graphicData>
            </a:graphic>
          </wp:inline>
        </w:drawing>
      </w:r>
    </w:p>
    <w:p w14:paraId="41D689A8">
      <w:pPr>
        <w:pStyle w:val="21"/>
        <w:spacing w:line="360" w:lineRule="auto"/>
        <w:jc w:val="center"/>
        <w:rPr>
          <w:rFonts w:hint="eastAsia" w:asciiTheme="minorEastAsia" w:hAnsiTheme="minorEastAsia" w:eastAsiaTheme="minorEastAsia" w:cstheme="minorEastAsia"/>
          <w:b/>
          <w:bCs/>
          <w:color w:val="auto"/>
          <w:sz w:val="32"/>
          <w:szCs w:val="32"/>
        </w:rPr>
      </w:pPr>
    </w:p>
    <w:p w14:paraId="5E6BD469">
      <w:pPr>
        <w:rPr>
          <w:color w:val="auto"/>
        </w:rPr>
      </w:pPr>
    </w:p>
    <w:p w14:paraId="69C0ACF0">
      <w:pPr>
        <w:pStyle w:val="21"/>
        <w:spacing w:line="360" w:lineRule="auto"/>
        <w:rPr>
          <w:rFonts w:hint="eastAsia" w:asciiTheme="minorEastAsia" w:hAnsiTheme="minorEastAsia" w:eastAsiaTheme="minorEastAsia" w:cstheme="minorEastAsia"/>
          <w:b/>
          <w:bCs/>
          <w:color w:val="auto"/>
          <w:sz w:val="28"/>
          <w:szCs w:val="28"/>
        </w:rPr>
      </w:pPr>
    </w:p>
    <w:p w14:paraId="48CCF870">
      <w:pPr>
        <w:pStyle w:val="21"/>
        <w:spacing w:line="360" w:lineRule="auto"/>
        <w:rPr>
          <w:rFonts w:hint="eastAsia" w:asciiTheme="minorEastAsia" w:hAnsiTheme="minorEastAsia" w:eastAsiaTheme="minorEastAsia" w:cstheme="minorEastAsia"/>
          <w:b/>
          <w:bCs/>
          <w:color w:val="auto"/>
          <w:sz w:val="28"/>
          <w:szCs w:val="28"/>
        </w:rPr>
      </w:pPr>
    </w:p>
    <w:p w14:paraId="1FB76980">
      <w:pPr>
        <w:pStyle w:val="21"/>
        <w:spacing w:line="360" w:lineRule="auto"/>
        <w:rPr>
          <w:rFonts w:hint="eastAsia" w:asciiTheme="minorEastAsia" w:hAnsiTheme="minorEastAsia" w:eastAsiaTheme="minorEastAsia" w:cstheme="minorEastAsia"/>
          <w:b/>
          <w:bCs/>
          <w:color w:val="auto"/>
          <w:sz w:val="32"/>
          <w:szCs w:val="32"/>
          <w:u w:val="single"/>
        </w:rPr>
      </w:pPr>
      <w:r>
        <w:rPr>
          <w:rFonts w:hint="eastAsia" w:asciiTheme="minorEastAsia" w:hAnsiTheme="minorEastAsia" w:eastAsiaTheme="minorEastAsia" w:cstheme="minorEastAsia"/>
          <w:b/>
          <w:bCs/>
          <w:color w:val="auto"/>
          <w:sz w:val="32"/>
          <w:szCs w:val="32"/>
        </w:rPr>
        <w:t>采   购   人：</w:t>
      </w:r>
      <w:r>
        <w:rPr>
          <w:rFonts w:hint="eastAsia" w:asciiTheme="minorEastAsia" w:hAnsiTheme="minorEastAsia" w:eastAsiaTheme="minorEastAsia" w:cstheme="minorEastAsia"/>
          <w:b/>
          <w:bCs/>
          <w:color w:val="auto"/>
          <w:sz w:val="32"/>
          <w:szCs w:val="32"/>
          <w:u w:val="single"/>
        </w:rPr>
        <w:t>云南省玉溪工业财贸学校</w:t>
      </w:r>
      <w:r>
        <w:rPr>
          <w:rFonts w:hint="eastAsia" w:asciiTheme="minorEastAsia" w:hAnsiTheme="minorEastAsia" w:eastAsiaTheme="minorEastAsia" w:cstheme="minorEastAsia"/>
          <w:b/>
          <w:bCs/>
          <w:color w:val="auto"/>
          <w:kern w:val="0"/>
          <w:sz w:val="32"/>
          <w:szCs w:val="32"/>
          <w:u w:val="single"/>
        </w:rPr>
        <w:t>(盖章)</w:t>
      </w:r>
    </w:p>
    <w:p w14:paraId="5A572612">
      <w:pPr>
        <w:pStyle w:val="21"/>
        <w:spacing w:line="360" w:lineRule="auto"/>
        <w:rPr>
          <w:rFonts w:hint="eastAsia" w:asciiTheme="minorEastAsia" w:hAnsiTheme="minorEastAsia" w:eastAsiaTheme="minorEastAsia" w:cstheme="minorEastAsia"/>
          <w:b/>
          <w:bCs/>
          <w:color w:val="auto"/>
          <w:sz w:val="32"/>
          <w:szCs w:val="32"/>
          <w:u w:val="single"/>
        </w:rPr>
      </w:pPr>
      <w:r>
        <w:rPr>
          <w:rFonts w:hint="eastAsia" w:asciiTheme="minorEastAsia" w:hAnsiTheme="minorEastAsia" w:eastAsiaTheme="minorEastAsia" w:cstheme="minorEastAsia"/>
          <w:b/>
          <w:bCs/>
          <w:color w:val="auto"/>
          <w:sz w:val="32"/>
          <w:szCs w:val="32"/>
        </w:rPr>
        <w:t>采购代理机构：</w:t>
      </w:r>
      <w:r>
        <w:rPr>
          <w:rFonts w:hint="eastAsia" w:asciiTheme="minorEastAsia" w:hAnsiTheme="minorEastAsia" w:eastAsiaTheme="minorEastAsia" w:cstheme="minorEastAsia"/>
          <w:b/>
          <w:bCs/>
          <w:color w:val="auto"/>
          <w:sz w:val="32"/>
          <w:szCs w:val="32"/>
          <w:u w:val="single"/>
        </w:rPr>
        <w:t>云南梧桐建设工程管理有限公司</w:t>
      </w:r>
      <w:r>
        <w:rPr>
          <w:rFonts w:hint="eastAsia" w:asciiTheme="minorEastAsia" w:hAnsiTheme="minorEastAsia" w:eastAsiaTheme="minorEastAsia" w:cstheme="minorEastAsia"/>
          <w:b/>
          <w:bCs/>
          <w:color w:val="auto"/>
          <w:kern w:val="0"/>
          <w:sz w:val="32"/>
          <w:szCs w:val="32"/>
          <w:u w:val="single"/>
        </w:rPr>
        <w:t>(盖章)</w:t>
      </w:r>
    </w:p>
    <w:p w14:paraId="5C5C60D2">
      <w:pPr>
        <w:pStyle w:val="21"/>
        <w:spacing w:line="360" w:lineRule="auto"/>
        <w:rPr>
          <w:rFonts w:hint="default" w:asciiTheme="minorEastAsia" w:hAnsiTheme="minorEastAsia" w:eastAsiaTheme="minorEastAsia" w:cstheme="minorEastAsia"/>
          <w:b/>
          <w:bCs/>
          <w:color w:val="auto"/>
          <w:sz w:val="28"/>
          <w:szCs w:val="28"/>
          <w:lang w:val="en-US" w:eastAsia="zh-CN"/>
        </w:rPr>
        <w:sectPr>
          <w:headerReference r:id="rId4" w:type="first"/>
          <w:headerReference r:id="rId3" w:type="default"/>
          <w:footerReference r:id="rId5" w:type="default"/>
          <w:pgSz w:w="11906" w:h="16838"/>
          <w:pgMar w:top="1247" w:right="1247" w:bottom="1247" w:left="1247" w:header="850" w:footer="992" w:gutter="0"/>
          <w:pgNumType w:start="0"/>
          <w:cols w:space="0" w:num="1"/>
          <w:titlePg/>
          <w:rtlGutter w:val="0"/>
          <w:docGrid w:type="lines" w:linePitch="319" w:charSpace="0"/>
        </w:sectPr>
      </w:pPr>
      <w:r>
        <w:rPr>
          <w:rFonts w:hint="eastAsia" w:asciiTheme="minorEastAsia" w:hAnsiTheme="minorEastAsia" w:eastAsiaTheme="minorEastAsia" w:cstheme="minorEastAsia"/>
          <w:b/>
          <w:bCs/>
          <w:color w:val="auto"/>
          <w:sz w:val="32"/>
          <w:szCs w:val="32"/>
        </w:rPr>
        <w:t>日期：2025年</w:t>
      </w:r>
      <w:r>
        <w:rPr>
          <w:rFonts w:hint="eastAsia" w:asciiTheme="minorEastAsia" w:hAnsiTheme="minorEastAsia" w:eastAsiaTheme="minorEastAsia" w:cstheme="minorEastAsia"/>
          <w:b/>
          <w:bCs/>
          <w:color w:val="auto"/>
          <w:sz w:val="32"/>
          <w:szCs w:val="32"/>
          <w:lang w:val="en-US" w:eastAsia="zh-CN"/>
        </w:rPr>
        <w:t>11</w:t>
      </w:r>
      <w:r>
        <w:rPr>
          <w:rFonts w:hint="eastAsia" w:asciiTheme="minorEastAsia" w:hAnsiTheme="minorEastAsia" w:eastAsiaTheme="minorEastAsia" w:cstheme="minorEastAsia"/>
          <w:b/>
          <w:bCs/>
          <w:color w:val="auto"/>
          <w:sz w:val="32"/>
          <w:szCs w:val="32"/>
        </w:rPr>
        <w:t>月</w:t>
      </w:r>
    </w:p>
    <w:p w14:paraId="5EFB41C9">
      <w:pPr>
        <w:pStyle w:val="21"/>
        <w:spacing w:line="240" w:lineRule="auto"/>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目  录</w:t>
      </w:r>
    </w:p>
    <w:p w14:paraId="29E2A1D1">
      <w:pPr>
        <w:pStyle w:val="2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Theme="minorEastAsia" w:hAnsiTheme="minorEastAsia" w:eastAsiaTheme="minorEastAsia" w:cstheme="minorEastAsia"/>
          <w:b/>
          <w:color w:val="auto"/>
          <w:sz w:val="36"/>
          <w:szCs w:val="36"/>
        </w:rPr>
        <w:fldChar w:fldCharType="begin"/>
      </w:r>
      <w:r>
        <w:rPr>
          <w:rFonts w:hint="eastAsia" w:asciiTheme="minorEastAsia" w:hAnsiTheme="minorEastAsia" w:eastAsiaTheme="minorEastAsia" w:cstheme="minorEastAsia"/>
          <w:b/>
          <w:color w:val="auto"/>
          <w:sz w:val="36"/>
          <w:szCs w:val="36"/>
        </w:rPr>
        <w:instrText xml:space="preserve">TOC \o "1-2" \h \u </w:instrText>
      </w:r>
      <w:r>
        <w:rPr>
          <w:rFonts w:hint="eastAsia" w:asciiTheme="minorEastAsia" w:hAnsiTheme="minorEastAsia" w:eastAsiaTheme="minorEastAsia" w:cstheme="minorEastAsia"/>
          <w:b/>
          <w:color w:val="auto"/>
          <w:sz w:val="36"/>
          <w:szCs w:val="36"/>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_Toc10278 </w:instrText>
      </w:r>
      <w:r>
        <w:rPr>
          <w:rFonts w:hint="eastAsia" w:ascii="宋体" w:hAnsi="宋体" w:eastAsia="宋体" w:cs="宋体"/>
          <w:color w:val="auto"/>
          <w:sz w:val="24"/>
          <w:szCs w:val="24"/>
        </w:rPr>
        <w:fldChar w:fldCharType="separate"/>
      </w:r>
      <w:r>
        <w:rPr>
          <w:rFonts w:hint="eastAsia" w:ascii="宋体" w:hAnsi="宋体" w:eastAsia="宋体" w:cs="宋体"/>
          <w:bCs/>
          <w:i w:val="0"/>
          <w:iCs w:val="0"/>
          <w:color w:val="auto"/>
          <w:kern w:val="44"/>
          <w:sz w:val="24"/>
          <w:szCs w:val="24"/>
        </w:rPr>
        <w:t>第一章  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_Toc10278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A548F7E">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_Toc22181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0"/>
          <w:sz w:val="24"/>
          <w:szCs w:val="24"/>
        </w:rPr>
        <w:t>一、项目基本情况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_Toc22181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FEAE43A">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_Toc22791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二、</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的资格要求：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_Toc22791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A04CF83">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_Toc9646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rPr>
        <w:t>三、获取招标文件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_Toc9646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31B0C53">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_Toc3071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四、提交投标文件截止时间、开标时间和地点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3B8593E">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_Toc23853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五、公告期限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_Toc23853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EC19B78">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_Toc25204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六、其他补充事宜</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_Toc25204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E629815">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_Toc6298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七、对本次招标提出询问，请按以下方式联系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_Toc6298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F960704">
      <w:pPr>
        <w:pStyle w:val="2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_Toc21222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44"/>
          <w:sz w:val="24"/>
          <w:szCs w:val="24"/>
        </w:rPr>
        <w:t xml:space="preserve">第二章  </w:t>
      </w:r>
      <w:r>
        <w:rPr>
          <w:rFonts w:hint="eastAsia" w:ascii="宋体" w:hAnsi="宋体" w:eastAsia="宋体" w:cs="宋体"/>
          <w:bCs/>
          <w:color w:val="auto"/>
          <w:kern w:val="44"/>
          <w:sz w:val="24"/>
          <w:szCs w:val="24"/>
          <w:lang w:eastAsia="zh-CN"/>
        </w:rPr>
        <w:t>供应商</w:t>
      </w:r>
      <w:r>
        <w:rPr>
          <w:rFonts w:hint="eastAsia" w:ascii="宋体" w:hAnsi="宋体" w:eastAsia="宋体" w:cs="宋体"/>
          <w:bCs/>
          <w:color w:val="auto"/>
          <w:kern w:val="44"/>
          <w:sz w:val="24"/>
          <w:szCs w:val="24"/>
        </w:rPr>
        <w:t>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_Toc21222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3AC2477">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_Toc16827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_Toc16827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770BCF5">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_Toc16442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一、总  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_Toc16442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DBA0923">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_Toc14131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二、招标文件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_Toc14131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3AEF750">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_Toc16535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三、投标文件的编制</w:t>
      </w:r>
      <w:bookmarkStart w:id="345" w:name="_GoBack"/>
      <w:bookmarkEnd w:id="345"/>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_Toc16535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7FD5690">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_Toc18542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四、投标文件的提交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_Toc18542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1DF46AC">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_Toc14353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五、开标与评标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_Toc14353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7E5C986">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_Toc14883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六、中标结果</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_Toc14883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8FFE849">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_Toc19884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七、其他事项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_Toc19884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FEB0792">
      <w:pPr>
        <w:pStyle w:val="2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_Toc24519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44"/>
          <w:sz w:val="24"/>
          <w:szCs w:val="24"/>
        </w:rPr>
        <w:t>第三章  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_Toc24519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06C090E">
      <w:pPr>
        <w:pStyle w:val="2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_Toc13698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第四章  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_Toc13698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752E336">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_Toc31135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一、投标报价一览表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_Toc31135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5FF6F29">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_Toc24848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二、投标文件商务部分格式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_Toc24848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50E4286">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_Toc17490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三、资格审查部分格式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_Toc17490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751D834">
      <w:pPr>
        <w:pStyle w:val="33"/>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_Toc15798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四、响应文件技术部分格式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_Toc15798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FEC73F9">
      <w:pPr>
        <w:pStyle w:val="2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_Toc24858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第五章  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_Toc24858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CAB3A1A">
      <w:pPr>
        <w:pStyle w:val="2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_Toc5208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第六章  资格评审标准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_Toc5208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D42FAE5">
      <w:pPr>
        <w:pStyle w:val="2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36"/>
          <w:szCs w:val="36"/>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_Toc28601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第七章  评标办法（综合评分法）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_Toc28601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r>
        <w:rPr>
          <w:rFonts w:hint="eastAsia" w:asciiTheme="minorEastAsia" w:hAnsiTheme="minorEastAsia" w:eastAsiaTheme="minorEastAsia" w:cstheme="minorEastAsia"/>
          <w:color w:val="auto"/>
          <w:szCs w:val="36"/>
        </w:rPr>
        <w:fldChar w:fldCharType="end"/>
      </w:r>
    </w:p>
    <w:p w14:paraId="13CBF8B2">
      <w:pPr>
        <w:pStyle w:val="20"/>
        <w:tabs>
          <w:tab w:val="right" w:leader="dot" w:pos="9353"/>
        </w:tabs>
        <w:ind w:left="630"/>
        <w:jc w:val="center"/>
        <w:outlineLvl w:val="0"/>
        <w:rPr>
          <w:rFonts w:hint="eastAsia" w:asciiTheme="minorEastAsia" w:hAnsiTheme="minorEastAsia" w:eastAsiaTheme="minorEastAsia" w:cstheme="minorEastAsia"/>
          <w:b/>
          <w:bCs/>
          <w:i w:val="0"/>
          <w:iCs w:val="0"/>
          <w:color w:val="auto"/>
          <w:kern w:val="44"/>
          <w:sz w:val="36"/>
        </w:rPr>
        <w:sectPr>
          <w:footerReference r:id="rId6" w:type="default"/>
          <w:pgSz w:w="11906" w:h="16838"/>
          <w:pgMar w:top="1247" w:right="1247" w:bottom="1247" w:left="1247" w:header="850" w:footer="992" w:gutter="0"/>
          <w:pgNumType w:fmt="decimal" w:start="1"/>
          <w:cols w:space="0" w:num="1"/>
          <w:rtlGutter w:val="0"/>
          <w:docGrid w:type="lines" w:linePitch="319" w:charSpace="0"/>
        </w:sectPr>
      </w:pPr>
      <w:bookmarkStart w:id="0" w:name="_Toc5719"/>
      <w:bookmarkStart w:id="1" w:name="_Toc3600"/>
    </w:p>
    <w:p w14:paraId="3B6D5F9F">
      <w:pPr>
        <w:pStyle w:val="20"/>
        <w:tabs>
          <w:tab w:val="right" w:leader="dot" w:pos="9353"/>
        </w:tabs>
        <w:ind w:left="630"/>
        <w:jc w:val="center"/>
        <w:outlineLvl w:val="0"/>
        <w:rPr>
          <w:rFonts w:hint="eastAsia" w:asciiTheme="minorEastAsia" w:hAnsiTheme="minorEastAsia" w:eastAsiaTheme="minorEastAsia" w:cstheme="minorEastAsia"/>
          <w:bCs/>
          <w:color w:val="auto"/>
          <w:sz w:val="36"/>
        </w:rPr>
      </w:pPr>
      <w:bookmarkStart w:id="2" w:name="_Toc10278"/>
      <w:r>
        <w:rPr>
          <w:rFonts w:hint="eastAsia" w:asciiTheme="minorEastAsia" w:hAnsiTheme="minorEastAsia" w:eastAsiaTheme="minorEastAsia" w:cstheme="minorEastAsia"/>
          <w:b/>
          <w:bCs/>
          <w:i w:val="0"/>
          <w:iCs w:val="0"/>
          <w:color w:val="auto"/>
          <w:kern w:val="44"/>
          <w:sz w:val="36"/>
        </w:rPr>
        <w:t>第一章  招标公告</w:t>
      </w:r>
      <w:bookmarkEnd w:id="0"/>
      <w:bookmarkEnd w:id="1"/>
      <w:bookmarkEnd w:id="2"/>
      <w:bookmarkStart w:id="3" w:name="_Hlk111045776"/>
    </w:p>
    <w:tbl>
      <w:tblPr>
        <w:tblStyle w:val="4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33"/>
      </w:tblGrid>
      <w:tr w14:paraId="3C2355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33" w:type="dxa"/>
            <w:tcBorders>
              <w:top w:val="outset" w:color="auto" w:sz="6" w:space="0"/>
              <w:left w:val="outset" w:color="auto" w:sz="6" w:space="0"/>
              <w:bottom w:val="outset" w:color="auto" w:sz="6" w:space="0"/>
              <w:right w:val="outset" w:color="auto" w:sz="6" w:space="0"/>
            </w:tcBorders>
            <w:vAlign w:val="center"/>
          </w:tcPr>
          <w:p w14:paraId="6DFA21EA">
            <w:pPr>
              <w:widowControl/>
              <w:spacing w:line="360" w:lineRule="auto"/>
              <w:ind w:firstLine="480" w:firstLineChars="200"/>
              <w:jc w:val="left"/>
              <w:rPr>
                <w:rFonts w:hint="eastAsia" w:ascii="宋体" w:hAnsi="宋体" w:eastAsia="宋体" w:cs="宋体"/>
                <w:color w:val="auto"/>
                <w:kern w:val="0"/>
                <w:sz w:val="24"/>
                <w:szCs w:val="24"/>
              </w:rPr>
            </w:pPr>
            <w:bookmarkStart w:id="4" w:name="_Hlk47538808"/>
            <w:r>
              <w:rPr>
                <w:rFonts w:hint="eastAsia" w:ascii="宋体" w:hAnsi="宋体" w:eastAsia="宋体" w:cs="宋体"/>
                <w:color w:val="auto"/>
                <w:kern w:val="0"/>
                <w:sz w:val="24"/>
                <w:szCs w:val="24"/>
              </w:rPr>
              <w:t>项目概况</w:t>
            </w:r>
          </w:p>
          <w:p w14:paraId="2FF3EEF7">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云南省玉溪工业财贸学校信息通信网络运行管理实训室建设采购项目</w:t>
            </w:r>
            <w:r>
              <w:rPr>
                <w:rFonts w:hint="eastAsia" w:ascii="宋体" w:hAnsi="宋体" w:eastAsia="宋体" w:cs="宋体"/>
                <w:color w:val="auto"/>
                <w:kern w:val="0"/>
                <w:sz w:val="24"/>
                <w:szCs w:val="24"/>
              </w:rPr>
              <w:t>的潜在</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应在政采云平台（https://www.zcygov.cn/），凭企业数字证书（CA）在网上获取招标文件，并于2025年</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28</w:t>
            </w:r>
            <w:r>
              <w:rPr>
                <w:rFonts w:hint="eastAsia" w:ascii="宋体" w:hAnsi="宋体" w:eastAsia="宋体" w:cs="宋体"/>
                <w:color w:val="auto"/>
                <w:kern w:val="0"/>
                <w:sz w:val="24"/>
                <w:szCs w:val="24"/>
              </w:rPr>
              <w:t>日09时00分（北京时间）前递交投标文件。</w:t>
            </w:r>
          </w:p>
        </w:tc>
      </w:tr>
    </w:tbl>
    <w:p w14:paraId="328ED69C">
      <w:pPr>
        <w:widowControl/>
        <w:spacing w:line="360" w:lineRule="auto"/>
        <w:ind w:firstLine="482" w:firstLineChars="200"/>
        <w:jc w:val="left"/>
        <w:outlineLvl w:val="1"/>
        <w:rPr>
          <w:rFonts w:hint="eastAsia" w:ascii="宋体" w:hAnsi="宋体" w:eastAsia="宋体" w:cs="宋体"/>
          <w:color w:val="auto"/>
          <w:kern w:val="0"/>
          <w:sz w:val="24"/>
          <w:szCs w:val="24"/>
        </w:rPr>
      </w:pPr>
      <w:bookmarkStart w:id="5" w:name="_Toc22181"/>
      <w:bookmarkStart w:id="6" w:name="_Toc21206"/>
      <w:bookmarkStart w:id="7" w:name="_Toc15358"/>
      <w:r>
        <w:rPr>
          <w:rFonts w:hint="eastAsia" w:ascii="宋体" w:hAnsi="宋体" w:eastAsia="宋体" w:cs="宋体"/>
          <w:b/>
          <w:bCs/>
          <w:color w:val="auto"/>
          <w:kern w:val="0"/>
          <w:sz w:val="24"/>
          <w:szCs w:val="24"/>
        </w:rPr>
        <w:t>一、项目基本情况</w:t>
      </w:r>
      <w:bookmarkEnd w:id="5"/>
      <w:bookmarkEnd w:id="6"/>
      <w:bookmarkEnd w:id="7"/>
    </w:p>
    <w:p w14:paraId="2CCBE1E2">
      <w:pPr>
        <w:widowControl/>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1.项目编号：</w:t>
      </w:r>
      <w:r>
        <w:rPr>
          <w:rFonts w:hint="eastAsia" w:ascii="宋体" w:hAnsi="宋体" w:eastAsia="宋体" w:cs="宋体"/>
          <w:color w:val="auto"/>
          <w:kern w:val="0"/>
          <w:sz w:val="24"/>
          <w:szCs w:val="24"/>
          <w:lang w:eastAsia="zh-CN"/>
        </w:rPr>
        <w:t>WTZB-202511-002</w:t>
      </w:r>
    </w:p>
    <w:p w14:paraId="24A57252">
      <w:pPr>
        <w:widowControl/>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2.项目名称：</w:t>
      </w:r>
      <w:r>
        <w:rPr>
          <w:rFonts w:hint="eastAsia" w:ascii="宋体" w:hAnsi="宋体" w:eastAsia="宋体" w:cs="宋体"/>
          <w:color w:val="auto"/>
          <w:kern w:val="0"/>
          <w:sz w:val="24"/>
          <w:szCs w:val="24"/>
          <w:lang w:eastAsia="zh-CN"/>
        </w:rPr>
        <w:t>云南省玉溪工业财贸学校信息通信网络运行管理实训室建设采购项目</w:t>
      </w:r>
    </w:p>
    <w:p w14:paraId="641E0C47">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3.预算总价（最高限价）：¥</w:t>
      </w:r>
      <w:r>
        <w:rPr>
          <w:rFonts w:hint="eastAsia" w:ascii="宋体" w:hAnsi="宋体" w:eastAsia="宋体" w:cs="宋体"/>
          <w:color w:val="auto"/>
          <w:kern w:val="0"/>
          <w:sz w:val="24"/>
          <w:szCs w:val="24"/>
          <w:lang w:val="en-US" w:eastAsia="zh-CN"/>
        </w:rPr>
        <w:t>978000</w:t>
      </w:r>
      <w:r>
        <w:rPr>
          <w:rFonts w:hint="eastAsia" w:ascii="宋体" w:hAnsi="宋体" w:eastAsia="宋体" w:cs="宋体"/>
          <w:color w:val="auto"/>
          <w:kern w:val="0"/>
          <w:sz w:val="24"/>
          <w:szCs w:val="24"/>
        </w:rPr>
        <w:t>.00元</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大写：人民币</w:t>
      </w:r>
      <w:r>
        <w:rPr>
          <w:rFonts w:hint="eastAsia" w:ascii="宋体" w:hAnsi="宋体" w:eastAsia="宋体" w:cs="宋体"/>
          <w:color w:val="auto"/>
          <w:kern w:val="0"/>
          <w:sz w:val="24"/>
          <w:szCs w:val="24"/>
          <w:lang w:val="en-US" w:eastAsia="zh-CN"/>
        </w:rPr>
        <w:t>玖拾柒万捌仟</w:t>
      </w:r>
      <w:r>
        <w:rPr>
          <w:rFonts w:hint="eastAsia" w:ascii="宋体" w:hAnsi="宋体" w:eastAsia="宋体" w:cs="宋体"/>
          <w:color w:val="auto"/>
          <w:kern w:val="0"/>
          <w:sz w:val="24"/>
          <w:szCs w:val="24"/>
          <w:lang w:eastAsia="zh-CN"/>
        </w:rPr>
        <w:t>元</w:t>
      </w:r>
      <w:r>
        <w:rPr>
          <w:rFonts w:hint="eastAsia" w:ascii="宋体" w:hAnsi="宋体" w:eastAsia="宋体" w:cs="宋体"/>
          <w:color w:val="auto"/>
          <w:kern w:val="0"/>
          <w:sz w:val="24"/>
          <w:szCs w:val="24"/>
        </w:rPr>
        <w:t>整</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p>
    <w:p w14:paraId="6FC9E22C">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4.采购需求：</w:t>
      </w:r>
    </w:p>
    <w:tbl>
      <w:tblPr>
        <w:tblStyle w:val="41"/>
        <w:tblW w:w="9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8"/>
        <w:gridCol w:w="626"/>
        <w:gridCol w:w="1989"/>
        <w:gridCol w:w="858"/>
        <w:gridCol w:w="906"/>
        <w:gridCol w:w="1780"/>
        <w:gridCol w:w="1698"/>
        <w:gridCol w:w="830"/>
      </w:tblGrid>
      <w:tr w14:paraId="5B3F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ADA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实训室名称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975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711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A26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B3A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ECE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预算单价/元</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79A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预算总价/元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8A6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503F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E92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信息通信网络运行管理实训室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06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40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信息通信网络实训装置</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32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C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9CE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89860.00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59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539160.00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CB90">
            <w:pPr>
              <w:jc w:val="center"/>
              <w:rPr>
                <w:rFonts w:hint="eastAsia" w:ascii="宋体" w:hAnsi="宋体" w:eastAsia="宋体" w:cs="宋体"/>
                <w:i w:val="0"/>
                <w:iCs w:val="0"/>
                <w:color w:val="auto"/>
                <w:sz w:val="24"/>
                <w:szCs w:val="24"/>
                <w:u w:val="none"/>
              </w:rPr>
            </w:pPr>
          </w:p>
        </w:tc>
      </w:tr>
      <w:tr w14:paraId="5989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11933">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BE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BD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双工位高性能工作站</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7F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81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1B5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25800.00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26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154800.00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AA5E">
            <w:pPr>
              <w:jc w:val="center"/>
              <w:rPr>
                <w:rFonts w:hint="eastAsia" w:ascii="宋体" w:hAnsi="宋体" w:eastAsia="宋体" w:cs="宋体"/>
                <w:i w:val="0"/>
                <w:iCs w:val="0"/>
                <w:color w:val="auto"/>
                <w:sz w:val="24"/>
                <w:szCs w:val="24"/>
                <w:u w:val="none"/>
              </w:rPr>
            </w:pPr>
          </w:p>
        </w:tc>
      </w:tr>
      <w:tr w14:paraId="34A6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1EC0">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4E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E6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虚拟化竞赛平台（一体化平台）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40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4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7C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171600.00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E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171600.00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FDF3">
            <w:pPr>
              <w:jc w:val="center"/>
              <w:rPr>
                <w:rFonts w:hint="eastAsia" w:ascii="宋体" w:hAnsi="宋体" w:eastAsia="宋体" w:cs="宋体"/>
                <w:i w:val="0"/>
                <w:iCs w:val="0"/>
                <w:color w:val="auto"/>
                <w:sz w:val="24"/>
                <w:szCs w:val="24"/>
                <w:u w:val="none"/>
              </w:rPr>
            </w:pPr>
          </w:p>
        </w:tc>
      </w:tr>
      <w:tr w14:paraId="09FF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97693">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58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3E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专业网络测试仪</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48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FD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AC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65800.00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31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65800.00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4913">
            <w:pPr>
              <w:jc w:val="center"/>
              <w:rPr>
                <w:rFonts w:hint="eastAsia" w:ascii="宋体" w:hAnsi="宋体" w:eastAsia="宋体" w:cs="宋体"/>
                <w:i w:val="0"/>
                <w:iCs w:val="0"/>
                <w:color w:val="auto"/>
                <w:sz w:val="24"/>
                <w:szCs w:val="24"/>
                <w:u w:val="none"/>
              </w:rPr>
            </w:pPr>
          </w:p>
        </w:tc>
      </w:tr>
      <w:tr w14:paraId="40CC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F79EC">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AB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27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数据中心布线仿真教学平台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0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5D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2E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28000.00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00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28000.00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ED97">
            <w:pPr>
              <w:jc w:val="center"/>
              <w:rPr>
                <w:rFonts w:hint="eastAsia" w:ascii="宋体" w:hAnsi="宋体" w:eastAsia="宋体" w:cs="宋体"/>
                <w:i w:val="0"/>
                <w:iCs w:val="0"/>
                <w:color w:val="auto"/>
                <w:sz w:val="24"/>
                <w:szCs w:val="24"/>
                <w:u w:val="none"/>
              </w:rPr>
            </w:pPr>
          </w:p>
        </w:tc>
      </w:tr>
      <w:tr w14:paraId="3F4C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634E">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A7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05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教学展板</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B7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3E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3F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5D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035A">
            <w:pPr>
              <w:jc w:val="center"/>
              <w:rPr>
                <w:rFonts w:hint="eastAsia" w:ascii="宋体" w:hAnsi="宋体" w:eastAsia="宋体" w:cs="宋体"/>
                <w:i w:val="0"/>
                <w:iCs w:val="0"/>
                <w:color w:val="auto"/>
                <w:sz w:val="24"/>
                <w:szCs w:val="24"/>
                <w:u w:val="none"/>
              </w:rPr>
            </w:pPr>
          </w:p>
        </w:tc>
      </w:tr>
      <w:tr w14:paraId="7973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8988">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54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E7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5D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A2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3C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BC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15000.00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6F68">
            <w:pPr>
              <w:jc w:val="center"/>
              <w:rPr>
                <w:rFonts w:hint="eastAsia" w:ascii="宋体" w:hAnsi="宋体" w:eastAsia="宋体" w:cs="宋体"/>
                <w:i w:val="0"/>
                <w:iCs w:val="0"/>
                <w:color w:val="auto"/>
                <w:sz w:val="24"/>
                <w:szCs w:val="24"/>
                <w:u w:val="none"/>
              </w:rPr>
            </w:pPr>
          </w:p>
        </w:tc>
      </w:tr>
      <w:tr w14:paraId="36C7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72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F9C4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4DE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¥978,000.00</w:t>
            </w:r>
          </w:p>
        </w:tc>
      </w:tr>
      <w:tr w14:paraId="2428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F2BF25">
            <w:pPr>
              <w:spacing w:line="24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注：1.供应商须对所有项目内容进行报价，必须对所有品目进行响应，不得有缺漏。</w:t>
            </w:r>
          </w:p>
          <w:p w14:paraId="0DCBDFBB">
            <w:pPr>
              <w:spacing w:line="24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2.报价应包含完成本次采购所有标的内容的费用，包含设备及所需附件、包装、运费、安装调试、税费、资料、质保期内维护、保养、维修等的全部费用。</w:t>
            </w:r>
          </w:p>
          <w:p w14:paraId="3394C73D">
            <w:pPr>
              <w:spacing w:line="24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3.不能在报价之外还有其他费用出现。</w:t>
            </w:r>
          </w:p>
          <w:p w14:paraId="582AFEB8">
            <w:pPr>
              <w:spacing w:line="240" w:lineRule="auto"/>
              <w:jc w:val="left"/>
              <w:rPr>
                <w:rFonts w:hint="eastAsia" w:ascii="宋体" w:hAnsi="宋体" w:eastAsia="宋体" w:cs="宋体"/>
                <w:i w:val="0"/>
                <w:iCs w:val="0"/>
                <w:color w:val="auto"/>
                <w:kern w:val="0"/>
                <w:szCs w:val="24"/>
                <w:u w:val="none"/>
                <w:lang w:val="en-US" w:eastAsia="zh-CN" w:bidi="ar"/>
              </w:rPr>
            </w:pPr>
            <w:r>
              <w:rPr>
                <w:rFonts w:hint="eastAsia" w:ascii="宋体" w:hAnsi="宋体" w:eastAsia="宋体" w:cs="宋体"/>
                <w:color w:val="auto"/>
                <w:kern w:val="0"/>
                <w:sz w:val="24"/>
                <w:szCs w:val="24"/>
                <w:lang w:val="en-US" w:eastAsia="zh-CN"/>
              </w:rPr>
              <w:t>4.具体内容详见</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第五章</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lang w:val="en-US" w:eastAsia="zh-CN"/>
              </w:rPr>
              <w:t>采购需求</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t>
            </w:r>
          </w:p>
        </w:tc>
      </w:tr>
    </w:tbl>
    <w:p w14:paraId="0D46B58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5.合同履行期限：自双方签订合同之日起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30个日历天内完成供货和安装调试</w:t>
      </w:r>
      <w:r>
        <w:rPr>
          <w:rFonts w:hint="eastAsia" w:ascii="宋体" w:hAnsi="宋体" w:eastAsia="宋体" w:cs="宋体"/>
          <w:color w:val="auto"/>
          <w:sz w:val="24"/>
          <w:szCs w:val="24"/>
          <w:lang w:val="en-US" w:eastAsia="zh-CN"/>
        </w:rPr>
        <w:t>验收合格</w:t>
      </w:r>
      <w:r>
        <w:rPr>
          <w:rFonts w:hint="eastAsia" w:ascii="宋体" w:hAnsi="宋体" w:eastAsia="宋体" w:cs="宋体"/>
          <w:color w:val="auto"/>
          <w:sz w:val="24"/>
          <w:szCs w:val="24"/>
        </w:rPr>
        <w:t>并交付使用。</w:t>
      </w:r>
    </w:p>
    <w:p w14:paraId="1C21258F">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6.本项目（不）接受联合体投标。</w:t>
      </w:r>
    </w:p>
    <w:p w14:paraId="3EAA9426">
      <w:pPr>
        <w:spacing w:line="480" w:lineRule="exact"/>
        <w:outlineLvl w:val="1"/>
        <w:rPr>
          <w:rFonts w:hint="eastAsia" w:ascii="宋体" w:hAnsi="宋体" w:eastAsia="宋体" w:cs="宋体"/>
          <w:b/>
          <w:bCs/>
          <w:color w:val="auto"/>
          <w:sz w:val="24"/>
          <w:szCs w:val="24"/>
        </w:rPr>
      </w:pPr>
      <w:bookmarkStart w:id="8" w:name="_Toc14850"/>
      <w:bookmarkStart w:id="9" w:name="_Toc26145"/>
      <w:bookmarkStart w:id="10" w:name="_Toc22791"/>
      <w:r>
        <w:rPr>
          <w:rFonts w:hint="eastAsia" w:ascii="宋体" w:hAnsi="宋体" w:eastAsia="宋体" w:cs="宋体"/>
          <w:b/>
          <w:bCs/>
          <w:color w:val="auto"/>
          <w:sz w:val="24"/>
          <w:szCs w:val="24"/>
        </w:rPr>
        <w:t>二、</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的资格要求：</w:t>
      </w:r>
      <w:bookmarkEnd w:id="8"/>
      <w:bookmarkEnd w:id="9"/>
      <w:bookmarkEnd w:id="10"/>
    </w:p>
    <w:p w14:paraId="31024E4C">
      <w:pPr>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（一）满足《中华人民共和国政府采购法》第二十二条规定，提供下列资料：</w:t>
      </w:r>
    </w:p>
    <w:p w14:paraId="408280F1">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z w:val="24"/>
          <w:szCs w:val="24"/>
        </w:rPr>
        <w:t>具有独立承担民事责任的能力（提供有效的营业执照或其他组织证明或自然人身份证明）；</w:t>
      </w:r>
    </w:p>
    <w:p w14:paraId="69997464">
      <w:pPr>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rPr>
        <w:t>具有良好的商业信誉和健全的财务会计制度（提供2022年至今任意一年的财务报表或经第三方审计的财务报告（包括资产负债表、现金流量表、利润表或损益表及会计报表附注），2025年1月以后成立的提供成立至本项目公告发布前一个月的财务报表或开户银行出具的资信证明或资金存款证明）</w:t>
      </w:r>
      <w:r>
        <w:rPr>
          <w:rFonts w:hint="eastAsia" w:ascii="宋体" w:hAnsi="宋体" w:eastAsia="宋体" w:cs="宋体"/>
          <w:color w:val="auto"/>
          <w:sz w:val="24"/>
          <w:szCs w:val="24"/>
          <w:lang w:eastAsia="zh-CN"/>
        </w:rPr>
        <w:t>；</w:t>
      </w:r>
    </w:p>
    <w:p w14:paraId="3F130E2C">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rPr>
        <w:t>具有履行合同所必需的设备和专业技术能力（提供相关证明材料或承诺）；</w:t>
      </w:r>
    </w:p>
    <w:p w14:paraId="591392C3">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hint="eastAsia" w:ascii="宋体" w:hAnsi="宋体" w:eastAsia="宋体" w:cs="宋体"/>
          <w:color w:val="auto"/>
          <w:sz w:val="24"/>
          <w:szCs w:val="24"/>
        </w:rPr>
        <w:t>有依法缴纳税收和社会保障资金的良好记录（提供2024年6月至采购截止时间前任意3个月依法缴纳税收和缴纳社会保障资金的证明（新成立公司提供已有资料，如依法免税或不需要缴纳社会保障资金的，应提供相应文件证明）；</w:t>
      </w:r>
    </w:p>
    <w:p w14:paraId="5EF22871">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z w:val="24"/>
          <w:szCs w:val="24"/>
        </w:rPr>
        <w:t>参加政府采购活动前三年内，在经营活动中没有重大违法记录（提供书面声明）；</w:t>
      </w:r>
    </w:p>
    <w:p w14:paraId="0B065C95">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6.法律、行政法规规定的其他条件。</w:t>
      </w:r>
    </w:p>
    <w:p w14:paraId="0E1A785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（1）单位负责人为同一人或者存在直接控股、管理关系的不同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，不得参加同一合同项下的政府采购活动。为采购项目提供整体设计、规范编制或者项目管理、监理、检测等服务的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，不</w:t>
      </w:r>
      <w:r>
        <w:rPr>
          <w:rFonts w:hint="eastAsia" w:ascii="宋体" w:hAnsi="宋体" w:eastAsia="宋体" w:cs="宋体"/>
          <w:color w:val="auto"/>
          <w:sz w:val="24"/>
          <w:szCs w:val="24"/>
        </w:rPr>
        <w:t>得再参加该采购项目的其他采购活动。</w:t>
      </w:r>
    </w:p>
    <w:p w14:paraId="2886EAD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不得被“信用中国”网站（www.creditchina.gov.cn）列入失信被执行人或重大税收违法失信主体名单、不得为“中国政府采购网”（www.ccgp.gov.cn）政府采购严重违法失信行为记录名单中被财政部门禁止参加政府采购活动的供应商（处罚决定规定的时间和地域范围内）（信誉查询时间截点：本项目采购公告发布之日起至响应文件递交截止时间止。代理机构在响应文件递交截止时间止对潜在供应商信誉情况进行查询，并交由评标委员会进行复核评审）。</w:t>
      </w:r>
      <w:r>
        <w:rPr>
          <w:rFonts w:hint="eastAsia" w:ascii="宋体" w:hAnsi="宋体" w:eastAsia="宋体" w:cs="宋体"/>
          <w:color w:val="auto"/>
          <w:sz w:val="24"/>
          <w:szCs w:val="24"/>
        </w:rPr>
        <w:t>截止时间止对潜在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信誉情况进行查询，并交由评标委员会进行复核评审）。</w:t>
      </w:r>
    </w:p>
    <w:p w14:paraId="5AEBCFAF">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（二）落实政府采购政策需满足的资格要求：</w:t>
      </w:r>
    </w:p>
    <w:p w14:paraId="238B526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型企业采购，根据《关于进一步加大政府采购支持中小企业力度的通知》（财库〔2022〕19号），不再执行价格评审优惠的扶持政策，监狱企业及残疾人福利性单位视同小微企业。根据《关于印发中小企业划型标准规定的通知》（工信部联企业〔2011〕300号）文件规定的划分标准，本项目对应的中小企业划分标准所属行业为：</w:t>
      </w:r>
      <w:r>
        <w:rPr>
          <w:rFonts w:hint="eastAsia" w:ascii="宋体" w:hAnsi="宋体" w:eastAsia="宋体" w:cs="宋体"/>
          <w:color w:val="auto"/>
          <w:sz w:val="24"/>
          <w:szCs w:val="24"/>
        </w:rPr>
        <w:t>工业。</w:t>
      </w:r>
    </w:p>
    <w:p w14:paraId="32E50D7D">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（三）本项目特定资格要求：无</w:t>
      </w:r>
    </w:p>
    <w:p w14:paraId="1843469C">
      <w:pPr>
        <w:spacing w:line="360" w:lineRule="auto"/>
        <w:outlineLvl w:val="1"/>
        <w:rPr>
          <w:rFonts w:hint="eastAsia" w:ascii="宋体" w:hAnsi="宋体" w:eastAsia="宋体" w:cs="宋体"/>
          <w:b/>
          <w:bCs/>
          <w:color w:val="auto"/>
          <w:sz w:val="24"/>
          <w:szCs w:val="24"/>
        </w:rPr>
      </w:pPr>
      <w:bookmarkStart w:id="11" w:name="_Toc25585"/>
      <w:bookmarkStart w:id="12" w:name="_Toc9646"/>
      <w:bookmarkStart w:id="13" w:name="_Toc8228"/>
      <w:r>
        <w:rPr>
          <w:rFonts w:hint="eastAsia" w:ascii="宋体" w:hAnsi="宋体" w:eastAsia="宋体" w:cs="宋体"/>
          <w:b/>
          <w:bCs/>
          <w:color w:val="auto"/>
          <w:sz w:val="24"/>
          <w:szCs w:val="24"/>
        </w:rPr>
        <w:t>三、获取招标文件</w:t>
      </w:r>
      <w:bookmarkEnd w:id="11"/>
      <w:bookmarkEnd w:id="12"/>
      <w:bookmarkEnd w:id="13"/>
    </w:p>
    <w:p w14:paraId="67F88C1C">
      <w:pPr>
        <w:adjustRightInd w:val="0"/>
        <w:snapToGrid w:val="0"/>
        <w:spacing w:line="360" w:lineRule="auto"/>
        <w:ind w:firstLine="480" w:firstLineChars="200"/>
        <w:rPr>
          <w:rFonts w:hint="eastAsia" w:ascii="宋体" w:hAnsi="宋体" w:eastAsia="宋体" w:cs="宋体"/>
          <w:color w:val="auto"/>
          <w:sz w:val="24"/>
          <w:szCs w:val="24"/>
        </w:rPr>
      </w:pPr>
      <w:bookmarkStart w:id="14" w:name="_Toc28359082"/>
      <w:r>
        <w:rPr>
          <w:rFonts w:hint="eastAsia" w:ascii="宋体" w:hAnsi="宋体" w:eastAsia="宋体" w:cs="宋体"/>
          <w:color w:val="auto"/>
          <w:sz w:val="24"/>
          <w:szCs w:val="24"/>
        </w:rPr>
        <w:t>1.时间：2025年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日起至2025年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日每天上午0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：00-12：00，下午12：00-23：59时（北京时间，法定节假日除外）。</w:t>
      </w:r>
    </w:p>
    <w:p w14:paraId="45240C4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2.地点：政采云平台（https://www.zcygov.cn/）线上获取。</w:t>
      </w:r>
    </w:p>
    <w:p w14:paraId="12F7CE2C">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方式：①凡有意参加投标者，须在政采云平台办理数字证书（CA），并在政采云绑定数字证书（CA）后线上获取采购文件及其它采购资料。CA申领链接https://middle.zcygov.cn/ca/apply/list?_app_=zcy.sys，CA申领后需登陆政采云平台完成数字证书（CA）绑定才可以使用，数字证书（CA）详见其办理流程。</w:t>
      </w:r>
    </w:p>
    <w:p w14:paraId="47AD214F">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②按上述要求获取文件的供应商视为合法获取了本项目采购文件，具备本项目的投标资格。</w:t>
      </w:r>
    </w:p>
    <w:p w14:paraId="57E3BDCC">
      <w:pPr>
        <w:pStyle w:val="17"/>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56F51CBD">
      <w:pPr>
        <w:spacing w:line="480" w:lineRule="exact"/>
        <w:outlineLvl w:val="1"/>
        <w:rPr>
          <w:rFonts w:hint="eastAsia" w:ascii="宋体" w:hAnsi="宋体" w:eastAsia="宋体" w:cs="宋体"/>
          <w:b/>
          <w:bCs/>
          <w:color w:val="auto"/>
          <w:sz w:val="24"/>
          <w:szCs w:val="24"/>
        </w:rPr>
      </w:pPr>
      <w:bookmarkStart w:id="15" w:name="_Toc2045"/>
      <w:bookmarkStart w:id="16" w:name="_Toc3071"/>
      <w:bookmarkStart w:id="17" w:name="_Toc27590"/>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"http:///" </w:instrText>
      </w:r>
      <w:r>
        <w:rPr>
          <w:rFonts w:hint="eastAsia" w:ascii="宋体" w:hAnsi="宋体" w:eastAsia="宋体" w:cs="宋体"/>
          <w:b/>
          <w:bCs/>
          <w:color w:val="auto"/>
          <w:sz w:val="24"/>
          <w:szCs w:val="24"/>
        </w:rPr>
        <w:fldChar w:fldCharType="separate"/>
      </w:r>
      <w:bookmarkEnd w:id="14"/>
      <w:r>
        <w:rPr>
          <w:rFonts w:hint="eastAsia" w:ascii="宋体" w:hAnsi="宋体" w:eastAsia="宋体" w:cs="宋体"/>
          <w:b/>
          <w:bCs/>
          <w:color w:val="auto"/>
          <w:sz w:val="24"/>
          <w:szCs w:val="24"/>
        </w:rPr>
        <w:fldChar w:fldCharType="end"/>
      </w:r>
      <w:bookmarkStart w:id="18" w:name="_Toc28359005"/>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"http:///" </w:instrText>
      </w:r>
      <w:r>
        <w:rPr>
          <w:rFonts w:hint="eastAsia" w:ascii="宋体" w:hAnsi="宋体" w:eastAsia="宋体" w:cs="宋体"/>
          <w:b/>
          <w:bCs/>
          <w:color w:val="auto"/>
          <w:sz w:val="24"/>
          <w:szCs w:val="24"/>
        </w:rPr>
        <w:fldChar w:fldCharType="separate"/>
      </w:r>
      <w:bookmarkEnd w:id="18"/>
      <w:r>
        <w:rPr>
          <w:rFonts w:hint="eastAsia" w:ascii="宋体" w:hAnsi="宋体" w:eastAsia="宋体" w:cs="宋体"/>
          <w:b/>
          <w:bCs/>
          <w:color w:val="auto"/>
          <w:sz w:val="24"/>
          <w:szCs w:val="24"/>
        </w:rPr>
        <w:fldChar w:fldCharType="end"/>
      </w:r>
      <w:bookmarkStart w:id="19" w:name="_Toc35393624"/>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"http:///" </w:instrText>
      </w:r>
      <w:r>
        <w:rPr>
          <w:rFonts w:hint="eastAsia" w:ascii="宋体" w:hAnsi="宋体" w:eastAsia="宋体" w:cs="宋体"/>
          <w:b/>
          <w:bCs/>
          <w:color w:val="auto"/>
          <w:sz w:val="24"/>
          <w:szCs w:val="24"/>
        </w:rPr>
        <w:fldChar w:fldCharType="separate"/>
      </w:r>
      <w:bookmarkEnd w:id="19"/>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四、提交投标文件截止时间、开标时间和地点</w:t>
      </w:r>
      <w:bookmarkEnd w:id="15"/>
      <w:bookmarkEnd w:id="16"/>
      <w:bookmarkEnd w:id="17"/>
    </w:p>
    <w:p w14:paraId="145C7281">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1.投标文件递交截止时间及开标时间：2025年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日09时00分（北京时间）。</w:t>
      </w:r>
    </w:p>
    <w:p w14:paraId="39A16B4C">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2.投标文件递交地点及开标地点：请登录政采云平台（https://www.zcygov.cn/）投标客户端投标。</w:t>
      </w:r>
    </w:p>
    <w:p w14:paraId="009E1170">
      <w:pPr>
        <w:spacing w:line="480" w:lineRule="exact"/>
        <w:outlineLvl w:val="1"/>
        <w:rPr>
          <w:rFonts w:hint="eastAsia" w:ascii="宋体" w:hAnsi="宋体" w:eastAsia="宋体" w:cs="宋体"/>
          <w:b/>
          <w:bCs/>
          <w:color w:val="auto"/>
          <w:sz w:val="24"/>
          <w:szCs w:val="24"/>
        </w:rPr>
      </w:pPr>
      <w:bookmarkStart w:id="20" w:name="_Toc23853"/>
      <w:bookmarkStart w:id="21" w:name="_Toc13758"/>
      <w:bookmarkStart w:id="22" w:name="_Toc29453"/>
      <w:r>
        <w:rPr>
          <w:rFonts w:hint="eastAsia" w:ascii="宋体" w:hAnsi="宋体" w:eastAsia="宋体" w:cs="宋体"/>
          <w:b/>
          <w:bCs/>
          <w:color w:val="auto"/>
          <w:sz w:val="24"/>
          <w:szCs w:val="24"/>
        </w:rPr>
        <w:t>五、公告期限</w:t>
      </w:r>
      <w:bookmarkEnd w:id="20"/>
      <w:bookmarkEnd w:id="21"/>
      <w:bookmarkEnd w:id="22"/>
    </w:p>
    <w:p w14:paraId="4B0FAC7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14:paraId="5966D2B5">
      <w:pPr>
        <w:spacing w:line="360" w:lineRule="auto"/>
        <w:outlineLvl w:val="1"/>
        <w:rPr>
          <w:rFonts w:hint="eastAsia" w:ascii="宋体" w:hAnsi="宋体" w:eastAsia="宋体" w:cs="宋体"/>
          <w:b/>
          <w:bCs/>
          <w:color w:val="auto"/>
          <w:sz w:val="24"/>
          <w:szCs w:val="24"/>
        </w:rPr>
      </w:pPr>
      <w:bookmarkStart w:id="23" w:name="_Toc35393626"/>
      <w:bookmarkStart w:id="24" w:name="_Toc22820"/>
      <w:bookmarkStart w:id="25" w:name="_Toc25204"/>
      <w:bookmarkStart w:id="26" w:name="_Toc8318"/>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"http:///" </w:instrText>
      </w:r>
      <w:r>
        <w:rPr>
          <w:rFonts w:hint="eastAsia" w:ascii="宋体" w:hAnsi="宋体" w:eastAsia="宋体" w:cs="宋体"/>
          <w:b/>
          <w:bCs/>
          <w:color w:val="auto"/>
          <w:sz w:val="24"/>
          <w:szCs w:val="24"/>
        </w:rPr>
        <w:fldChar w:fldCharType="separate"/>
      </w:r>
      <w:bookmarkEnd w:id="23"/>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六、其他补充事宜</w:t>
      </w:r>
      <w:bookmarkEnd w:id="24"/>
      <w:bookmarkEnd w:id="25"/>
      <w:bookmarkEnd w:id="26"/>
    </w:p>
    <w:p w14:paraId="183C3EE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1.开标方式：网上开标</w:t>
      </w:r>
    </w:p>
    <w:p w14:paraId="169ED3B5">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是否需要缴纳</w:t>
      </w:r>
      <w:r>
        <w:rPr>
          <w:rFonts w:hint="eastAsia" w:ascii="宋体" w:hAnsi="宋体" w:eastAsia="宋体" w:cs="宋体"/>
          <w:color w:val="auto"/>
          <w:kern w:val="2"/>
          <w:sz w:val="24"/>
          <w:szCs w:val="24"/>
          <w:lang w:val="en-US" w:eastAsia="zh-CN" w:bidi="ar-SA"/>
        </w:rPr>
        <w:t>投标保证金：是</w:t>
      </w:r>
    </w:p>
    <w:p w14:paraId="522AA110">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投标保证金金额：10000.00元</w:t>
      </w:r>
    </w:p>
    <w:p w14:paraId="71CFFC23">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云南省发展和改革委员会等部门关于鼓励减免政府投资项目投标保证金的通知》（云发改交易管理〔2023〕397号），政府投资项目进行招标投标活动时，减免投标保证金，降幅不得低于现收取数额的50%的要求。本项目投标保证金降幅严格按照要求执行。</w:t>
      </w:r>
    </w:p>
    <w:p w14:paraId="1475DDC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保证金缴纳方式：支票、汇票、本票、保函、银行转账、保证保险等非现金形式。</w:t>
      </w:r>
    </w:p>
    <w:p w14:paraId="6B9D50C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保证金缴纳截止时间：同开标截止时间</w:t>
      </w:r>
    </w:p>
    <w:p w14:paraId="5ED83A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2.开户信息</w:t>
      </w:r>
    </w:p>
    <w:p w14:paraId="54B3500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户名：云南梧桐建设工程管理有限公司</w:t>
      </w:r>
    </w:p>
    <w:p w14:paraId="0BADB9A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开户行：兴业银行昆明小康大道支行</w:t>
      </w:r>
    </w:p>
    <w:p w14:paraId="7EBF87C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账户：471220100100090072</w:t>
      </w:r>
    </w:p>
    <w:p w14:paraId="53E1F89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3.投标文件的递交</w:t>
      </w:r>
    </w:p>
    <w:p w14:paraId="23B6669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网上递交：网上递交网址为政采云平台（https://www.zcygov.cn/），各供应商应在开标前应确保成为政采云平台供应商，并完成CA数字证书申领。因未注册入库、未办理CA数字证书等原因造成无法投标或投标失败等后果由供应商自行承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须在投标截止时间前完成所有投标文件的上传，投标截止时间前未完成投标文件上传的，视为撤回投标文件。若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4A55329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注：任何因忽视或误解而导致投标文件未上传或已上传但未按规定的操作流程及时间要求进行解密的，由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自行负责。</w:t>
      </w:r>
    </w:p>
    <w:p w14:paraId="5FBE9C68">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4.发布公告的媒介：本次招标公告在《云南省政府采购网》上公开发布，采购人及采购代理机构对其他网站转载本公告的内容不负任何责任。</w:t>
      </w:r>
    </w:p>
    <w:p w14:paraId="63692325">
      <w:pPr>
        <w:widowControl/>
        <w:spacing w:line="360" w:lineRule="auto"/>
        <w:jc w:val="left"/>
        <w:outlineLvl w:val="1"/>
        <w:rPr>
          <w:rFonts w:hint="eastAsia" w:ascii="宋体" w:hAnsi="宋体" w:eastAsia="宋体" w:cs="宋体"/>
          <w:b/>
          <w:bCs/>
          <w:color w:val="auto"/>
          <w:kern w:val="0"/>
          <w:sz w:val="24"/>
          <w:szCs w:val="24"/>
        </w:rPr>
      </w:pPr>
      <w:bookmarkStart w:id="27" w:name="_Toc6298"/>
      <w:bookmarkStart w:id="28" w:name="_Toc17355"/>
      <w:bookmarkStart w:id="29" w:name="_Toc32552"/>
      <w:r>
        <w:rPr>
          <w:rFonts w:hint="eastAsia" w:ascii="宋体" w:hAnsi="宋体" w:eastAsia="宋体" w:cs="宋体"/>
          <w:b/>
          <w:bCs/>
          <w:color w:val="auto"/>
          <w:sz w:val="24"/>
          <w:szCs w:val="24"/>
        </w:rPr>
        <w:t>七、对本次招标提出询问，请按以下方式联系</w:t>
      </w:r>
      <w:bookmarkEnd w:id="27"/>
      <w:bookmarkEnd w:id="28"/>
      <w:bookmarkEnd w:id="29"/>
    </w:p>
    <w:bookmarkEnd w:id="3"/>
    <w:bookmarkEnd w:id="4"/>
    <w:p w14:paraId="53764112">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14:paraId="7AAB2853">
      <w:pPr>
        <w:widowControl/>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lang w:eastAsia="zh-CN"/>
        </w:rPr>
        <w:t>云南省玉溪工业财贸学校</w:t>
      </w:r>
    </w:p>
    <w:p w14:paraId="133701B9">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lang w:val="en-US" w:eastAsia="en-US"/>
        </w:rPr>
        <w:t>玉溪市红塔区九龙路3号</w:t>
      </w:r>
    </w:p>
    <w:p w14:paraId="4049DC9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联系方式：18987720052</w:t>
      </w:r>
    </w:p>
    <w:p w14:paraId="6C9F6FA7">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2.代理机构信息</w:t>
      </w:r>
    </w:p>
    <w:p w14:paraId="3B8B56B9">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名称：云南梧桐建设工程管理有限公司 </w:t>
      </w:r>
    </w:p>
    <w:p w14:paraId="6B8AD730">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地址：云南省昆明市五华区小康大道580号银河北庭8栋首座商务中心写字楼19楼</w:t>
      </w:r>
    </w:p>
    <w:p w14:paraId="486E406D">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3.项目联系方式</w:t>
      </w:r>
    </w:p>
    <w:p w14:paraId="48AA765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卜</w:t>
      </w:r>
      <w:r>
        <w:rPr>
          <w:rFonts w:hint="eastAsia" w:ascii="宋体" w:hAnsi="宋体" w:eastAsia="宋体" w:cs="宋体"/>
          <w:color w:val="auto"/>
          <w:kern w:val="0"/>
          <w:sz w:val="24"/>
          <w:szCs w:val="24"/>
        </w:rPr>
        <w:t>工</w:t>
      </w:r>
    </w:p>
    <w:p w14:paraId="4E8A6176">
      <w:pPr>
        <w:widowControl/>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16687077797</w:t>
      </w:r>
    </w:p>
    <w:p w14:paraId="2DC9C9C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4.技术支持 </w:t>
      </w:r>
    </w:p>
    <w:p w14:paraId="314DBB72">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政采云有限公司</w:t>
      </w:r>
    </w:p>
    <w:p w14:paraId="0E1CBF16">
      <w:pPr>
        <w:widowControl/>
        <w:spacing w:line="360" w:lineRule="auto"/>
        <w:ind w:firstLine="480" w:firstLineChars="200"/>
        <w:jc w:val="left"/>
        <w:rPr>
          <w:rFonts w:hint="eastAsia" w:asciiTheme="minorEastAsia" w:hAnsiTheme="minorEastAsia" w:eastAsiaTheme="minorEastAsia" w:cstheme="minorEastAsia"/>
          <w:bCs/>
          <w:color w:val="auto"/>
          <w:sz w:val="36"/>
        </w:rPr>
      </w:pPr>
      <w:r>
        <w:rPr>
          <w:rFonts w:hint="eastAsia" w:ascii="宋体" w:hAnsi="宋体" w:eastAsia="宋体" w:cs="宋体"/>
          <w:color w:val="auto"/>
          <w:kern w:val="0"/>
          <w:sz w:val="24"/>
          <w:szCs w:val="24"/>
        </w:rPr>
        <w:t>咨询服务电话：400-881-7190</w:t>
      </w:r>
      <w:r>
        <w:rPr>
          <w:rFonts w:hint="eastAsia" w:asciiTheme="minorEastAsia" w:hAnsiTheme="minorEastAsia" w:eastAsiaTheme="minorEastAsia" w:cstheme="minorEastAsia"/>
          <w:bCs/>
          <w:color w:val="auto"/>
          <w:sz w:val="36"/>
        </w:rPr>
        <w:br w:type="page"/>
      </w:r>
    </w:p>
    <w:p w14:paraId="7FDB6B15">
      <w:pPr>
        <w:widowControl/>
        <w:spacing w:line="360" w:lineRule="auto"/>
        <w:jc w:val="center"/>
        <w:outlineLvl w:val="0"/>
        <w:rPr>
          <w:rFonts w:hint="eastAsia" w:asciiTheme="minorEastAsia" w:hAnsiTheme="minorEastAsia" w:eastAsiaTheme="minorEastAsia" w:cstheme="minorEastAsia"/>
          <w:b/>
          <w:bCs/>
          <w:color w:val="auto"/>
          <w:kern w:val="44"/>
          <w:sz w:val="36"/>
          <w:szCs w:val="20"/>
        </w:rPr>
      </w:pPr>
      <w:bookmarkStart w:id="30" w:name="_Toc15108"/>
      <w:bookmarkStart w:id="31" w:name="_Toc21914"/>
      <w:bookmarkStart w:id="32" w:name="_Toc21222"/>
      <w:r>
        <w:rPr>
          <w:rFonts w:hint="eastAsia" w:asciiTheme="minorEastAsia" w:hAnsiTheme="minorEastAsia" w:eastAsiaTheme="minorEastAsia" w:cstheme="minorEastAsia"/>
          <w:b/>
          <w:bCs/>
          <w:color w:val="auto"/>
          <w:kern w:val="44"/>
          <w:sz w:val="36"/>
          <w:szCs w:val="20"/>
        </w:rPr>
        <w:t xml:space="preserve">第二章  </w:t>
      </w:r>
      <w:r>
        <w:rPr>
          <w:rFonts w:hint="eastAsia" w:asciiTheme="minorEastAsia" w:hAnsiTheme="minorEastAsia" w:eastAsiaTheme="minorEastAsia" w:cstheme="minorEastAsia"/>
          <w:b/>
          <w:bCs/>
          <w:color w:val="auto"/>
          <w:kern w:val="44"/>
          <w:sz w:val="36"/>
          <w:szCs w:val="20"/>
          <w:lang w:eastAsia="zh-CN"/>
        </w:rPr>
        <w:t>供应商</w:t>
      </w:r>
      <w:r>
        <w:rPr>
          <w:rFonts w:hint="eastAsia" w:asciiTheme="minorEastAsia" w:hAnsiTheme="minorEastAsia" w:eastAsiaTheme="minorEastAsia" w:cstheme="minorEastAsia"/>
          <w:b/>
          <w:bCs/>
          <w:color w:val="auto"/>
          <w:kern w:val="44"/>
          <w:sz w:val="36"/>
          <w:szCs w:val="20"/>
        </w:rPr>
        <w:t>须知</w:t>
      </w:r>
      <w:bookmarkEnd w:id="30"/>
      <w:bookmarkEnd w:id="31"/>
      <w:bookmarkEnd w:id="32"/>
    </w:p>
    <w:p w14:paraId="1FA7F865">
      <w:pPr>
        <w:pStyle w:val="3"/>
        <w:spacing w:before="0"/>
        <w:jc w:val="center"/>
        <w:rPr>
          <w:rFonts w:hint="eastAsia" w:asciiTheme="minorEastAsia" w:hAnsiTheme="minorEastAsia" w:eastAsiaTheme="minorEastAsia" w:cstheme="minorEastAsia"/>
          <w:color w:val="auto"/>
          <w:szCs w:val="28"/>
        </w:rPr>
      </w:pPr>
      <w:bookmarkStart w:id="33" w:name="_Toc16827"/>
      <w:bookmarkStart w:id="34" w:name="_Toc17914"/>
      <w:bookmarkStart w:id="35" w:name="_Toc19808"/>
      <w:r>
        <w:rPr>
          <w:rFonts w:hint="eastAsia" w:asciiTheme="minorEastAsia" w:hAnsiTheme="minorEastAsia" w:eastAsiaTheme="minorEastAsia" w:cstheme="minorEastAsia"/>
          <w:color w:val="auto"/>
          <w:szCs w:val="28"/>
          <w:lang w:eastAsia="zh-CN"/>
        </w:rPr>
        <w:t>供应商</w:t>
      </w:r>
      <w:r>
        <w:rPr>
          <w:rFonts w:hint="eastAsia" w:asciiTheme="minorEastAsia" w:hAnsiTheme="minorEastAsia" w:eastAsiaTheme="minorEastAsia" w:cstheme="minorEastAsia"/>
          <w:color w:val="auto"/>
          <w:szCs w:val="28"/>
        </w:rPr>
        <w:t>须知前附表</w:t>
      </w:r>
      <w:bookmarkEnd w:id="33"/>
      <w:bookmarkEnd w:id="34"/>
      <w:bookmarkEnd w:id="35"/>
    </w:p>
    <w:tbl>
      <w:tblPr>
        <w:tblStyle w:val="41"/>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61"/>
        <w:gridCol w:w="6413"/>
      </w:tblGrid>
      <w:tr w14:paraId="4692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75" w:type="dxa"/>
            <w:vAlign w:val="center"/>
          </w:tcPr>
          <w:p w14:paraId="09F10699">
            <w:pPr>
              <w:pStyle w:val="21"/>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1961" w:type="dxa"/>
            <w:vAlign w:val="center"/>
          </w:tcPr>
          <w:p w14:paraId="7E96CF21">
            <w:pPr>
              <w:pStyle w:val="21"/>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 款 名 称</w:t>
            </w:r>
          </w:p>
        </w:tc>
        <w:tc>
          <w:tcPr>
            <w:tcW w:w="6413" w:type="dxa"/>
            <w:vAlign w:val="center"/>
          </w:tcPr>
          <w:p w14:paraId="7A9523FD">
            <w:pPr>
              <w:pStyle w:val="21"/>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编 列 内 容</w:t>
            </w:r>
          </w:p>
        </w:tc>
      </w:tr>
      <w:tr w14:paraId="79CC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jc w:val="center"/>
        </w:trPr>
        <w:tc>
          <w:tcPr>
            <w:tcW w:w="975" w:type="dxa"/>
            <w:vAlign w:val="center"/>
          </w:tcPr>
          <w:p w14:paraId="018F2F0C">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61" w:type="dxa"/>
            <w:vAlign w:val="center"/>
          </w:tcPr>
          <w:p w14:paraId="6D0C8412">
            <w:pPr>
              <w:pStyle w:val="21"/>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采购人</w:t>
            </w:r>
          </w:p>
        </w:tc>
        <w:tc>
          <w:tcPr>
            <w:tcW w:w="6413" w:type="dxa"/>
            <w:vAlign w:val="center"/>
          </w:tcPr>
          <w:p w14:paraId="2BE2329F">
            <w:pPr>
              <w:widowControl/>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名称：云南省玉溪工业财贸学校</w:t>
            </w:r>
          </w:p>
          <w:p w14:paraId="46FDFED5">
            <w:pPr>
              <w:widowControl/>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r>
              <w:rPr>
                <w:rFonts w:hint="eastAsia" w:ascii="宋体" w:hAnsi="宋体" w:eastAsia="宋体" w:cs="宋体"/>
                <w:color w:val="auto"/>
                <w:kern w:val="0"/>
                <w:sz w:val="24"/>
                <w:szCs w:val="24"/>
                <w:lang w:val="en-US" w:eastAsia="en-US" w:bidi="ar-SA"/>
              </w:rPr>
              <w:t>玉溪市红塔区九龙路3号</w:t>
            </w:r>
          </w:p>
          <w:p w14:paraId="375EBE10">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联系人：黄老师</w:t>
            </w:r>
          </w:p>
          <w:p w14:paraId="3748AAC5">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联系方式：18987720052</w:t>
            </w:r>
          </w:p>
        </w:tc>
      </w:tr>
      <w:tr w14:paraId="6ED3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975" w:type="dxa"/>
            <w:vAlign w:val="center"/>
          </w:tcPr>
          <w:p w14:paraId="26F3C6E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61" w:type="dxa"/>
            <w:vAlign w:val="center"/>
          </w:tcPr>
          <w:p w14:paraId="7122B3AE">
            <w:pPr>
              <w:pStyle w:val="21"/>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采购代理机构</w:t>
            </w:r>
          </w:p>
        </w:tc>
        <w:tc>
          <w:tcPr>
            <w:tcW w:w="6413" w:type="dxa"/>
            <w:vAlign w:val="center"/>
          </w:tcPr>
          <w:p w14:paraId="5B540EA6">
            <w:pPr>
              <w:widowControl/>
              <w:spacing w:line="360" w:lineRule="auto"/>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xml:space="preserve">名称：云南梧桐建设工程管理有限公司 </w:t>
            </w:r>
          </w:p>
          <w:p w14:paraId="42C2DAA2">
            <w:pPr>
              <w:widowControl/>
              <w:spacing w:line="360" w:lineRule="auto"/>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玉溪分公司地址：</w:t>
            </w:r>
            <w:r>
              <w:rPr>
                <w:rFonts w:hint="eastAsia" w:ascii="宋体" w:hAnsi="宋体" w:eastAsia="宋体" w:cs="宋体"/>
                <w:b w:val="0"/>
                <w:bCs/>
                <w:color w:val="auto"/>
                <w:kern w:val="0"/>
                <w:sz w:val="24"/>
                <w:szCs w:val="24"/>
              </w:rPr>
              <w:t>玉溪市红塔区沙坝商</w:t>
            </w:r>
            <w:r>
              <w:rPr>
                <w:rFonts w:hint="eastAsia" w:ascii="宋体" w:hAnsi="宋体" w:eastAsia="宋体" w:cs="宋体"/>
                <w:bCs/>
                <w:color w:val="auto"/>
                <w:kern w:val="0"/>
                <w:sz w:val="24"/>
                <w:szCs w:val="24"/>
              </w:rPr>
              <w:t>务楼B座405室</w:t>
            </w:r>
          </w:p>
          <w:p w14:paraId="484A5B02">
            <w:pPr>
              <w:widowControl/>
              <w:spacing w:line="360" w:lineRule="auto"/>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联系人：</w:t>
            </w:r>
            <w:r>
              <w:rPr>
                <w:rFonts w:hint="eastAsia" w:ascii="宋体" w:hAnsi="宋体" w:eastAsia="宋体" w:cs="宋体"/>
                <w:bCs/>
                <w:color w:val="auto"/>
                <w:kern w:val="0"/>
                <w:sz w:val="24"/>
                <w:szCs w:val="24"/>
                <w:lang w:val="en-US" w:eastAsia="zh-CN"/>
              </w:rPr>
              <w:t>卜</w:t>
            </w:r>
            <w:r>
              <w:rPr>
                <w:rFonts w:hint="eastAsia" w:ascii="宋体" w:hAnsi="宋体" w:eastAsia="宋体" w:cs="宋体"/>
                <w:bCs/>
                <w:color w:val="auto"/>
                <w:kern w:val="0"/>
                <w:sz w:val="24"/>
                <w:szCs w:val="24"/>
              </w:rPr>
              <w:t>工</w:t>
            </w:r>
          </w:p>
          <w:p w14:paraId="6792339E">
            <w:pPr>
              <w:widowControl/>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bCs/>
                <w:color w:val="auto"/>
                <w:kern w:val="0"/>
                <w:sz w:val="24"/>
                <w:szCs w:val="24"/>
              </w:rPr>
              <w:t>联系方式：</w:t>
            </w:r>
            <w:r>
              <w:rPr>
                <w:rFonts w:hint="eastAsia" w:ascii="宋体" w:hAnsi="宋体" w:eastAsia="宋体" w:cs="宋体"/>
                <w:color w:val="auto"/>
                <w:kern w:val="0"/>
                <w:sz w:val="24"/>
                <w:szCs w:val="24"/>
                <w:lang w:val="en-US" w:eastAsia="zh-CN"/>
              </w:rPr>
              <w:t>16687077797</w:t>
            </w:r>
          </w:p>
        </w:tc>
      </w:tr>
      <w:tr w14:paraId="6C7F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975" w:type="dxa"/>
            <w:vAlign w:val="center"/>
          </w:tcPr>
          <w:p w14:paraId="3234E79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61" w:type="dxa"/>
            <w:vAlign w:val="center"/>
          </w:tcPr>
          <w:p w14:paraId="32A46A3C">
            <w:pPr>
              <w:pStyle w:val="21"/>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及项目编号</w:t>
            </w:r>
          </w:p>
        </w:tc>
        <w:tc>
          <w:tcPr>
            <w:tcW w:w="6413" w:type="dxa"/>
            <w:vAlign w:val="center"/>
          </w:tcPr>
          <w:p w14:paraId="688C615A">
            <w:pPr>
              <w:pStyle w:val="21"/>
              <w:spacing w:line="36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项目名称：</w:t>
            </w:r>
            <w:r>
              <w:rPr>
                <w:rFonts w:hint="eastAsia" w:ascii="宋体" w:hAnsi="宋体" w:eastAsia="宋体" w:cs="宋体"/>
                <w:color w:val="auto"/>
                <w:kern w:val="0"/>
                <w:sz w:val="24"/>
                <w:szCs w:val="24"/>
                <w:lang w:eastAsia="zh-CN"/>
              </w:rPr>
              <w:t>云南省玉溪工业财贸学校信息通信网络运行管理实训室建设采购项目</w:t>
            </w:r>
          </w:p>
          <w:p w14:paraId="0D8553C0">
            <w:pPr>
              <w:pStyle w:val="21"/>
              <w:spacing w:line="36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项目编号：WTZB-202511-002</w:t>
            </w:r>
          </w:p>
        </w:tc>
      </w:tr>
      <w:tr w14:paraId="603D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75" w:type="dxa"/>
            <w:vAlign w:val="center"/>
          </w:tcPr>
          <w:p w14:paraId="7825DF9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61" w:type="dxa"/>
            <w:vAlign w:val="center"/>
          </w:tcPr>
          <w:p w14:paraId="5FFF98AB">
            <w:pPr>
              <w:pStyle w:val="21"/>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w:t>
            </w:r>
            <w:r>
              <w:rPr>
                <w:rFonts w:hint="eastAsia" w:ascii="宋体" w:hAnsi="宋体" w:eastAsia="宋体" w:cs="宋体"/>
                <w:b/>
                <w:bCs/>
                <w:color w:val="auto"/>
                <w:sz w:val="24"/>
                <w:szCs w:val="24"/>
                <w:lang w:val="en-US" w:eastAsia="zh-CN"/>
              </w:rPr>
              <w:t>价</w:t>
            </w:r>
            <w:r>
              <w:rPr>
                <w:rFonts w:hint="eastAsia" w:ascii="宋体" w:hAnsi="宋体" w:eastAsia="宋体" w:cs="宋体"/>
                <w:b/>
                <w:bCs/>
                <w:color w:val="auto"/>
                <w:sz w:val="24"/>
                <w:szCs w:val="24"/>
              </w:rPr>
              <w:t>（最高限价）</w:t>
            </w:r>
          </w:p>
        </w:tc>
        <w:tc>
          <w:tcPr>
            <w:tcW w:w="6413" w:type="dxa"/>
            <w:vAlign w:val="center"/>
          </w:tcPr>
          <w:p w14:paraId="61FA1000">
            <w:pPr>
              <w:pStyle w:val="21"/>
              <w:numPr>
                <w:ilvl w:val="0"/>
                <w:numId w:val="0"/>
              </w:num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¥978000.00元（大写：人民币玖拾柒万捌仟元整）</w:t>
            </w:r>
          </w:p>
          <w:p w14:paraId="53AAF31D">
            <w:pPr>
              <w:pStyle w:val="21"/>
              <w:numPr>
                <w:ilvl w:val="0"/>
                <w:numId w:val="0"/>
              </w:num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投标总价不能超过招标人公布的最高限价，否则按无效投标处理。</w:t>
            </w:r>
          </w:p>
        </w:tc>
      </w:tr>
      <w:tr w14:paraId="3F28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75" w:type="dxa"/>
            <w:vAlign w:val="center"/>
          </w:tcPr>
          <w:p w14:paraId="3129CC44">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61" w:type="dxa"/>
            <w:vAlign w:val="center"/>
          </w:tcPr>
          <w:p w14:paraId="2B8E098C">
            <w:pPr>
              <w:pStyle w:val="21"/>
              <w:spacing w:line="360" w:lineRule="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采购需求</w:t>
            </w:r>
          </w:p>
        </w:tc>
        <w:tc>
          <w:tcPr>
            <w:tcW w:w="6413" w:type="dxa"/>
            <w:vAlign w:val="center"/>
          </w:tcPr>
          <w:p w14:paraId="03110639">
            <w:pPr>
              <w:pStyle w:val="21"/>
              <w:spacing w:line="360" w:lineRule="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完成云南省玉溪工业财贸学校信息通信网络运行管理实训室建设采购项目，招标采购货物技术要求及相关参数要求详见招标文件第五章“采购需求”。</w:t>
            </w:r>
          </w:p>
        </w:tc>
      </w:tr>
      <w:tr w14:paraId="644F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0A4455DA">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61" w:type="dxa"/>
            <w:vAlign w:val="center"/>
          </w:tcPr>
          <w:p w14:paraId="7A9E3660">
            <w:pPr>
              <w:pStyle w:val="21"/>
              <w:spacing w:line="360" w:lineRule="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合同履行期限</w:t>
            </w:r>
          </w:p>
        </w:tc>
        <w:tc>
          <w:tcPr>
            <w:tcW w:w="6413" w:type="dxa"/>
          </w:tcPr>
          <w:p w14:paraId="22990B32">
            <w:pPr>
              <w:pStyle w:val="21"/>
              <w:spacing w:line="360" w:lineRule="auto"/>
              <w:rPr>
                <w:rFonts w:hint="eastAsia" w:ascii="宋体" w:hAnsi="宋体" w:eastAsia="宋体" w:cs="宋体"/>
                <w:b w:val="0"/>
                <w:bCs w:val="0"/>
                <w:color w:val="auto"/>
                <w:kern w:val="0"/>
                <w:sz w:val="24"/>
                <w:szCs w:val="24"/>
                <w:lang w:eastAsia="zh-CN"/>
              </w:rPr>
            </w:pPr>
            <w:r>
              <w:rPr>
                <w:rFonts w:hint="eastAsia" w:ascii="宋体" w:hAnsi="宋体" w:eastAsia="宋体" w:cs="宋体"/>
                <w:color w:val="auto"/>
                <w:sz w:val="24"/>
                <w:szCs w:val="24"/>
              </w:rPr>
              <w:t>自双方签订合同之日起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30个日历天内完成供货和安装调试</w:t>
            </w:r>
            <w:r>
              <w:rPr>
                <w:rFonts w:hint="eastAsia" w:ascii="宋体" w:hAnsi="宋体" w:eastAsia="宋体" w:cs="宋体"/>
                <w:color w:val="auto"/>
                <w:sz w:val="24"/>
                <w:szCs w:val="24"/>
                <w:lang w:val="en-US" w:eastAsia="zh-CN"/>
              </w:rPr>
              <w:t>验收合格</w:t>
            </w:r>
            <w:r>
              <w:rPr>
                <w:rFonts w:hint="eastAsia" w:ascii="宋体" w:hAnsi="宋体" w:eastAsia="宋体" w:cs="宋体"/>
                <w:color w:val="auto"/>
                <w:sz w:val="24"/>
                <w:szCs w:val="24"/>
              </w:rPr>
              <w:t>并交付使用。</w:t>
            </w:r>
          </w:p>
        </w:tc>
      </w:tr>
      <w:tr w14:paraId="4C93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4ED5C08F">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961" w:type="dxa"/>
            <w:vAlign w:val="center"/>
          </w:tcPr>
          <w:p w14:paraId="79490024">
            <w:pPr>
              <w:pStyle w:val="21"/>
              <w:spacing w:line="360" w:lineRule="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项目实施地点</w:t>
            </w:r>
          </w:p>
        </w:tc>
        <w:tc>
          <w:tcPr>
            <w:tcW w:w="6413" w:type="dxa"/>
            <w:vAlign w:val="center"/>
          </w:tcPr>
          <w:p w14:paraId="00976F40">
            <w:pPr>
              <w:pStyle w:val="21"/>
              <w:spacing w:line="360" w:lineRule="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采购人指定地点。</w:t>
            </w:r>
          </w:p>
        </w:tc>
      </w:tr>
      <w:tr w14:paraId="3C0B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55C63DDD">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961" w:type="dxa"/>
            <w:vAlign w:val="center"/>
          </w:tcPr>
          <w:p w14:paraId="31402C71">
            <w:pPr>
              <w:pStyle w:val="21"/>
              <w:spacing w:line="360" w:lineRule="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质保期</w:t>
            </w:r>
          </w:p>
        </w:tc>
        <w:tc>
          <w:tcPr>
            <w:tcW w:w="6413" w:type="dxa"/>
          </w:tcPr>
          <w:p w14:paraId="05F5A6C6">
            <w:pPr>
              <w:pStyle w:val="21"/>
              <w:spacing w:line="360" w:lineRule="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质保期≥3</w:t>
            </w:r>
            <w:r>
              <w:rPr>
                <w:rFonts w:hint="eastAsia" w:ascii="宋体" w:hAnsi="宋体" w:eastAsia="宋体" w:cs="宋体"/>
                <w:b w:val="0"/>
                <w:bCs w:val="0"/>
                <w:color w:val="auto"/>
                <w:kern w:val="0"/>
                <w:sz w:val="24"/>
                <w:szCs w:val="24"/>
                <w:lang w:eastAsia="zh-CN"/>
              </w:rPr>
              <w:t>年；质保期内提供免费保修服务。</w:t>
            </w:r>
          </w:p>
        </w:tc>
      </w:tr>
      <w:tr w14:paraId="64DD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25B22FD8">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961" w:type="dxa"/>
            <w:vAlign w:val="center"/>
          </w:tcPr>
          <w:p w14:paraId="3FE2428B">
            <w:pPr>
              <w:pStyle w:val="21"/>
              <w:spacing w:line="360" w:lineRule="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质量标准</w:t>
            </w:r>
          </w:p>
        </w:tc>
        <w:tc>
          <w:tcPr>
            <w:tcW w:w="6413" w:type="dxa"/>
          </w:tcPr>
          <w:p w14:paraId="661F9680">
            <w:pPr>
              <w:widowControl/>
              <w:spacing w:line="360" w:lineRule="auto"/>
              <w:jc w:val="left"/>
              <w:rPr>
                <w:rFonts w:hint="eastAsia" w:ascii="宋体" w:hAnsi="宋体" w:eastAsia="宋体" w:cs="宋体"/>
                <w:snapToGrid w:val="0"/>
                <w:color w:val="auto"/>
                <w:kern w:val="0"/>
                <w:sz w:val="24"/>
                <w:szCs w:val="24"/>
              </w:rPr>
            </w:pPr>
            <w:r>
              <w:rPr>
                <w:rFonts w:hint="eastAsia" w:ascii="宋体" w:hAnsi="宋体" w:eastAsia="宋体" w:cs="宋体"/>
                <w:color w:val="auto"/>
                <w:kern w:val="0"/>
                <w:sz w:val="24"/>
                <w:szCs w:val="24"/>
              </w:rPr>
              <w:t>符合现行国家、行业相关的质量要求、规范及标准，同时满足采购人实际需求。</w:t>
            </w:r>
          </w:p>
        </w:tc>
      </w:tr>
      <w:tr w14:paraId="43C1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75" w:type="dxa"/>
            <w:vAlign w:val="center"/>
          </w:tcPr>
          <w:p w14:paraId="24AAC46C">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961" w:type="dxa"/>
            <w:vAlign w:val="center"/>
          </w:tcPr>
          <w:p w14:paraId="463E2505">
            <w:pPr>
              <w:pStyle w:val="2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合格的</w:t>
            </w:r>
            <w:r>
              <w:rPr>
                <w:rFonts w:hint="eastAsia" w:ascii="宋体" w:hAnsi="宋体" w:eastAsia="宋体" w:cs="宋体"/>
                <w:color w:val="auto"/>
                <w:sz w:val="24"/>
                <w:szCs w:val="24"/>
                <w:lang w:eastAsia="zh-CN"/>
              </w:rPr>
              <w:t>供应商</w:t>
            </w:r>
          </w:p>
        </w:tc>
        <w:tc>
          <w:tcPr>
            <w:tcW w:w="6413" w:type="dxa"/>
          </w:tcPr>
          <w:p w14:paraId="18D16538">
            <w:pPr>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（一）满足《中华人民共和国政府采购法》第二十二条规定，提供下列资料：</w:t>
            </w:r>
          </w:p>
          <w:p w14:paraId="40E57A18">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z w:val="24"/>
                <w:szCs w:val="24"/>
              </w:rPr>
              <w:t>具有独立承担民事责任的能力（提供有效的营业执照或其他组织证明或自然人身份证明）；</w:t>
            </w:r>
          </w:p>
          <w:p w14:paraId="75B73E6A">
            <w:pPr>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rPr>
              <w:t>具有良好的商业信誉和健全的财务会计制度（提供2022年至今任意一年的财务报表或经第三方审计的财务报告（包括资产负债表、现金流量表、利润表或损益表及会计报表附注），2025年1月以后成立的提供成立至本项目公告发布前一个月的财务报表或开户银行出具的资信证明或资金存款证明）</w:t>
            </w:r>
            <w:r>
              <w:rPr>
                <w:rFonts w:hint="eastAsia" w:ascii="宋体" w:hAnsi="宋体" w:eastAsia="宋体" w:cs="宋体"/>
                <w:color w:val="auto"/>
                <w:sz w:val="24"/>
                <w:szCs w:val="24"/>
                <w:lang w:eastAsia="zh-CN"/>
              </w:rPr>
              <w:t>；</w:t>
            </w:r>
          </w:p>
          <w:p w14:paraId="4A58FB66">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rPr>
              <w:t>具有履行合同所必需的设备和专业技术能力（提供相关证明材料或承诺）；</w:t>
            </w:r>
          </w:p>
          <w:p w14:paraId="72AAFFEB">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hint="eastAsia" w:ascii="宋体" w:hAnsi="宋体" w:eastAsia="宋体" w:cs="宋体"/>
                <w:color w:val="auto"/>
                <w:sz w:val="24"/>
                <w:szCs w:val="24"/>
              </w:rPr>
              <w:t>有依法缴纳税收和社会保障资金的良好记录（提供2024年6月至采购截止时间前任意3个月依法缴纳税收和缴纳社会保障资金的证明（新成立公司提供已有资料，如依法免税或不需要缴纳社会保障资金的，应提供相应文件证明）；</w:t>
            </w:r>
          </w:p>
          <w:p w14:paraId="20D2E96C">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z w:val="24"/>
                <w:szCs w:val="24"/>
              </w:rPr>
              <w:t>参加政府采购活动前三年内，在经营活动中没有重大违法记录（提供书面声明）；</w:t>
            </w:r>
          </w:p>
          <w:p w14:paraId="7808E4BE">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6.法律、行政法规规定的其他条件。</w:t>
            </w:r>
          </w:p>
          <w:p w14:paraId="10B5D737">
            <w:pPr>
              <w:spacing w:line="360" w:lineRule="auto"/>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（1）单位负责人为同一人或者存在直接控股、管理关系的不同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，不得参加同一合同项下的政府采购活动。为采购项目提供整体设计、规范编制或者项目管理、监理、检测等服务的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，不得再参加该采购项目的其他采购活动。</w:t>
            </w:r>
          </w:p>
          <w:p w14:paraId="4CF489D5">
            <w:pPr>
              <w:spacing w:line="360" w:lineRule="auto"/>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供应商不得被“信用中国”网站（www.creditchina.gov.cn）列入失信被执行人或重大税收违法失信主体名单、不得为“中国政府采购网”（www.ccgp.gov.cn）政府采购严重违法失信行为记录名单中被财政部门禁止参加政府采购活动的供应商（处罚决定规定的时间和地域范围内）（信誉查询时间截点：本项目采购公告发布之日起至响应文件递交截止时间止。代理机构在响应文件递交截止时间止对潜在供应商信誉情况进行查询，并交由评标委员会进行复核评审）。</w:t>
            </w:r>
            <w:r>
              <w:rPr>
                <w:rFonts w:hint="eastAsia" w:ascii="宋体" w:hAnsi="宋体" w:eastAsia="宋体" w:cs="宋体"/>
                <w:color w:val="auto"/>
                <w:kern w:val="0"/>
                <w:sz w:val="24"/>
                <w:szCs w:val="24"/>
              </w:rPr>
              <w:t>截止时间止对潜在</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信誉情况进行查询，并交由评标委员会进行复核评审）。</w:t>
            </w:r>
          </w:p>
          <w:p w14:paraId="5BF793FA">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（二）落实政府采购政策需满足的资格要求：</w:t>
            </w:r>
          </w:p>
          <w:p w14:paraId="79B5BECB">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型企业采购，根据《关于进一步加大政府采购支持中小企业力度的通知》（财库〔2022〕19号），不再执行价格评审优惠的扶持政策，监狱企业及残疾人福利性单位视同小微企业。根据《关于印发中小企业划型标准规定的通知》（工信部联企业〔2011〕300号）文件规定的划分标准，本项目对应的中小企业划分标准所属行业为：</w:t>
            </w:r>
            <w:r>
              <w:rPr>
                <w:rFonts w:hint="eastAsia" w:ascii="宋体" w:hAnsi="宋体" w:eastAsia="宋体" w:cs="宋体"/>
                <w:color w:val="auto"/>
                <w:sz w:val="24"/>
                <w:szCs w:val="24"/>
              </w:rPr>
              <w:t>工业。</w:t>
            </w:r>
          </w:p>
          <w:p w14:paraId="4AA00B65">
            <w:pPr>
              <w:pStyle w:val="50"/>
              <w:rPr>
                <w:rFonts w:hint="eastAsia" w:ascii="宋体" w:hAnsi="宋体" w:eastAsia="宋体" w:cs="宋体"/>
                <w:color w:val="auto"/>
                <w:sz w:val="24"/>
                <w:szCs w:val="24"/>
              </w:rPr>
            </w:pPr>
            <w:r>
              <w:rPr>
                <w:rFonts w:hint="eastAsia" w:ascii="宋体" w:hAnsi="宋体" w:eastAsia="宋体" w:cs="宋体"/>
                <w:b/>
                <w:bCs/>
                <w:color w:val="auto"/>
                <w:sz w:val="24"/>
                <w:szCs w:val="24"/>
              </w:rPr>
              <w:t>（三）本项目特定资格要求：无</w:t>
            </w:r>
          </w:p>
        </w:tc>
      </w:tr>
      <w:tr w14:paraId="118E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75" w:type="dxa"/>
            <w:vAlign w:val="center"/>
          </w:tcPr>
          <w:p w14:paraId="68D80B1D">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961" w:type="dxa"/>
            <w:vAlign w:val="center"/>
          </w:tcPr>
          <w:p w14:paraId="432F4AB3">
            <w:pPr>
              <w:pStyle w:val="21"/>
              <w:spacing w:line="360" w:lineRule="auto"/>
              <w:rPr>
                <w:rFonts w:hint="eastAsia" w:ascii="宋体" w:hAnsi="宋体" w:eastAsia="宋体" w:cs="宋体"/>
                <w:snapToGrid w:val="0"/>
                <w:color w:val="auto"/>
                <w:kern w:val="0"/>
                <w:sz w:val="24"/>
                <w:szCs w:val="24"/>
              </w:rPr>
            </w:pPr>
            <w:r>
              <w:rPr>
                <w:rFonts w:hint="eastAsia" w:ascii="宋体" w:hAnsi="宋体" w:eastAsia="宋体" w:cs="宋体"/>
                <w:b/>
                <w:bCs/>
                <w:snapToGrid w:val="0"/>
                <w:color w:val="auto"/>
                <w:kern w:val="0"/>
                <w:sz w:val="24"/>
                <w:szCs w:val="24"/>
              </w:rPr>
              <w:t>核心产品</w:t>
            </w:r>
          </w:p>
        </w:tc>
        <w:tc>
          <w:tcPr>
            <w:tcW w:w="6413" w:type="dxa"/>
          </w:tcPr>
          <w:p w14:paraId="085195D7">
            <w:pPr>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本项目核心产</w:t>
            </w:r>
            <w:r>
              <w:rPr>
                <w:rFonts w:hint="eastAsia" w:ascii="宋体" w:hAnsi="宋体" w:eastAsia="宋体" w:cs="宋体"/>
                <w:color w:val="auto"/>
                <w:sz w:val="24"/>
                <w:szCs w:val="24"/>
              </w:rPr>
              <w:t>品：</w:t>
            </w:r>
            <w:r>
              <w:rPr>
                <w:rFonts w:hint="eastAsia" w:ascii="宋体" w:hAnsi="宋体" w:eastAsia="宋体" w:cs="宋体"/>
                <w:b/>
                <w:bCs/>
                <w:color w:val="auto"/>
                <w:sz w:val="24"/>
                <w:szCs w:val="24"/>
                <w:u w:val="single"/>
                <w:lang w:eastAsia="zh-CN"/>
              </w:rPr>
              <w:t>虚拟化竞赛平台（一体化平台）</w:t>
            </w:r>
          </w:p>
          <w:p w14:paraId="3CEE004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提供相同品牌产品且通过资格审查、符合性审查的不同供应商参加同一合同项下投标的，按一家供应商计算，评审后得分最高的同品牌供应商获得成交候选供应商推荐资格；评审得分相同的，由采购人或者采购人委托评标委员会按照招标文件规定的方式确定一个供应商获得成交候选人推荐资格，招标文件未规定的采取随机抽取方式确定，其他同品牌供应商不作为成中标候选人。</w:t>
            </w:r>
          </w:p>
        </w:tc>
      </w:tr>
      <w:tr w14:paraId="17BE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131598CC">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961" w:type="dxa"/>
            <w:vAlign w:val="center"/>
          </w:tcPr>
          <w:p w14:paraId="3E938142">
            <w:pPr>
              <w:rPr>
                <w:rFonts w:hint="eastAsia" w:ascii="宋体" w:hAnsi="宋体" w:eastAsia="宋体" w:cs="宋体"/>
                <w:color w:val="auto"/>
                <w:sz w:val="24"/>
                <w:szCs w:val="24"/>
              </w:rPr>
            </w:pPr>
            <w:r>
              <w:rPr>
                <w:rFonts w:hint="eastAsia" w:ascii="宋体" w:hAnsi="宋体" w:eastAsia="宋体" w:cs="宋体"/>
                <w:b/>
                <w:bCs/>
                <w:color w:val="auto"/>
                <w:sz w:val="24"/>
                <w:szCs w:val="24"/>
              </w:rPr>
              <w:t>节能产品及环境标志产品政策</w:t>
            </w:r>
          </w:p>
        </w:tc>
        <w:tc>
          <w:tcPr>
            <w:tcW w:w="6413" w:type="dxa"/>
            <w:vAlign w:val="center"/>
          </w:tcPr>
          <w:p w14:paraId="1BFCC345">
            <w:pPr>
              <w:autoSpaceDE w:val="0"/>
              <w:autoSpaceDN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按照“财政部 发展改革委 生态环境部 市场监管总局 关于调整优化节能产品、环境标志产品政府采购执行机制的通知”财库〔2019〕9号的规定执行。</w:t>
            </w:r>
          </w:p>
          <w:p w14:paraId="3BD28ED4">
            <w:pPr>
              <w:autoSpaceDE w:val="0"/>
              <w:autoSpaceDN w:val="0"/>
              <w:spacing w:line="48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pacing w:val="0"/>
                <w:kern w:val="2"/>
                <w:sz w:val="24"/>
                <w:szCs w:val="24"/>
                <w:lang w:val="en-US" w:eastAsia="zh-CN" w:bidi="ar-SA"/>
              </w:rPr>
              <w:t>根据《财政部 发展改革委 生态环境部 市场监管总局关于调整优化节能产品、环境标志产品政府采购执行机制的通知》（财库〔2019〕9号）要求，需提供国家确定的认证机构出具的、处于有效期之内的节能产品、环境标志产品认证证书或“中国政府采购网”的节能环保产品查询（http://www.ccgp.gov.cn/jnhb/jnhbqd/）结果截图。</w:t>
            </w:r>
            <w:r>
              <w:rPr>
                <w:rFonts w:hint="eastAsia" w:ascii="宋体" w:hAnsi="宋体" w:eastAsia="宋体" w:cs="宋体"/>
                <w:b/>
                <w:bCs/>
                <w:color w:val="auto"/>
                <w:sz w:val="24"/>
                <w:szCs w:val="24"/>
              </w:rPr>
              <w:br w:type="page"/>
            </w:r>
          </w:p>
        </w:tc>
      </w:tr>
      <w:tr w14:paraId="742A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75693976">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961" w:type="dxa"/>
            <w:vAlign w:val="center"/>
          </w:tcPr>
          <w:p w14:paraId="60CE693D">
            <w:pPr>
              <w:pStyle w:val="2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是否接受联合体投标</w:t>
            </w:r>
          </w:p>
        </w:tc>
        <w:tc>
          <w:tcPr>
            <w:tcW w:w="6413" w:type="dxa"/>
            <w:vAlign w:val="center"/>
          </w:tcPr>
          <w:p w14:paraId="69A82F49">
            <w:pPr>
              <w:pStyle w:val="21"/>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w:instrText>
            </w:r>
            <w:r>
              <w:rPr>
                <w:rFonts w:hint="eastAsia" w:ascii="宋体" w:hAnsi="宋体" w:eastAsia="宋体" w:cs="宋体"/>
                <w:b/>
                <w:color w:val="auto"/>
                <w:sz w:val="24"/>
                <w:szCs w:val="24"/>
              </w:rPr>
              <w:fldChar w:fldCharType="end"/>
            </w:r>
            <w:r>
              <w:rPr>
                <w:rFonts w:hint="eastAsia" w:ascii="宋体" w:hAnsi="宋体" w:eastAsia="宋体" w:cs="宋体"/>
                <w:color w:val="auto"/>
                <w:sz w:val="24"/>
                <w:szCs w:val="24"/>
              </w:rPr>
              <w:t>不接受      □接受</w:t>
            </w:r>
          </w:p>
        </w:tc>
      </w:tr>
      <w:tr w14:paraId="4181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2ECADDF2">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961" w:type="dxa"/>
            <w:vAlign w:val="center"/>
          </w:tcPr>
          <w:p w14:paraId="37B14BE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提出问题的截止时间和方法</w:t>
            </w:r>
          </w:p>
        </w:tc>
        <w:tc>
          <w:tcPr>
            <w:tcW w:w="6413" w:type="dxa"/>
          </w:tcPr>
          <w:p w14:paraId="27BABA1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[详见附件 (项目名称)招标文件有关时间安排］，即在投标截止时间10日前，所有获取了招标文件的潜在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通过线上方式进行提问。</w:t>
            </w:r>
          </w:p>
        </w:tc>
      </w:tr>
      <w:tr w14:paraId="4EE3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5" w:type="dxa"/>
            <w:vAlign w:val="center"/>
          </w:tcPr>
          <w:p w14:paraId="2545DCC8">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961" w:type="dxa"/>
            <w:vAlign w:val="center"/>
          </w:tcPr>
          <w:p w14:paraId="0433AB2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采购人澄清的时间和方法</w:t>
            </w:r>
          </w:p>
        </w:tc>
        <w:tc>
          <w:tcPr>
            <w:tcW w:w="6413" w:type="dxa"/>
          </w:tcPr>
          <w:p w14:paraId="4D3A412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提交首次投标文件截止之日前，采购人、采购代理机构可以对已发出的投标文件进行必要的澄清或者修改，澄清或者修改的内容作为投标文件的组成部分。澄清或者修改的内容可能影响投标文件编制的，采购人、采购代理机构应当在提交首次投标文件截止时间至少15日前，以线上形式通知所有获取投标文件的供应商；不足15日的，采购人、采购代理机构应当顺延提交首次投标文件截止时间。</w:t>
            </w:r>
          </w:p>
        </w:tc>
      </w:tr>
      <w:tr w14:paraId="08F2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7BC757C3">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961" w:type="dxa"/>
            <w:vAlign w:val="center"/>
          </w:tcPr>
          <w:p w14:paraId="297EE02F">
            <w:pPr>
              <w:spacing w:line="360" w:lineRule="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投标文件签署</w:t>
            </w:r>
          </w:p>
        </w:tc>
        <w:tc>
          <w:tcPr>
            <w:tcW w:w="6413" w:type="dxa"/>
            <w:vAlign w:val="center"/>
          </w:tcPr>
          <w:p w14:paraId="036B26CC">
            <w:pPr>
              <w:spacing w:line="360" w:lineRule="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按“政采云”要求，上传电子响应文件壹份。</w:t>
            </w:r>
          </w:p>
          <w:p w14:paraId="40BC0AAB">
            <w:pPr>
              <w:spacing w:line="360" w:lineRule="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响应文件编制完成后须用云南 CA 按格式进行电子签章，在所要求的位置有法定代表人(单位负责人)或其委托代理人电子签名或电子签章，均使用云南 CA 按格式进行电子签章，联合体参加采购的除格式要求外，可由联合体牵头单位签署。</w:t>
            </w:r>
          </w:p>
        </w:tc>
      </w:tr>
      <w:tr w14:paraId="2847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4C2472A8">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961" w:type="dxa"/>
            <w:vAlign w:val="center"/>
          </w:tcPr>
          <w:p w14:paraId="2D4F8567">
            <w:pPr>
              <w:spacing w:line="360" w:lineRule="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响应文件加密要求</w:t>
            </w:r>
          </w:p>
        </w:tc>
        <w:tc>
          <w:tcPr>
            <w:tcW w:w="6413" w:type="dxa"/>
            <w:vAlign w:val="center"/>
          </w:tcPr>
          <w:p w14:paraId="5EBD893F">
            <w:pPr>
              <w:spacing w:line="360" w:lineRule="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CA锁加密</w:t>
            </w:r>
          </w:p>
        </w:tc>
      </w:tr>
      <w:tr w14:paraId="385A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75" w:type="dxa"/>
            <w:vAlign w:val="center"/>
          </w:tcPr>
          <w:p w14:paraId="4C637F83">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961" w:type="dxa"/>
            <w:vAlign w:val="center"/>
          </w:tcPr>
          <w:p w14:paraId="201FB0DD">
            <w:pPr>
              <w:autoSpaceDE w:val="0"/>
              <w:autoSpaceDN w:val="0"/>
              <w:snapToGrid w:val="0"/>
              <w:spacing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实质性要求和条件</w:t>
            </w:r>
          </w:p>
        </w:tc>
        <w:tc>
          <w:tcPr>
            <w:tcW w:w="6413" w:type="dxa"/>
            <w:vAlign w:val="center"/>
          </w:tcPr>
          <w:p w14:paraId="7AD0D3D1">
            <w:pPr>
              <w:autoSpaceDE w:val="0"/>
              <w:autoSpaceDN w:val="0"/>
              <w:snapToGrid w:val="0"/>
              <w:spacing w:line="360" w:lineRule="auto"/>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招标文件中的实质性条款，不满足的将导致投标无效。</w:t>
            </w:r>
          </w:p>
        </w:tc>
      </w:tr>
      <w:tr w14:paraId="3B1D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75" w:type="dxa"/>
            <w:vAlign w:val="center"/>
          </w:tcPr>
          <w:p w14:paraId="129055B5">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1961" w:type="dxa"/>
            <w:vAlign w:val="center"/>
          </w:tcPr>
          <w:p w14:paraId="4634BD25">
            <w:pPr>
              <w:autoSpaceDE w:val="0"/>
              <w:autoSpaceDN w:val="0"/>
              <w:snapToGrid w:val="0"/>
              <w:spacing w:line="360" w:lineRule="auto"/>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构成投标文件的其他资料</w:t>
            </w:r>
          </w:p>
        </w:tc>
        <w:tc>
          <w:tcPr>
            <w:tcW w:w="6413" w:type="dxa"/>
            <w:vAlign w:val="center"/>
          </w:tcPr>
          <w:p w14:paraId="70491DB7">
            <w:pPr>
              <w:autoSpaceDE w:val="0"/>
              <w:autoSpaceDN w:val="0"/>
              <w:snapToGrid w:val="0"/>
              <w:spacing w:line="360" w:lineRule="auto"/>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（1）第五章“采购需求”中要求提供的其他资料；</w:t>
            </w:r>
          </w:p>
          <w:p w14:paraId="4005D730">
            <w:pPr>
              <w:autoSpaceDE w:val="0"/>
              <w:autoSpaceDN w:val="0"/>
              <w:snapToGrid w:val="0"/>
              <w:spacing w:line="360" w:lineRule="auto"/>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（2）招标文件中所涉及到的相关资料及证明文件或</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认为必须提供的其他相关资料。</w:t>
            </w:r>
          </w:p>
        </w:tc>
      </w:tr>
      <w:tr w14:paraId="54AA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67834CC6">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961" w:type="dxa"/>
            <w:vAlign w:val="center"/>
          </w:tcPr>
          <w:p w14:paraId="33253D7E">
            <w:pPr>
              <w:pStyle w:val="2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6413" w:type="dxa"/>
            <w:vAlign w:val="center"/>
          </w:tcPr>
          <w:p w14:paraId="36B4E463">
            <w:pPr>
              <w:pStyle w:val="2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投标截止日期后</w:t>
            </w:r>
            <w:r>
              <w:rPr>
                <w:rFonts w:hint="eastAsia" w:ascii="宋体" w:hAnsi="宋体" w:eastAsia="宋体" w:cs="宋体"/>
                <w:color w:val="auto"/>
                <w:sz w:val="24"/>
                <w:szCs w:val="24"/>
                <w:u w:val="single"/>
              </w:rPr>
              <w:t xml:space="preserve"> 90 </w:t>
            </w:r>
            <w:r>
              <w:rPr>
                <w:rFonts w:hint="eastAsia" w:ascii="宋体" w:hAnsi="宋体" w:eastAsia="宋体" w:cs="宋体"/>
                <w:color w:val="auto"/>
                <w:sz w:val="24"/>
                <w:szCs w:val="24"/>
              </w:rPr>
              <w:t>天</w:t>
            </w:r>
          </w:p>
        </w:tc>
      </w:tr>
      <w:tr w14:paraId="413A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2DF3B779">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961" w:type="dxa"/>
            <w:vAlign w:val="center"/>
          </w:tcPr>
          <w:p w14:paraId="79D26A0E">
            <w:pPr>
              <w:autoSpaceDE w:val="0"/>
              <w:autoSpaceDN w:val="0"/>
              <w:snapToGrid w:val="0"/>
              <w:spacing w:line="360" w:lineRule="auto"/>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投标文件递交截止时间</w:t>
            </w:r>
          </w:p>
        </w:tc>
        <w:tc>
          <w:tcPr>
            <w:tcW w:w="6413" w:type="dxa"/>
            <w:vAlign w:val="center"/>
          </w:tcPr>
          <w:p w14:paraId="183B97C5">
            <w:pPr>
              <w:autoSpaceDE w:val="0"/>
              <w:autoSpaceDN w:val="0"/>
              <w:snapToGrid w:val="0"/>
              <w:spacing w:line="360" w:lineRule="auto"/>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snapToGrid w:val="0"/>
                <w:color w:val="auto"/>
                <w:kern w:val="0"/>
                <w:sz w:val="24"/>
                <w:szCs w:val="24"/>
              </w:rPr>
              <w:t>025年</w:t>
            </w:r>
            <w:r>
              <w:rPr>
                <w:rFonts w:hint="eastAsia" w:ascii="宋体" w:hAnsi="宋体" w:eastAsia="宋体" w:cs="宋体"/>
                <w:snapToGrid w:val="0"/>
                <w:color w:val="auto"/>
                <w:kern w:val="0"/>
                <w:sz w:val="24"/>
                <w:szCs w:val="24"/>
                <w:lang w:val="en-US" w:eastAsia="zh-CN"/>
              </w:rPr>
              <w:t>11</w:t>
            </w:r>
            <w:r>
              <w:rPr>
                <w:rFonts w:hint="eastAsia" w:ascii="宋体" w:hAnsi="宋体" w:eastAsia="宋体" w:cs="宋体"/>
                <w:snapToGrid w:val="0"/>
                <w:color w:val="auto"/>
                <w:kern w:val="0"/>
                <w:sz w:val="24"/>
                <w:szCs w:val="24"/>
              </w:rPr>
              <w:t>月</w:t>
            </w:r>
            <w:r>
              <w:rPr>
                <w:rFonts w:hint="eastAsia" w:ascii="宋体" w:hAnsi="宋体" w:eastAsia="宋体" w:cs="宋体"/>
                <w:snapToGrid w:val="0"/>
                <w:color w:val="auto"/>
                <w:kern w:val="0"/>
                <w:sz w:val="24"/>
                <w:szCs w:val="24"/>
                <w:lang w:val="en-US" w:eastAsia="zh-CN"/>
              </w:rPr>
              <w:t>28</w:t>
            </w:r>
            <w:r>
              <w:rPr>
                <w:rFonts w:hint="eastAsia" w:ascii="宋体" w:hAnsi="宋体" w:eastAsia="宋体" w:cs="宋体"/>
                <w:snapToGrid w:val="0"/>
                <w:color w:val="auto"/>
                <w:kern w:val="0"/>
                <w:sz w:val="24"/>
                <w:szCs w:val="24"/>
              </w:rPr>
              <w:t>日09时00</w:t>
            </w:r>
            <w:r>
              <w:rPr>
                <w:rFonts w:hint="eastAsia" w:ascii="宋体" w:hAnsi="宋体" w:eastAsia="宋体" w:cs="宋体"/>
                <w:bCs/>
                <w:color w:val="auto"/>
                <w:sz w:val="24"/>
                <w:szCs w:val="24"/>
              </w:rPr>
              <w:t>分（北京时间）；</w:t>
            </w:r>
          </w:p>
        </w:tc>
      </w:tr>
      <w:tr w14:paraId="1E1D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Align w:val="center"/>
          </w:tcPr>
          <w:p w14:paraId="6D8FAB1D">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1961" w:type="dxa"/>
            <w:vAlign w:val="center"/>
          </w:tcPr>
          <w:p w14:paraId="3BA45A84">
            <w:pPr>
              <w:autoSpaceDE w:val="0"/>
              <w:autoSpaceDN w:val="0"/>
              <w:snapToGrid w:val="0"/>
              <w:spacing w:line="360" w:lineRule="auto"/>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投标文件递交地点</w:t>
            </w:r>
          </w:p>
        </w:tc>
        <w:tc>
          <w:tcPr>
            <w:tcW w:w="6413" w:type="dxa"/>
            <w:vAlign w:val="center"/>
          </w:tcPr>
          <w:p w14:paraId="2B3151D8">
            <w:pPr>
              <w:autoSpaceDE w:val="0"/>
              <w:autoSpaceDN w:val="0"/>
              <w:snapToGrid w:val="0"/>
              <w:spacing w:line="360" w:lineRule="auto"/>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请登录政采云平台（https://www.zcygov.cn/）投标客户端投标。</w:t>
            </w:r>
          </w:p>
        </w:tc>
      </w:tr>
      <w:tr w14:paraId="382C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72BA751A">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1961" w:type="dxa"/>
            <w:vAlign w:val="center"/>
          </w:tcPr>
          <w:p w14:paraId="762B514A">
            <w:pPr>
              <w:pStyle w:val="2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是否退还投标文件</w:t>
            </w:r>
          </w:p>
        </w:tc>
        <w:tc>
          <w:tcPr>
            <w:tcW w:w="6413" w:type="dxa"/>
            <w:vAlign w:val="center"/>
          </w:tcPr>
          <w:p w14:paraId="76DA84FB">
            <w:pPr>
              <w:pStyle w:val="21"/>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w:instrText>
            </w:r>
            <w:r>
              <w:rPr>
                <w:rFonts w:hint="eastAsia" w:ascii="宋体" w:hAnsi="宋体" w:eastAsia="宋体" w:cs="宋体"/>
                <w:b/>
                <w:color w:val="auto"/>
                <w:sz w:val="24"/>
                <w:szCs w:val="24"/>
              </w:rPr>
              <w:fldChar w:fldCharType="end"/>
            </w:r>
            <w:r>
              <w:rPr>
                <w:rFonts w:hint="eastAsia" w:ascii="宋体" w:hAnsi="宋体" w:eastAsia="宋体" w:cs="宋体"/>
                <w:color w:val="auto"/>
                <w:sz w:val="24"/>
                <w:szCs w:val="24"/>
              </w:rPr>
              <w:t>否  □是</w:t>
            </w:r>
          </w:p>
        </w:tc>
      </w:tr>
      <w:tr w14:paraId="2A54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75" w:type="dxa"/>
            <w:vAlign w:val="center"/>
          </w:tcPr>
          <w:p w14:paraId="20A456C8">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1961" w:type="dxa"/>
            <w:vAlign w:val="center"/>
          </w:tcPr>
          <w:p w14:paraId="5BA20C39">
            <w:pPr>
              <w:pStyle w:val="2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6413" w:type="dxa"/>
            <w:vAlign w:val="center"/>
          </w:tcPr>
          <w:p w14:paraId="72BBD12D">
            <w:pPr>
              <w:spacing w:line="360" w:lineRule="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综合评分法</w:t>
            </w:r>
          </w:p>
        </w:tc>
      </w:tr>
      <w:tr w14:paraId="2A6A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75" w:type="dxa"/>
            <w:vAlign w:val="center"/>
          </w:tcPr>
          <w:p w14:paraId="0DE9EA87">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1961" w:type="dxa"/>
            <w:vAlign w:val="center"/>
          </w:tcPr>
          <w:p w14:paraId="61D6EB59">
            <w:pPr>
              <w:pStyle w:val="21"/>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评标委员会的组建</w:t>
            </w:r>
          </w:p>
        </w:tc>
        <w:tc>
          <w:tcPr>
            <w:tcW w:w="6413" w:type="dxa"/>
            <w:vAlign w:val="center"/>
          </w:tcPr>
          <w:p w14:paraId="0D0F98EA">
            <w:pPr>
              <w:adjustRightInd w:val="0"/>
              <w:snapToGrid w:val="0"/>
              <w:spacing w:line="360" w:lineRule="auto"/>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评标委员会由采购人代表和有关技术、经济等方面的专家组成，成员人数应当为</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人或以上单数。其中，技术、经济等方面的专家不得少于成员总数的三分之二。评标委员会应当推选组长，但采购人代表不得担任组长。</w:t>
            </w:r>
          </w:p>
        </w:tc>
      </w:tr>
      <w:tr w14:paraId="0914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75" w:type="dxa"/>
            <w:vAlign w:val="center"/>
          </w:tcPr>
          <w:p w14:paraId="41553835">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1961" w:type="dxa"/>
            <w:vAlign w:val="center"/>
          </w:tcPr>
          <w:p w14:paraId="7D5A21D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是否授权评标委员会确定中标人</w:t>
            </w:r>
          </w:p>
        </w:tc>
        <w:tc>
          <w:tcPr>
            <w:tcW w:w="6413" w:type="dxa"/>
            <w:vAlign w:val="center"/>
          </w:tcPr>
          <w:p w14:paraId="05D0439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是</w:t>
            </w:r>
          </w:p>
          <w:p w14:paraId="21BDCAA7">
            <w:pPr>
              <w:adjustRightInd w:val="0"/>
              <w:snapToGrid w:val="0"/>
              <w:spacing w:line="360" w:lineRule="auto"/>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 否，推荐中标候选人，推荐人数：</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人。</w:t>
            </w:r>
          </w:p>
        </w:tc>
      </w:tr>
      <w:tr w14:paraId="2385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75" w:type="dxa"/>
            <w:vAlign w:val="center"/>
          </w:tcPr>
          <w:p w14:paraId="67A1B9E8">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1961" w:type="dxa"/>
            <w:vAlign w:val="center"/>
          </w:tcPr>
          <w:p w14:paraId="4265F104">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现场踏勘</w:t>
            </w:r>
          </w:p>
        </w:tc>
        <w:tc>
          <w:tcPr>
            <w:tcW w:w="6413" w:type="dxa"/>
            <w:vAlign w:val="center"/>
          </w:tcPr>
          <w:p w14:paraId="5BDC0A55">
            <w:pPr>
              <w:widowControl/>
              <w:adjustRightInd w:val="0"/>
              <w:snapToGrid w:val="0"/>
              <w:spacing w:line="360" w:lineRule="auto"/>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否 本项目不组织现场踏勘，如供应商需要现场踏勘的，自行到现场踏勘，踏勘所需食宿、交通、安全等由供应商自行负责。</w:t>
            </w:r>
          </w:p>
        </w:tc>
      </w:tr>
      <w:tr w14:paraId="7DD7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4998941C">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1961" w:type="dxa"/>
            <w:vAlign w:val="center"/>
          </w:tcPr>
          <w:p w14:paraId="7D76D03B">
            <w:pPr>
              <w:spacing w:line="360" w:lineRule="auto"/>
              <w:jc w:val="left"/>
              <w:rPr>
                <w:rFonts w:hint="eastAsia" w:ascii="宋体" w:hAnsi="宋体" w:eastAsia="宋体" w:cs="宋体"/>
                <w:color w:val="auto"/>
                <w:spacing w:val="9"/>
                <w:sz w:val="24"/>
                <w:szCs w:val="24"/>
              </w:rPr>
            </w:pPr>
            <w:r>
              <w:rPr>
                <w:rFonts w:hint="eastAsia" w:ascii="宋体" w:hAnsi="宋体" w:eastAsia="宋体" w:cs="宋体"/>
                <w:color w:val="auto"/>
                <w:sz w:val="24"/>
                <w:szCs w:val="24"/>
              </w:rPr>
              <w:t>投标保证金</w:t>
            </w:r>
          </w:p>
        </w:tc>
        <w:tc>
          <w:tcPr>
            <w:tcW w:w="6413" w:type="dxa"/>
            <w:vAlign w:val="center"/>
          </w:tcPr>
          <w:p w14:paraId="521F745F">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fldChar w:fldCharType="begin"/>
            </w:r>
            <w:r>
              <w:rPr>
                <w:rFonts w:hint="eastAsia" w:ascii="宋体" w:hAnsi="宋体" w:eastAsia="宋体" w:cs="宋体"/>
                <w:color w:val="auto"/>
                <w:spacing w:val="-2"/>
                <w:sz w:val="24"/>
                <w:szCs w:val="24"/>
              </w:rPr>
              <w:instrText xml:space="preserve"> EQ \o(□)</w:instrTex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2"/>
                <w:sz w:val="24"/>
                <w:szCs w:val="24"/>
              </w:rPr>
              <w:t xml:space="preserve">否  </w:t>
            </w:r>
            <w:r>
              <w:rPr>
                <w:rFonts w:hint="eastAsia" w:ascii="宋体" w:hAnsi="宋体" w:eastAsia="宋体" w:cs="宋体"/>
                <w:color w:val="auto"/>
                <w:spacing w:val="-2"/>
                <w:sz w:val="24"/>
                <w:szCs w:val="24"/>
              </w:rPr>
              <w:sym w:font="Wingdings 2" w:char="0052"/>
            </w:r>
            <w:r>
              <w:rPr>
                <w:rFonts w:hint="eastAsia" w:ascii="宋体" w:hAnsi="宋体" w:eastAsia="宋体" w:cs="宋体"/>
                <w:color w:val="auto"/>
                <w:spacing w:val="-2"/>
                <w:sz w:val="24"/>
                <w:szCs w:val="24"/>
              </w:rPr>
              <w:t>是</w:t>
            </w:r>
          </w:p>
          <w:p w14:paraId="1BC053FB">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一、投标保证金提交方式</w:t>
            </w:r>
          </w:p>
          <w:p w14:paraId="3C6274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保证金缴纳方式：支票、汇票、本票、保函、银行转账、保证保险等非现金形式。</w:t>
            </w:r>
          </w:p>
          <w:p w14:paraId="280E4625">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银行转账：投标（交易）保证金应以</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2"/>
                <w:sz w:val="24"/>
                <w:szCs w:val="24"/>
              </w:rPr>
              <w:t>自身的名义提交，并且必须从其基本账户转出，不得以分支机构其他名义提交（按照规定，</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2"/>
                <w:sz w:val="24"/>
                <w:szCs w:val="24"/>
              </w:rPr>
              <w:t>可以为自然人的项目除外）。</w:t>
            </w:r>
          </w:p>
          <w:p w14:paraId="46A5D4B4">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二、投标保证金数额：</w:t>
            </w:r>
            <w:r>
              <w:rPr>
                <w:rFonts w:hint="eastAsia" w:ascii="宋体" w:hAnsi="宋体" w:eastAsia="宋体" w:cs="宋体"/>
                <w:color w:val="auto"/>
                <w:spacing w:val="-2"/>
                <w:sz w:val="24"/>
                <w:szCs w:val="24"/>
                <w:lang w:val="en-US" w:eastAsia="zh-CN"/>
              </w:rPr>
              <w:t>10000.00元</w:t>
            </w:r>
            <w:r>
              <w:rPr>
                <w:rFonts w:hint="eastAsia" w:ascii="宋体" w:hAnsi="宋体" w:eastAsia="宋体" w:cs="宋体"/>
                <w:color w:val="auto"/>
                <w:spacing w:val="-2"/>
                <w:sz w:val="24"/>
                <w:szCs w:val="24"/>
              </w:rPr>
              <w:t>。</w:t>
            </w:r>
          </w:p>
          <w:p w14:paraId="62DDE05E">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2"/>
                <w:sz w:val="24"/>
                <w:szCs w:val="24"/>
              </w:rPr>
              <w:t>需在投标截止时间前按要求提交投标保证金，递交截止时间之后递交的投标保证金将被拒绝。</w:t>
            </w:r>
          </w:p>
          <w:p w14:paraId="74F57453">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三、保证金提交的程序</w:t>
            </w:r>
          </w:p>
          <w:p w14:paraId="077C8FDD">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（一）采用银行转账方式提交的：</w:t>
            </w:r>
          </w:p>
          <w:p w14:paraId="50A7C090">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2"/>
                <w:sz w:val="24"/>
                <w:szCs w:val="24"/>
              </w:rPr>
              <w:t>应按照招标文件中关于投标保证金的各项要求提交投标保证金。请</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2"/>
                <w:sz w:val="24"/>
                <w:szCs w:val="24"/>
              </w:rPr>
              <w:t>合理安排投标保证金的递交时间（投标保证金的递交时间以保证金账户实际到账时间为准），保证金未在投标截止时间之前到帐或款项用途不明等原因导致投标无效等后果由供应商自行承担。</w:t>
            </w:r>
          </w:p>
          <w:p w14:paraId="4E9345C1">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投标保证金递交账户信息：</w:t>
            </w:r>
          </w:p>
          <w:p w14:paraId="02E7D71B">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户名：云南梧桐建设工程管理有限公司</w:t>
            </w:r>
          </w:p>
          <w:p w14:paraId="1333E00F">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开户行：兴业银行昆明小康大道支行</w:t>
            </w:r>
          </w:p>
          <w:p w14:paraId="48274A3C">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账户：471220100100090072</w:t>
            </w:r>
          </w:p>
          <w:p w14:paraId="2657C5C7">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财务部联系电话：15087499417，以电汇方式汇入的投标保证金，不需换取收据，在将电汇凭证附在投标文件中，请在对公转账备注栏填写项目编号+公司名称+包件名称+费用类型）</w:t>
            </w:r>
          </w:p>
          <w:p w14:paraId="104B1EF0">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（二）采用银行保函（保险）方式提交的：</w:t>
            </w:r>
          </w:p>
          <w:p w14:paraId="2CEEA725">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1、采用电子保险保单形式，</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2"/>
                <w:sz w:val="24"/>
                <w:szCs w:val="24"/>
              </w:rPr>
              <w:t>选择相关平台或机构自行办理投保手续，自行办理的保函（保险）需真实有效；</w:t>
            </w:r>
          </w:p>
          <w:p w14:paraId="5A8EF4A1">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2、开标前，办理成功的保函（保险）凭证扫描件需放入投标文件中；</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2"/>
                <w:sz w:val="24"/>
                <w:szCs w:val="24"/>
              </w:rPr>
              <w:t>需对自行办理的保函（保险）真实性、有效性负责；</w:t>
            </w:r>
          </w:p>
          <w:p w14:paraId="394BBB8D">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四、投标保证金退还方式</w:t>
            </w:r>
          </w:p>
          <w:p w14:paraId="2966DBC1">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1.自中标通知书发出之日起5个工作日内退还未中标人的投标保证金；未中标人的保证金通过原渠道退至基本账户中。</w:t>
            </w:r>
          </w:p>
          <w:p w14:paraId="6A09322F">
            <w:pPr>
              <w:spacing w:line="36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2.自采购合同签订之日起5个工作日内退还中标人的投标保证金：保证金将通过原渠道退至基本账户中。</w:t>
            </w:r>
          </w:p>
        </w:tc>
      </w:tr>
      <w:tr w14:paraId="2D4B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975" w:type="dxa"/>
            <w:vAlign w:val="center"/>
          </w:tcPr>
          <w:p w14:paraId="414C772F">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1961" w:type="dxa"/>
            <w:shd w:val="clear" w:color="auto" w:fill="auto"/>
            <w:vAlign w:val="center"/>
          </w:tcPr>
          <w:p w14:paraId="2D85265C">
            <w:pPr>
              <w:pStyle w:val="21"/>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履约保证金</w:t>
            </w:r>
            <w:r>
              <w:rPr>
                <w:rFonts w:hint="eastAsia" w:ascii="宋体" w:hAnsi="宋体" w:eastAsia="宋体" w:cs="宋体"/>
                <w:color w:val="auto"/>
                <w:sz w:val="24"/>
                <w:szCs w:val="24"/>
              </w:rPr>
              <w:t>金额</w:t>
            </w:r>
          </w:p>
        </w:tc>
        <w:tc>
          <w:tcPr>
            <w:tcW w:w="6413" w:type="dxa"/>
            <w:shd w:val="clear" w:color="auto" w:fill="auto"/>
            <w:vAlign w:val="center"/>
          </w:tcPr>
          <w:p w14:paraId="681D5A8E">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w:instrText>
            </w:r>
            <w:r>
              <w:rPr>
                <w:rFonts w:hint="eastAsia" w:ascii="宋体" w:hAnsi="宋体" w:eastAsia="宋体" w:cs="宋体"/>
                <w:b/>
                <w:color w:val="auto"/>
                <w:sz w:val="24"/>
                <w:szCs w:val="24"/>
              </w:rPr>
              <w:fldChar w:fldCharType="end"/>
            </w:r>
            <w:r>
              <w:rPr>
                <w:rFonts w:hint="eastAsia" w:ascii="宋体" w:hAnsi="宋体" w:eastAsia="宋体" w:cs="宋体"/>
                <w:color w:val="auto"/>
                <w:sz w:val="24"/>
                <w:szCs w:val="24"/>
              </w:rPr>
              <w:t xml:space="preserve">否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是</w:t>
            </w:r>
          </w:p>
          <w:p w14:paraId="4927F03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履约保证金金额：成交总价的5%；</w:t>
            </w:r>
          </w:p>
          <w:p w14:paraId="1C369C9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履约保证金缴纳时间：中标人应在收到中标通知书后在合同签定前缴纳至采购人指定账户；</w:t>
            </w:r>
          </w:p>
          <w:p w14:paraId="7622DC7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履约保证金缴纳方式：以支票、汇票、本票或者金融机构、担保机构出具的保函等非现金形式向甲方提供履约保证金。采购人开具同等金额收据。</w:t>
            </w:r>
          </w:p>
          <w:p w14:paraId="3270D29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履约保证金退还时间：项目最终验收合格后7个日历天内，采购人无息退还成交人合同履约保证金。履约保证金支付作为合同生效必要条件。</w:t>
            </w:r>
          </w:p>
        </w:tc>
      </w:tr>
      <w:tr w14:paraId="49B8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975" w:type="dxa"/>
            <w:vAlign w:val="center"/>
          </w:tcPr>
          <w:p w14:paraId="50F918FD">
            <w:pPr>
              <w:pStyle w:val="21"/>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30</w:t>
            </w:r>
          </w:p>
        </w:tc>
        <w:tc>
          <w:tcPr>
            <w:tcW w:w="1961" w:type="dxa"/>
            <w:vAlign w:val="center"/>
          </w:tcPr>
          <w:p w14:paraId="7F407933">
            <w:pPr>
              <w:pStyle w:val="21"/>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付款方式</w:t>
            </w:r>
          </w:p>
        </w:tc>
        <w:tc>
          <w:tcPr>
            <w:tcW w:w="6413" w:type="dxa"/>
            <w:vAlign w:val="center"/>
          </w:tcPr>
          <w:p w14:paraId="67768AD1">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自双方签订合同之日起 30个日历天内，采购人支付合同总价的50%预付款；货物到货安装完毕，并通过采购人组织的验收合格后，凭全额正式发票采购人在15个工作日内支付剩余的50%给中标人。具体支付时间以财政拨款时间为准。</w:t>
            </w:r>
          </w:p>
        </w:tc>
      </w:tr>
      <w:tr w14:paraId="6FA9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975" w:type="dxa"/>
            <w:vAlign w:val="center"/>
          </w:tcPr>
          <w:p w14:paraId="423AFF75">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1961" w:type="dxa"/>
            <w:vAlign w:val="center"/>
          </w:tcPr>
          <w:p w14:paraId="6C66FBE6">
            <w:pPr>
              <w:pStyle w:val="2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其他费用</w:t>
            </w:r>
          </w:p>
        </w:tc>
        <w:tc>
          <w:tcPr>
            <w:tcW w:w="6413" w:type="dxa"/>
            <w:vAlign w:val="center"/>
          </w:tcPr>
          <w:p w14:paraId="45DAA2F0">
            <w:pPr>
              <w:spacing w:line="360" w:lineRule="auto"/>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在参与投标过程中发生的一切费用均由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自理。项目评审委员会对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提交的投标文件进行综合审判，将根据招标文件的规定选取一家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作为本项目的中标候选人。对未中标的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，不予经济补偿。</w:t>
            </w:r>
          </w:p>
        </w:tc>
      </w:tr>
      <w:tr w14:paraId="2548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975" w:type="dxa"/>
            <w:vAlign w:val="center"/>
          </w:tcPr>
          <w:p w14:paraId="58559CC5">
            <w:pPr>
              <w:pStyle w:val="2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1961" w:type="dxa"/>
            <w:shd w:val="clear" w:color="auto" w:fill="auto"/>
            <w:vAlign w:val="center"/>
          </w:tcPr>
          <w:p w14:paraId="676C1332">
            <w:pPr>
              <w:pStyle w:val="21"/>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代理</w:t>
            </w:r>
            <w:r>
              <w:rPr>
                <w:rFonts w:hint="eastAsia" w:ascii="宋体" w:hAnsi="宋体" w:eastAsia="宋体" w:cs="宋体"/>
                <w:color w:val="auto"/>
                <w:sz w:val="24"/>
                <w:szCs w:val="24"/>
              </w:rPr>
              <w:t>服务费</w:t>
            </w:r>
          </w:p>
        </w:tc>
        <w:tc>
          <w:tcPr>
            <w:tcW w:w="6413" w:type="dxa"/>
            <w:shd w:val="clear" w:color="auto" w:fill="auto"/>
            <w:vAlign w:val="center"/>
          </w:tcPr>
          <w:p w14:paraId="2DEBD860">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代理</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费按计价格[2002]1980号文件及发改价格[2015]299号文件服务收费标准基准收费率下浮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20 </w:t>
            </w:r>
            <w:r>
              <w:rPr>
                <w:rFonts w:hint="eastAsia" w:ascii="宋体" w:hAnsi="宋体" w:eastAsia="宋体" w:cs="宋体"/>
                <w:color w:val="auto"/>
                <w:sz w:val="24"/>
                <w:szCs w:val="24"/>
                <w:highlight w:val="none"/>
              </w:rPr>
              <w:t>%收取</w:t>
            </w:r>
            <w:r>
              <w:rPr>
                <w:rFonts w:hint="eastAsia" w:ascii="宋体" w:hAnsi="宋体" w:eastAsia="宋体" w:cs="宋体"/>
                <w:color w:val="auto"/>
                <w:sz w:val="24"/>
                <w:szCs w:val="24"/>
                <w:highlight w:val="none"/>
                <w:lang w:val="en-US" w:eastAsia="zh-CN"/>
              </w:rPr>
              <w:t>，由中标人</w:t>
            </w:r>
            <w:r>
              <w:rPr>
                <w:rFonts w:hint="eastAsia" w:ascii="宋体" w:hAnsi="宋体" w:eastAsia="宋体" w:cs="宋体"/>
                <w:color w:val="auto"/>
                <w:sz w:val="24"/>
                <w:szCs w:val="24"/>
                <w:highlight w:val="none"/>
              </w:rPr>
              <w:t>在领取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通知书时一次性支付给代理机构。</w:t>
            </w:r>
          </w:p>
          <w:p w14:paraId="7ADA4471">
            <w:pPr>
              <w:pStyle w:val="2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供应商在参与投标过程中发生的一切费用均由供应商自理。项目评审委员会对供应商提交的投标文件进行综合审判，将根据招标文件的规定选取一家供应商作为本项目的中标候选人。对未中标的供应商，不予经济补偿。</w:t>
            </w:r>
          </w:p>
        </w:tc>
      </w:tr>
      <w:tr w14:paraId="5A14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 w:type="dxa"/>
            <w:vAlign w:val="center"/>
          </w:tcPr>
          <w:p w14:paraId="61EB49B8">
            <w:pPr>
              <w:pStyle w:val="21"/>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p>
        </w:tc>
        <w:tc>
          <w:tcPr>
            <w:tcW w:w="1961" w:type="dxa"/>
            <w:vAlign w:val="center"/>
          </w:tcPr>
          <w:p w14:paraId="1A77F4FB">
            <w:pPr>
              <w:pStyle w:val="2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需要补充的其他内容</w:t>
            </w:r>
          </w:p>
        </w:tc>
        <w:tc>
          <w:tcPr>
            <w:tcW w:w="6413" w:type="dxa"/>
            <w:vAlign w:val="center"/>
          </w:tcPr>
          <w:p w14:paraId="06FE128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1.不良行为记录是指：</w:t>
            </w:r>
          </w:p>
          <w:p w14:paraId="5C1AB57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（1）以受让或者借用或者涂改或者盗用或者伪造证书、图章、签名以及其他弄虚作假的方式参与响应的；</w:t>
            </w:r>
          </w:p>
          <w:p w14:paraId="07B074F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相互串通参与响应或者与采购人串通参与采购的；</w:t>
            </w:r>
          </w:p>
          <w:p w14:paraId="17830BC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（3）行贿或者索贿或者受贿或者接受其他好处的；</w:t>
            </w:r>
          </w:p>
          <w:p w14:paraId="1968B7E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（4）将成交项目进行转包或者违法分包的；</w:t>
            </w:r>
          </w:p>
          <w:p w14:paraId="6163D92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（5）无故放弃成交的；</w:t>
            </w:r>
          </w:p>
          <w:p w14:paraId="4E8DBA6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（6）不履行投标文件承诺的。</w:t>
            </w:r>
          </w:p>
          <w:p w14:paraId="2E33EA9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2.解释顺序：</w:t>
            </w:r>
          </w:p>
          <w:p w14:paraId="18BB640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招标文件中采购人编制的内容前后有矛盾或不一致，有时间先后顺序的，以时间在后的修改、澄清或补正文件为准；没有时间先后顺序的，以公平的原则进行处理。</w:t>
            </w:r>
          </w:p>
          <w:p w14:paraId="67F9D4E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3.其他：</w:t>
            </w:r>
          </w:p>
          <w:p w14:paraId="7668C89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（1）所有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的投标文件必须是在接受采购人招标文件（含合同条款等）的基础上作出的承诺，若成交人对招标文件（含合同条款等）提出修改要求，采购人可视为其不响应招标文件的实质性条款，取消其成交资格。</w:t>
            </w:r>
          </w:p>
          <w:p w14:paraId="2CE4A85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除不可抗力等因素外，成交通知书发出后，采购人改变成交结果，或者成交人拒绝签订政府采购合同的，应当承担相应的法律责任。成交人拒绝签订政府采购合同的，采购人可以按照《中华人民共和国政府采购法实施条例》第四十九条规定的原则确定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作为成交人并签订政府采购合同，也可以重新开展采购活动。拒绝签订政府采购合同的成交人不得参加对该项目重新开展的采购活动。</w:t>
            </w:r>
          </w:p>
          <w:p w14:paraId="5B1BF1B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（3）本招标文件中的所有条款，包括合同条款均是招标文件的实质性组成部分，</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的投标文件是在充分理解了招标文件（含合同条款）的所有条款后作出的决定，是对招标文件的实质性响应，</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成交后不得对招标文件实质性内容进行修改或质询。若成交人对招标文件（含合同条款）提出修改要求，采购人有权拒绝与之其签订合同，取消其成交候选人资格，由此产生的一切后果全部由成交人承担。</w:t>
            </w:r>
          </w:p>
        </w:tc>
      </w:tr>
    </w:tbl>
    <w:p w14:paraId="4C884CB4">
      <w:pPr>
        <w:rPr>
          <w:rFonts w:hint="eastAsia" w:asciiTheme="minorEastAsia" w:hAnsiTheme="minorEastAsia" w:eastAsiaTheme="minorEastAsia" w:cstheme="minorEastAsia"/>
          <w:color w:val="auto"/>
        </w:rPr>
      </w:pPr>
    </w:p>
    <w:p w14:paraId="23F36A83">
      <w:pPr>
        <w:pStyle w:val="3"/>
        <w:spacing w:before="0"/>
        <w:jc w:val="center"/>
        <w:rPr>
          <w:rFonts w:hint="eastAsia"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br w:type="page"/>
      </w:r>
      <w:bookmarkStart w:id="36" w:name="_Toc16442"/>
      <w:bookmarkStart w:id="37" w:name="_Toc20648"/>
      <w:bookmarkStart w:id="38" w:name="_Toc15725"/>
      <w:r>
        <w:rPr>
          <w:rFonts w:hint="eastAsia" w:asciiTheme="minorEastAsia" w:hAnsiTheme="minorEastAsia" w:eastAsiaTheme="minorEastAsia" w:cstheme="minorEastAsia"/>
          <w:color w:val="auto"/>
          <w:szCs w:val="28"/>
        </w:rPr>
        <w:t>一、总  则</w:t>
      </w:r>
      <w:bookmarkEnd w:id="36"/>
      <w:bookmarkEnd w:id="37"/>
      <w:bookmarkEnd w:id="38"/>
    </w:p>
    <w:p w14:paraId="4C49E441">
      <w:pPr>
        <w:pStyle w:val="4"/>
        <w:spacing w:before="0" w:line="400" w:lineRule="exact"/>
        <w:ind w:left="420" w:hanging="420"/>
        <w:rPr>
          <w:rFonts w:hint="eastAsia" w:asciiTheme="minorEastAsia" w:hAnsiTheme="minorEastAsia" w:eastAsiaTheme="minorEastAsia" w:cstheme="minorEastAsia"/>
          <w:color w:val="auto"/>
          <w:sz w:val="24"/>
          <w:szCs w:val="24"/>
        </w:rPr>
      </w:pPr>
      <w:bookmarkStart w:id="39" w:name="_Toc1255"/>
      <w:bookmarkStart w:id="40" w:name="_Toc30115"/>
      <w:r>
        <w:rPr>
          <w:rFonts w:hint="eastAsia" w:asciiTheme="minorEastAsia" w:hAnsiTheme="minorEastAsia" w:eastAsiaTheme="minorEastAsia" w:cstheme="minorEastAsia"/>
          <w:color w:val="auto"/>
          <w:sz w:val="24"/>
          <w:szCs w:val="24"/>
        </w:rPr>
        <w:t>1.项目概况</w:t>
      </w:r>
      <w:bookmarkEnd w:id="39"/>
      <w:bookmarkEnd w:id="40"/>
    </w:p>
    <w:p w14:paraId="49C66216">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1.1根据《中华人民共和国招标投标法》、《中华人民共和国政府采购法》、《政府采购货物和服务招标投标管理办法》(财政部令第 87 号) 等有关法律、法规和规章的规定，本项目已获得政府采购主管部门的批准，项目资金已落实。现对本项目进行公开招标。</w:t>
      </w:r>
    </w:p>
    <w:p w14:paraId="5AADC2FA">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1.2采购人：见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w:t>
      </w:r>
    </w:p>
    <w:p w14:paraId="571DDA9E">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1.3采购代理机构：见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w:t>
      </w:r>
    </w:p>
    <w:p w14:paraId="2F58CB85">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1.4招标项目名称：见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w:t>
      </w:r>
    </w:p>
    <w:p w14:paraId="7C848B46">
      <w:pPr>
        <w:pStyle w:val="4"/>
        <w:spacing w:before="0"/>
        <w:ind w:left="420" w:hanging="420"/>
        <w:rPr>
          <w:rFonts w:hint="eastAsia" w:asciiTheme="minorEastAsia" w:hAnsiTheme="minorEastAsia" w:eastAsiaTheme="minorEastAsia" w:cstheme="minorEastAsia"/>
          <w:color w:val="auto"/>
          <w:sz w:val="24"/>
          <w:szCs w:val="24"/>
        </w:rPr>
      </w:pPr>
      <w:bookmarkStart w:id="41" w:name="_Toc8337"/>
      <w:bookmarkStart w:id="42" w:name="_Toc4092"/>
      <w:r>
        <w:rPr>
          <w:rFonts w:hint="eastAsia" w:asciiTheme="minorEastAsia" w:hAnsiTheme="minorEastAsia" w:eastAsiaTheme="minorEastAsia" w:cstheme="minorEastAsia"/>
          <w:color w:val="auto"/>
          <w:sz w:val="24"/>
          <w:szCs w:val="24"/>
        </w:rPr>
        <w:t>2.资金来源</w:t>
      </w:r>
      <w:bookmarkEnd w:id="41"/>
      <w:bookmarkEnd w:id="42"/>
    </w:p>
    <w:p w14:paraId="03DFF418">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 资金落实情况：已落实。</w:t>
      </w:r>
    </w:p>
    <w:p w14:paraId="41A3F357">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 预算金额：</w:t>
      </w:r>
      <w:bookmarkStart w:id="43" w:name="_Hlk75008812"/>
      <w:r>
        <w:rPr>
          <w:rFonts w:hint="eastAsia" w:asciiTheme="minorEastAsia" w:hAnsiTheme="minorEastAsia" w:eastAsiaTheme="minorEastAsia" w:cstheme="minorEastAsia"/>
          <w:color w:val="auto"/>
          <w:sz w:val="24"/>
        </w:rPr>
        <w:t>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w:t>
      </w:r>
      <w:bookmarkEnd w:id="43"/>
    </w:p>
    <w:p w14:paraId="49BB3A67">
      <w:pPr>
        <w:pStyle w:val="4"/>
        <w:spacing w:before="0"/>
        <w:ind w:left="420" w:hanging="420"/>
        <w:rPr>
          <w:rFonts w:hint="eastAsia" w:asciiTheme="minorEastAsia" w:hAnsiTheme="minorEastAsia" w:eastAsiaTheme="minorEastAsia" w:cstheme="minorEastAsia"/>
          <w:color w:val="auto"/>
          <w:sz w:val="24"/>
          <w:szCs w:val="24"/>
        </w:rPr>
      </w:pPr>
      <w:bookmarkStart w:id="44" w:name="_Toc2461"/>
      <w:bookmarkStart w:id="45" w:name="_Toc22359"/>
      <w:r>
        <w:rPr>
          <w:rFonts w:hint="eastAsia" w:asciiTheme="minorEastAsia" w:hAnsiTheme="minorEastAsia" w:eastAsiaTheme="minorEastAsia" w:cstheme="minorEastAsia"/>
          <w:color w:val="auto"/>
          <w:sz w:val="24"/>
          <w:szCs w:val="24"/>
        </w:rPr>
        <w:t>3.采购需求及合同履行期限</w:t>
      </w:r>
      <w:bookmarkEnd w:id="44"/>
      <w:bookmarkEnd w:id="45"/>
    </w:p>
    <w:p w14:paraId="2EBC6D8A">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3.1 本项目采购需求：见“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w:t>
      </w:r>
    </w:p>
    <w:p w14:paraId="0DC3251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 本项目合同履行期限：见“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w:t>
      </w:r>
    </w:p>
    <w:p w14:paraId="1272DB05">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 本项目服务地点：见“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w:t>
      </w:r>
    </w:p>
    <w:p w14:paraId="5B49055D">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3.4 本项目质量</w:t>
      </w:r>
      <w:r>
        <w:rPr>
          <w:rFonts w:hint="eastAsia" w:asciiTheme="minorEastAsia" w:hAnsiTheme="minorEastAsia" w:eastAsiaTheme="minorEastAsia" w:cstheme="minorEastAsia"/>
          <w:color w:val="auto"/>
          <w:sz w:val="24"/>
          <w:lang w:eastAsia="zh-CN"/>
        </w:rPr>
        <w:t>标准</w:t>
      </w:r>
      <w:r>
        <w:rPr>
          <w:rFonts w:hint="eastAsia" w:asciiTheme="minorEastAsia" w:hAnsiTheme="minorEastAsia" w:eastAsiaTheme="minorEastAsia" w:cstheme="minorEastAsia"/>
          <w:color w:val="auto"/>
          <w:sz w:val="24"/>
        </w:rPr>
        <w:t>：见“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w:t>
      </w:r>
    </w:p>
    <w:p w14:paraId="1B5FA39E">
      <w:pPr>
        <w:pStyle w:val="4"/>
        <w:spacing w:before="0"/>
        <w:ind w:left="420" w:hanging="420"/>
        <w:rPr>
          <w:rFonts w:hint="eastAsia" w:asciiTheme="minorEastAsia" w:hAnsiTheme="minorEastAsia" w:eastAsiaTheme="minorEastAsia" w:cstheme="minorEastAsia"/>
          <w:color w:val="auto"/>
          <w:sz w:val="24"/>
          <w:szCs w:val="24"/>
          <w:lang w:eastAsia="zh-CN"/>
        </w:rPr>
      </w:pPr>
      <w:bookmarkStart w:id="46" w:name="_Toc23497"/>
      <w:bookmarkStart w:id="47" w:name="_Toc15554"/>
      <w:r>
        <w:rPr>
          <w:rFonts w:hint="eastAsia" w:asciiTheme="minorEastAsia" w:hAnsiTheme="minorEastAsia" w:eastAsiaTheme="minorEastAsia" w:cstheme="minorEastAsia"/>
          <w:color w:val="auto"/>
          <w:sz w:val="24"/>
          <w:szCs w:val="24"/>
        </w:rPr>
        <w:t>4.合格的</w:t>
      </w:r>
      <w:bookmarkEnd w:id="46"/>
      <w:bookmarkEnd w:id="47"/>
      <w:r>
        <w:rPr>
          <w:rFonts w:hint="eastAsia" w:asciiTheme="minorEastAsia" w:hAnsiTheme="minorEastAsia" w:eastAsiaTheme="minorEastAsia" w:cstheme="minorEastAsia"/>
          <w:color w:val="auto"/>
          <w:sz w:val="24"/>
          <w:szCs w:val="24"/>
          <w:lang w:eastAsia="zh-CN"/>
        </w:rPr>
        <w:t>供应商</w:t>
      </w:r>
    </w:p>
    <w:p w14:paraId="3F14AE47">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4.1合格的</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w:t>
      </w:r>
    </w:p>
    <w:p w14:paraId="176EB762">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4.2 本次招标 不接受联合体投标。</w:t>
      </w:r>
    </w:p>
    <w:p w14:paraId="0D7DD90F">
      <w:pPr>
        <w:pStyle w:val="4"/>
        <w:spacing w:before="0"/>
        <w:ind w:left="420" w:hanging="420"/>
        <w:rPr>
          <w:rFonts w:hint="eastAsia" w:asciiTheme="minorEastAsia" w:hAnsiTheme="minorEastAsia" w:eastAsiaTheme="minorEastAsia" w:cstheme="minorEastAsia"/>
          <w:color w:val="auto"/>
          <w:sz w:val="24"/>
          <w:szCs w:val="24"/>
        </w:rPr>
      </w:pPr>
      <w:bookmarkStart w:id="48" w:name="_Toc7676"/>
      <w:bookmarkStart w:id="49" w:name="_Toc14599"/>
      <w:r>
        <w:rPr>
          <w:rFonts w:hint="eastAsia" w:asciiTheme="minorEastAsia" w:hAnsiTheme="minorEastAsia" w:eastAsiaTheme="minorEastAsia" w:cstheme="minorEastAsia"/>
          <w:color w:val="auto"/>
          <w:sz w:val="24"/>
          <w:szCs w:val="24"/>
        </w:rPr>
        <w:t>5.投标费用</w:t>
      </w:r>
      <w:bookmarkEnd w:id="48"/>
      <w:bookmarkEnd w:id="49"/>
    </w:p>
    <w:p w14:paraId="2FFCDF9B">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不论投标结果如何，</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均应自行承担所有与准备和参加投标活动有关的全部费用。</w:t>
      </w:r>
    </w:p>
    <w:p w14:paraId="131AF7E8">
      <w:pPr>
        <w:pStyle w:val="3"/>
        <w:spacing w:before="0"/>
        <w:jc w:val="center"/>
        <w:rPr>
          <w:rFonts w:hint="eastAsia" w:asciiTheme="minorEastAsia" w:hAnsiTheme="minorEastAsia" w:eastAsiaTheme="minorEastAsia" w:cstheme="minorEastAsia"/>
          <w:color w:val="auto"/>
          <w:szCs w:val="28"/>
        </w:rPr>
      </w:pPr>
      <w:bookmarkStart w:id="50" w:name="_Toc31177"/>
      <w:bookmarkStart w:id="51" w:name="_Toc19732"/>
      <w:bookmarkStart w:id="52" w:name="_Toc14131"/>
      <w:r>
        <w:rPr>
          <w:rFonts w:hint="eastAsia" w:asciiTheme="minorEastAsia" w:hAnsiTheme="minorEastAsia" w:eastAsiaTheme="minorEastAsia" w:cstheme="minorEastAsia"/>
          <w:color w:val="auto"/>
          <w:szCs w:val="28"/>
        </w:rPr>
        <w:t>二、招标文件</w:t>
      </w:r>
      <w:bookmarkEnd w:id="50"/>
      <w:bookmarkEnd w:id="51"/>
      <w:bookmarkEnd w:id="52"/>
    </w:p>
    <w:p w14:paraId="0CA53469">
      <w:pPr>
        <w:pStyle w:val="4"/>
        <w:spacing w:before="0" w:line="400" w:lineRule="exact"/>
        <w:ind w:left="420" w:hanging="420"/>
        <w:rPr>
          <w:rFonts w:hint="eastAsia" w:asciiTheme="minorEastAsia" w:hAnsiTheme="minorEastAsia" w:eastAsiaTheme="minorEastAsia" w:cstheme="minorEastAsia"/>
          <w:color w:val="auto"/>
          <w:sz w:val="24"/>
          <w:szCs w:val="24"/>
        </w:rPr>
      </w:pPr>
      <w:bookmarkStart w:id="53" w:name="_Toc3105"/>
      <w:bookmarkStart w:id="54" w:name="_Toc10063"/>
      <w:r>
        <w:rPr>
          <w:rFonts w:hint="eastAsia" w:asciiTheme="minorEastAsia" w:hAnsiTheme="minorEastAsia" w:eastAsiaTheme="minorEastAsia" w:cstheme="minorEastAsia"/>
          <w:color w:val="auto"/>
          <w:sz w:val="24"/>
          <w:szCs w:val="24"/>
        </w:rPr>
        <w:t>6.招标文件构成</w:t>
      </w:r>
      <w:bookmarkEnd w:id="53"/>
      <w:bookmarkEnd w:id="54"/>
    </w:p>
    <w:p w14:paraId="38D84B4E">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6.1招标文件包括：包含招标公告（或投标邀请书）、</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须知、评标办法、合同条款、技术标准和要求、投标文件格式、</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须知前附表规定的其他材料；</w:t>
      </w:r>
    </w:p>
    <w:p w14:paraId="5CCDBACA">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6.2根据本章对招标文件所作的澄清、修改，构成招标文件的组成部分。</w:t>
      </w:r>
    </w:p>
    <w:p w14:paraId="5B83ADD9">
      <w:pPr>
        <w:pStyle w:val="4"/>
        <w:spacing w:before="0" w:line="400" w:lineRule="exact"/>
        <w:ind w:left="420" w:hanging="420"/>
        <w:rPr>
          <w:rFonts w:hint="eastAsia" w:asciiTheme="minorEastAsia" w:hAnsiTheme="minorEastAsia" w:eastAsiaTheme="minorEastAsia" w:cstheme="minorEastAsia"/>
          <w:color w:val="auto"/>
          <w:sz w:val="24"/>
          <w:szCs w:val="24"/>
        </w:rPr>
      </w:pPr>
      <w:bookmarkStart w:id="55" w:name="_Toc6583"/>
      <w:bookmarkStart w:id="56" w:name="_Toc14159"/>
      <w:r>
        <w:rPr>
          <w:rFonts w:hint="eastAsia" w:asciiTheme="minorEastAsia" w:hAnsiTheme="minorEastAsia" w:eastAsiaTheme="minorEastAsia" w:cstheme="minorEastAsia"/>
          <w:color w:val="auto"/>
          <w:sz w:val="24"/>
          <w:szCs w:val="24"/>
        </w:rPr>
        <w:t>7.招标文件的澄清</w:t>
      </w:r>
      <w:bookmarkEnd w:id="55"/>
      <w:bookmarkEnd w:id="56"/>
    </w:p>
    <w:p w14:paraId="65B14F32">
      <w:pPr>
        <w:spacing w:line="360" w:lineRule="auto"/>
        <w:ind w:firstLine="480" w:firstLineChars="200"/>
        <w:jc w:val="left"/>
        <w:rPr>
          <w:rFonts w:hint="eastAsia" w:asciiTheme="minorEastAsia" w:hAnsiTheme="minorEastAsia" w:eastAsiaTheme="minorEastAsia" w:cstheme="minorEastAsia"/>
          <w:color w:val="auto"/>
          <w:sz w:val="24"/>
        </w:rPr>
      </w:pPr>
      <w:bookmarkStart w:id="57" w:name="_Toc12923"/>
      <w:r>
        <w:rPr>
          <w:rFonts w:hint="eastAsia" w:asciiTheme="minorEastAsia" w:hAnsiTheme="minorEastAsia" w:eastAsiaTheme="minorEastAsia" w:cstheme="minorEastAsia"/>
          <w:color w:val="auto"/>
          <w:sz w:val="24"/>
        </w:rPr>
        <w:t>7.1</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应认真核查招标文件，如有疑问的，</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可以在 “</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须知前附表”规定截止时间前以在线不署名提交要求采购人澄清，截止时间后送达的澄清要求不予接受。所有获取了采购文件的潜在</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凭企业数字证书（CA）登录政采云平台（https://www.zcygov.cn/），通过在线方式进行不署名提问。</w:t>
      </w:r>
    </w:p>
    <w:p w14:paraId="5E382A8C">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7.2任何要求对招标文件进行澄清的潜在</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，在政采云平台及书面形式通知采购代理机构。采购代理机构对</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自获取招标文件之日起7个工作日内收到的对招标文件的澄清要求均以书面形式予以答复，同时将书面答复通知每个获取招标文件的</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，答复中包括所问问题，但不包括问题的来源；逾期提交的的疑问问题将不予回答。</w:t>
      </w:r>
    </w:p>
    <w:p w14:paraId="2BC52097">
      <w:pPr>
        <w:pStyle w:val="4"/>
        <w:spacing w:before="0" w:line="400" w:lineRule="exact"/>
        <w:rPr>
          <w:rFonts w:hint="eastAsia" w:asciiTheme="minorEastAsia" w:hAnsiTheme="minorEastAsia" w:eastAsiaTheme="minorEastAsia" w:cstheme="minorEastAsia"/>
          <w:color w:val="auto"/>
          <w:sz w:val="24"/>
          <w:szCs w:val="24"/>
        </w:rPr>
      </w:pPr>
      <w:bookmarkStart w:id="58" w:name="_Toc21716"/>
      <w:r>
        <w:rPr>
          <w:rFonts w:hint="eastAsia" w:asciiTheme="minorEastAsia" w:hAnsiTheme="minorEastAsia" w:eastAsiaTheme="minorEastAsia" w:cstheme="minorEastAsia"/>
          <w:color w:val="auto"/>
          <w:sz w:val="24"/>
          <w:szCs w:val="24"/>
        </w:rPr>
        <w:t>8.招标文件的修改</w:t>
      </w:r>
      <w:bookmarkEnd w:id="57"/>
      <w:bookmarkEnd w:id="58"/>
    </w:p>
    <w:p w14:paraId="448011A1">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8.1 在投标截止时间15天前，确需要变更招标文件内容的，采购人可主动或在解答</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提出的澄清问题时对招标文件进行修改，并同时报主管部门备案。无论对评标办法、评审项目等重要评审内容作何种变更，都要重新制作技术标招标文件，并重新备案，同时发布补遗文件进行说明以保证各</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都能获取招标文件用于编制投标文件。招标文件的修改将在原公告发布网站发布，招标文件的修改作为招标文件的组成部分，并具有约束力。</w:t>
      </w:r>
    </w:p>
    <w:p w14:paraId="00311FFD">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8.2</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应在投标截止时间前及时登录政采云平台（https://www.zcygov.cn/）中查看有关该公开招标文件的答疑、补遗内容。否则，后果自负。</w:t>
      </w:r>
    </w:p>
    <w:p w14:paraId="77A4DFDC">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8.3招标文件澄清、招标文件修改文件内容均以网上电子文件为准，当招标文件、招标文件澄清、招标文件修改文件内容前后相互矛盾时，以最后发出的为准。</w:t>
      </w:r>
    </w:p>
    <w:p w14:paraId="0B2CE88C">
      <w:pPr>
        <w:pStyle w:val="3"/>
        <w:spacing w:before="0"/>
        <w:jc w:val="center"/>
        <w:rPr>
          <w:rFonts w:hint="eastAsia" w:asciiTheme="minorEastAsia" w:hAnsiTheme="minorEastAsia" w:eastAsiaTheme="minorEastAsia" w:cstheme="minorEastAsia"/>
          <w:color w:val="auto"/>
          <w:szCs w:val="28"/>
        </w:rPr>
      </w:pPr>
      <w:bookmarkStart w:id="59" w:name="_Toc3303"/>
      <w:bookmarkStart w:id="60" w:name="_Toc3593"/>
      <w:bookmarkStart w:id="61" w:name="_Toc16535"/>
      <w:r>
        <w:rPr>
          <w:rFonts w:hint="eastAsia" w:asciiTheme="minorEastAsia" w:hAnsiTheme="minorEastAsia" w:eastAsiaTheme="minorEastAsia" w:cstheme="minorEastAsia"/>
          <w:color w:val="auto"/>
          <w:szCs w:val="28"/>
        </w:rPr>
        <w:t>三、投标文件的编制</w:t>
      </w:r>
      <w:bookmarkEnd w:id="59"/>
      <w:bookmarkEnd w:id="60"/>
      <w:bookmarkEnd w:id="61"/>
    </w:p>
    <w:p w14:paraId="54E1FAD4">
      <w:pPr>
        <w:pStyle w:val="4"/>
        <w:spacing w:before="0"/>
        <w:ind w:left="420" w:hanging="420"/>
        <w:rPr>
          <w:rFonts w:hint="eastAsia" w:asciiTheme="minorEastAsia" w:hAnsiTheme="minorEastAsia" w:eastAsiaTheme="minorEastAsia" w:cstheme="minorEastAsia"/>
          <w:color w:val="auto"/>
          <w:sz w:val="24"/>
          <w:szCs w:val="24"/>
        </w:rPr>
      </w:pPr>
      <w:bookmarkStart w:id="62" w:name="_Toc13675"/>
      <w:bookmarkStart w:id="63" w:name="_Toc8272"/>
      <w:r>
        <w:rPr>
          <w:rFonts w:hint="eastAsia" w:asciiTheme="minorEastAsia" w:hAnsiTheme="minorEastAsia" w:eastAsiaTheme="minorEastAsia" w:cstheme="minorEastAsia"/>
          <w:color w:val="auto"/>
          <w:sz w:val="24"/>
          <w:szCs w:val="24"/>
        </w:rPr>
        <w:t>9.投标文件编写注意事项</w:t>
      </w:r>
      <w:bookmarkEnd w:id="62"/>
      <w:bookmarkEnd w:id="63"/>
    </w:p>
    <w:p w14:paraId="7C608B27">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9.1 </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应仔细阅读招标文件，在完全了解采购的内容、技术性能要求（见第五章“采购需求”）和商务条件后，编写投标文件。如果没有按照招标文件要求提交全部投标文件或者资料，没有对招标文件的实质性要求和条件作出响应是</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的风险，并可能导致该投标被拒绝。</w:t>
      </w:r>
    </w:p>
    <w:p w14:paraId="1EC745D7">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sz w:val="24"/>
        </w:rPr>
        <w:t>9.2投标文件的</w:t>
      </w:r>
      <w:r>
        <w:rPr>
          <w:rFonts w:hint="eastAsia" w:asciiTheme="minorEastAsia" w:hAnsiTheme="minorEastAsia" w:eastAsiaTheme="minorEastAsia" w:cstheme="minorEastAsia"/>
          <w:color w:val="auto"/>
          <w:sz w:val="24"/>
        </w:rPr>
        <w:t>签署按“</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 xml:space="preserve">须知前附表”。 </w:t>
      </w:r>
    </w:p>
    <w:p w14:paraId="5DCF0785">
      <w:pPr>
        <w:spacing w:line="360" w:lineRule="auto"/>
        <w:ind w:firstLine="480" w:firstLineChars="200"/>
        <w:jc w:val="left"/>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9.3实质性要求和条件按“</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w:t>
      </w:r>
      <w:r>
        <w:rPr>
          <w:rFonts w:hint="eastAsia" w:asciiTheme="minorEastAsia" w:hAnsiTheme="minorEastAsia" w:eastAsiaTheme="minorEastAsia" w:cstheme="minorEastAsia"/>
          <w:bCs/>
          <w:color w:val="auto"/>
          <w:sz w:val="24"/>
        </w:rPr>
        <w:t>前附表”。</w:t>
      </w:r>
    </w:p>
    <w:p w14:paraId="6A605EEB">
      <w:pPr>
        <w:pStyle w:val="4"/>
        <w:spacing w:before="0"/>
        <w:ind w:left="420" w:hanging="420"/>
        <w:rPr>
          <w:rFonts w:hint="eastAsia" w:asciiTheme="minorEastAsia" w:hAnsiTheme="minorEastAsia" w:eastAsiaTheme="minorEastAsia" w:cstheme="minorEastAsia"/>
          <w:color w:val="auto"/>
          <w:sz w:val="24"/>
          <w:szCs w:val="24"/>
        </w:rPr>
      </w:pPr>
      <w:bookmarkStart w:id="64" w:name="_Toc31672"/>
      <w:bookmarkStart w:id="65" w:name="_Toc5686"/>
      <w:r>
        <w:rPr>
          <w:rFonts w:hint="eastAsia" w:asciiTheme="minorEastAsia" w:hAnsiTheme="minorEastAsia" w:eastAsiaTheme="minorEastAsia" w:cstheme="minorEastAsia"/>
          <w:color w:val="auto"/>
          <w:sz w:val="24"/>
          <w:szCs w:val="24"/>
        </w:rPr>
        <w:t>10.语言及计量单位</w:t>
      </w:r>
      <w:bookmarkEnd w:id="64"/>
      <w:bookmarkEnd w:id="65"/>
    </w:p>
    <w:p w14:paraId="0E2642E7">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10.1 </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的投标文件以及</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与采购代理机构就有关投标的所有来往函电统一使用中文（特别规定除外）。</w:t>
      </w:r>
    </w:p>
    <w:p w14:paraId="6CE1501D">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10.2 投标文件中使用的计量单位除招标文件中有特殊规定外，一律使用中国法定计量单位。</w:t>
      </w:r>
    </w:p>
    <w:p w14:paraId="1ACB4B38">
      <w:pPr>
        <w:pStyle w:val="4"/>
        <w:spacing w:before="0"/>
        <w:ind w:left="420" w:hanging="420"/>
        <w:rPr>
          <w:rFonts w:hint="eastAsia" w:asciiTheme="minorEastAsia" w:hAnsiTheme="minorEastAsia" w:eastAsiaTheme="minorEastAsia" w:cstheme="minorEastAsia"/>
          <w:color w:val="auto"/>
          <w:sz w:val="24"/>
          <w:szCs w:val="24"/>
        </w:rPr>
      </w:pPr>
      <w:bookmarkStart w:id="66" w:name="_Toc15107"/>
      <w:bookmarkStart w:id="67" w:name="_Toc29623"/>
      <w:r>
        <w:rPr>
          <w:rFonts w:hint="eastAsia" w:asciiTheme="minorEastAsia" w:hAnsiTheme="minorEastAsia" w:eastAsiaTheme="minorEastAsia" w:cstheme="minorEastAsia"/>
          <w:color w:val="auto"/>
          <w:sz w:val="24"/>
          <w:szCs w:val="24"/>
        </w:rPr>
        <w:t>11.投标文件的格式要求</w:t>
      </w:r>
      <w:bookmarkEnd w:id="66"/>
      <w:bookmarkEnd w:id="67"/>
    </w:p>
    <w:p w14:paraId="04115F5E">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11.1投标文件资格审查部分按第四章“投标文件格式”资格审查部分中的内容。</w:t>
      </w:r>
    </w:p>
    <w:p w14:paraId="29843938">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11.2投标文件商务技术部分按第四章“投标文件格式”商务技术部分中的内容。</w:t>
      </w:r>
    </w:p>
    <w:p w14:paraId="5093E94B">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11.3</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在评标过程中作出的符合法律法规和招标文件规定的澄清确认，构成投标文件的组成部分。</w:t>
      </w:r>
    </w:p>
    <w:p w14:paraId="5569B4D1">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rPr>
        <w:t>11.4构成投标文件的其他资料按“须知前附表”。</w:t>
      </w:r>
    </w:p>
    <w:p w14:paraId="534A9635">
      <w:pPr>
        <w:pStyle w:val="4"/>
        <w:spacing w:before="0"/>
        <w:ind w:left="420" w:hanging="420"/>
        <w:rPr>
          <w:rFonts w:hint="eastAsia" w:asciiTheme="minorEastAsia" w:hAnsiTheme="minorEastAsia" w:eastAsiaTheme="minorEastAsia" w:cstheme="minorEastAsia"/>
          <w:color w:val="auto"/>
          <w:sz w:val="24"/>
          <w:szCs w:val="24"/>
        </w:rPr>
      </w:pPr>
      <w:bookmarkStart w:id="68" w:name="_Toc21267"/>
      <w:bookmarkStart w:id="69" w:name="_Toc9785"/>
      <w:r>
        <w:rPr>
          <w:rFonts w:hint="eastAsia" w:asciiTheme="minorEastAsia" w:hAnsiTheme="minorEastAsia" w:eastAsiaTheme="minorEastAsia" w:cstheme="minorEastAsia"/>
          <w:color w:val="auto"/>
          <w:sz w:val="24"/>
          <w:szCs w:val="24"/>
        </w:rPr>
        <w:t>12.投标报价</w:t>
      </w:r>
      <w:bookmarkEnd w:id="68"/>
      <w:bookmarkEnd w:id="69"/>
    </w:p>
    <w:p w14:paraId="6F7158C0">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12.1</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须就“采购需求”中的所投包内容作完整唯一报价。</w:t>
      </w:r>
    </w:p>
    <w:p w14:paraId="6A66B45C">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12.2</w:t>
      </w:r>
      <w:r>
        <w:rPr>
          <w:rFonts w:hint="eastAsia" w:asciiTheme="minorEastAsia" w:hAnsiTheme="minorEastAsia" w:eastAsiaTheme="minorEastAsia" w:cstheme="minorEastAsia"/>
          <w:b/>
          <w:bCs/>
          <w:color w:val="auto"/>
          <w:sz w:val="24"/>
        </w:rPr>
        <w:t>本项目各标包采用包干总价方式报价</w:t>
      </w:r>
      <w:r>
        <w:rPr>
          <w:rFonts w:hint="eastAsia" w:asciiTheme="minorEastAsia" w:hAnsiTheme="minorEastAsia" w:eastAsiaTheme="minorEastAsia" w:cstheme="minorEastAsia"/>
          <w:color w:val="auto"/>
          <w:sz w:val="24"/>
        </w:rPr>
        <w:t>，此价格在合同签订后将不作调整。</w:t>
      </w:r>
    </w:p>
    <w:p w14:paraId="01221BF2">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报价包括但不仅限于劳务费（工资、劳保、各种保险及国家规定的相关福利等），设备及所需附件、包装、运费、安装调试、税费、资料、质保期内维护、保养、维修等的全部费用，该报价应考虑市场风险、政策性风险、汇率风险等因素，并能保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完成履行合同所需的全部工作，此价格在合同签订后将不作调整</w:t>
      </w:r>
    </w:p>
    <w:p w14:paraId="1496C352">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12.3</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的投标报价应依据招标文件的要求及有关资料，执行国家规定的现行技术、经济标准、定额及规范，由</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自行测算出现行市场的各类价格。报价应符合国内行情并能保证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完成履行合同所需的一切工作。合同一旦签订，此合同价格在合同实施期间将不因市场设备材料价格的变化而调整。</w:t>
      </w:r>
    </w:p>
    <w:p w14:paraId="76CFE14D">
      <w:pPr>
        <w:pStyle w:val="4"/>
        <w:spacing w:before="0"/>
        <w:ind w:left="420" w:hanging="420"/>
        <w:rPr>
          <w:rFonts w:hint="eastAsia" w:asciiTheme="minorEastAsia" w:hAnsiTheme="minorEastAsia" w:eastAsiaTheme="minorEastAsia" w:cstheme="minorEastAsia"/>
          <w:color w:val="auto"/>
          <w:sz w:val="24"/>
          <w:szCs w:val="24"/>
        </w:rPr>
      </w:pPr>
      <w:bookmarkStart w:id="70" w:name="_Toc27053"/>
      <w:bookmarkStart w:id="71" w:name="_Toc3488"/>
      <w:r>
        <w:rPr>
          <w:rFonts w:hint="eastAsia" w:asciiTheme="minorEastAsia" w:hAnsiTheme="minorEastAsia" w:eastAsiaTheme="minorEastAsia" w:cstheme="minorEastAsia"/>
          <w:color w:val="auto"/>
          <w:sz w:val="24"/>
          <w:szCs w:val="24"/>
        </w:rPr>
        <w:t>13.投标货币</w:t>
      </w:r>
      <w:bookmarkEnd w:id="70"/>
      <w:bookmarkEnd w:id="71"/>
    </w:p>
    <w:p w14:paraId="20033B60">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rPr>
        <w:t>投标应以人民币报价。</w:t>
      </w:r>
    </w:p>
    <w:p w14:paraId="37099F6D">
      <w:pPr>
        <w:pStyle w:val="4"/>
        <w:spacing w:before="0"/>
        <w:ind w:left="420" w:hanging="420"/>
        <w:rPr>
          <w:rFonts w:hint="eastAsia" w:asciiTheme="minorEastAsia" w:hAnsiTheme="minorEastAsia" w:eastAsiaTheme="minorEastAsia" w:cstheme="minorEastAsia"/>
          <w:color w:val="auto"/>
          <w:sz w:val="24"/>
          <w:szCs w:val="24"/>
        </w:rPr>
      </w:pPr>
      <w:bookmarkStart w:id="72" w:name="_Toc12115"/>
      <w:bookmarkStart w:id="73" w:name="_Toc29421"/>
      <w:r>
        <w:rPr>
          <w:rFonts w:hint="eastAsia" w:asciiTheme="minorEastAsia" w:hAnsiTheme="minorEastAsia" w:eastAsiaTheme="minorEastAsia" w:cstheme="minorEastAsia"/>
          <w:color w:val="auto"/>
          <w:sz w:val="24"/>
          <w:szCs w:val="24"/>
        </w:rPr>
        <w:t>14.投标有效期</w:t>
      </w:r>
      <w:bookmarkEnd w:id="72"/>
      <w:bookmarkEnd w:id="73"/>
    </w:p>
    <w:p w14:paraId="0735F25E">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14.1 在“</w:t>
      </w:r>
      <w:r>
        <w:rPr>
          <w:rFonts w:hint="eastAsia" w:asciiTheme="minorEastAsia" w:hAnsiTheme="minorEastAsia" w:eastAsiaTheme="minorEastAsia" w:cstheme="minorEastAsia"/>
          <w:b/>
          <w:bCs/>
          <w:color w:val="auto"/>
          <w:sz w:val="24"/>
          <w:lang w:eastAsia="zh-CN"/>
        </w:rPr>
        <w:t>供应商</w:t>
      </w:r>
      <w:r>
        <w:rPr>
          <w:rFonts w:hint="eastAsia" w:asciiTheme="minorEastAsia" w:hAnsiTheme="minorEastAsia" w:eastAsiaTheme="minorEastAsia" w:cstheme="minorEastAsia"/>
          <w:b/>
          <w:bCs/>
          <w:color w:val="auto"/>
          <w:sz w:val="24"/>
        </w:rPr>
        <w:t>须知前附表</w:t>
      </w:r>
      <w:r>
        <w:rPr>
          <w:rFonts w:hint="eastAsia" w:asciiTheme="minorEastAsia" w:hAnsiTheme="minorEastAsia" w:eastAsiaTheme="minorEastAsia" w:cstheme="minorEastAsia"/>
          <w:color w:val="auto"/>
          <w:sz w:val="24"/>
        </w:rPr>
        <w:t>”规定的投标有效期内，</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不得要求撤销或修改其投标文件。</w:t>
      </w:r>
    </w:p>
    <w:p w14:paraId="3B9FA47D">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14.2 因特殊情况需要延长投标有效期的，采购人以书面形式通知所有</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延长投标有效期。</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同意延长的，应相应延长其投标保证金的有效期，但不得要求或被允许修改或撤销其投标文件；</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拒绝延长的，其投标失效，但</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有权收回其投标保证金。</w:t>
      </w:r>
    </w:p>
    <w:p w14:paraId="76762CEB">
      <w:pPr>
        <w:pStyle w:val="4"/>
        <w:spacing w:before="0"/>
        <w:ind w:left="420" w:hanging="420"/>
        <w:rPr>
          <w:rFonts w:hint="eastAsia" w:asciiTheme="minorEastAsia" w:hAnsiTheme="minorEastAsia" w:eastAsiaTheme="minorEastAsia" w:cstheme="minorEastAsia"/>
          <w:color w:val="auto"/>
          <w:sz w:val="24"/>
          <w:szCs w:val="24"/>
        </w:rPr>
      </w:pPr>
      <w:bookmarkStart w:id="74" w:name="_Toc1140"/>
      <w:bookmarkStart w:id="75" w:name="_Toc29621"/>
      <w:r>
        <w:rPr>
          <w:rFonts w:hint="eastAsia" w:asciiTheme="minorEastAsia" w:hAnsiTheme="minorEastAsia" w:eastAsiaTheme="minorEastAsia" w:cstheme="minorEastAsia"/>
          <w:color w:val="auto"/>
          <w:sz w:val="24"/>
          <w:szCs w:val="24"/>
        </w:rPr>
        <w:t>15.投标文件的书写要求</w:t>
      </w:r>
      <w:bookmarkEnd w:id="74"/>
      <w:bookmarkEnd w:id="75"/>
    </w:p>
    <w:p w14:paraId="2EA62796">
      <w:pPr>
        <w:spacing w:line="360" w:lineRule="auto"/>
        <w:ind w:firstLine="410" w:firstLineChars="171"/>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15.1</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应按第四章“投标文件格式”提供的格式进行编制。</w:t>
      </w:r>
    </w:p>
    <w:p w14:paraId="374974D8">
      <w:pPr>
        <w:pStyle w:val="4"/>
        <w:spacing w:before="0"/>
        <w:ind w:left="420" w:hanging="420"/>
        <w:rPr>
          <w:rFonts w:hint="eastAsia" w:asciiTheme="minorEastAsia" w:hAnsiTheme="minorEastAsia" w:eastAsiaTheme="minorEastAsia" w:cstheme="minorEastAsia"/>
          <w:color w:val="auto"/>
          <w:sz w:val="24"/>
          <w:szCs w:val="24"/>
        </w:rPr>
      </w:pPr>
      <w:bookmarkStart w:id="76" w:name="_Toc20660"/>
      <w:bookmarkStart w:id="77" w:name="_Toc20631"/>
      <w:r>
        <w:rPr>
          <w:rFonts w:hint="eastAsia" w:asciiTheme="minorEastAsia" w:hAnsiTheme="minorEastAsia" w:eastAsiaTheme="minorEastAsia" w:cstheme="minorEastAsia"/>
          <w:color w:val="auto"/>
          <w:sz w:val="24"/>
          <w:szCs w:val="24"/>
        </w:rPr>
        <w:t>16.投标保证金</w:t>
      </w:r>
      <w:bookmarkEnd w:id="76"/>
      <w:bookmarkEnd w:id="77"/>
    </w:p>
    <w:p w14:paraId="181443A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16.1 保证金为人民币。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应在递交投标文件截止时间以前按“</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须知前附表”规定的方式及金额缴纳，并在投标有效期内保持有效。</w:t>
      </w:r>
    </w:p>
    <w:p w14:paraId="5C745EEB">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16.2</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不按投标须知前附表要求提交投标保证金的，其投标文件作废标处理。</w:t>
      </w:r>
    </w:p>
    <w:p w14:paraId="776A43DF">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16.3有下列情形之一的，投标保证金不予退还：</w:t>
      </w:r>
    </w:p>
    <w:p w14:paraId="42BAAE6F">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（1）</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在提交投标文件截止时间后撤回投标文件的；</w:t>
      </w:r>
    </w:p>
    <w:p w14:paraId="0EC2ABDF">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（2）除因不可抗力或招标文件认可的情形以外，中标人不与采购人签订合同的；</w:t>
      </w:r>
    </w:p>
    <w:p w14:paraId="5D4851CB">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（3）法律法规规定的其他情形。</w:t>
      </w:r>
    </w:p>
    <w:p w14:paraId="3A76B309">
      <w:pPr>
        <w:pStyle w:val="50"/>
        <w:ind w:firstLine="480" w:firstLineChars="200"/>
        <w:rPr>
          <w:rFonts w:eastAsiaTheme="minorEastAsia"/>
          <w:color w:val="auto"/>
        </w:rPr>
      </w:pPr>
      <w:r>
        <w:rPr>
          <w:rFonts w:hint="eastAsia" w:asciiTheme="minorEastAsia" w:hAnsiTheme="minorEastAsia" w:eastAsiaTheme="minorEastAsia" w:cstheme="minorEastAsia"/>
          <w:color w:val="auto"/>
        </w:rPr>
        <w:t>16.4投标保证金退还方式：详见</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须知前附表。</w:t>
      </w:r>
    </w:p>
    <w:p w14:paraId="76BF3563">
      <w:pPr>
        <w:pStyle w:val="3"/>
        <w:spacing w:before="0"/>
        <w:jc w:val="center"/>
        <w:rPr>
          <w:rFonts w:hint="eastAsia" w:asciiTheme="minorEastAsia" w:hAnsiTheme="minorEastAsia" w:eastAsiaTheme="minorEastAsia" w:cstheme="minorEastAsia"/>
          <w:color w:val="auto"/>
          <w:szCs w:val="28"/>
        </w:rPr>
      </w:pPr>
      <w:bookmarkStart w:id="78" w:name="_Toc18542"/>
      <w:bookmarkStart w:id="79" w:name="_Toc5769"/>
      <w:bookmarkStart w:id="80" w:name="_Toc15588"/>
      <w:r>
        <w:rPr>
          <w:rFonts w:hint="eastAsia" w:asciiTheme="minorEastAsia" w:hAnsiTheme="minorEastAsia" w:eastAsiaTheme="minorEastAsia" w:cstheme="minorEastAsia"/>
          <w:color w:val="auto"/>
          <w:szCs w:val="28"/>
        </w:rPr>
        <w:t>四、投标文件的提交</w:t>
      </w:r>
      <w:bookmarkEnd w:id="78"/>
      <w:bookmarkEnd w:id="79"/>
      <w:bookmarkEnd w:id="80"/>
    </w:p>
    <w:p w14:paraId="206FFDFE">
      <w:pPr>
        <w:pStyle w:val="4"/>
        <w:spacing w:before="0"/>
        <w:ind w:left="420" w:hanging="420"/>
        <w:rPr>
          <w:rFonts w:hint="eastAsia" w:asciiTheme="minorEastAsia" w:hAnsiTheme="minorEastAsia" w:eastAsiaTheme="minorEastAsia" w:cstheme="minorEastAsia"/>
          <w:color w:val="auto"/>
          <w:sz w:val="24"/>
          <w:szCs w:val="24"/>
        </w:rPr>
      </w:pPr>
      <w:bookmarkStart w:id="81" w:name="_Toc15043"/>
      <w:bookmarkStart w:id="82" w:name="_Toc19263"/>
      <w:r>
        <w:rPr>
          <w:rFonts w:hint="eastAsia" w:asciiTheme="minorEastAsia" w:hAnsiTheme="minorEastAsia" w:eastAsiaTheme="minorEastAsia" w:cstheme="minorEastAsia"/>
          <w:color w:val="auto"/>
          <w:sz w:val="24"/>
          <w:szCs w:val="24"/>
        </w:rPr>
        <w:t>17.投标文件的密封与标记</w:t>
      </w:r>
      <w:bookmarkEnd w:id="81"/>
      <w:bookmarkEnd w:id="82"/>
    </w:p>
    <w:p w14:paraId="036FC9D3">
      <w:pPr>
        <w:spacing w:line="360" w:lineRule="auto"/>
        <w:ind w:firstLine="480" w:firstLineChars="200"/>
        <w:jc w:val="left"/>
        <w:rPr>
          <w:rFonts w:hint="eastAsia" w:asciiTheme="minorEastAsia" w:hAnsiTheme="minorEastAsia" w:eastAsiaTheme="minorEastAsia" w:cstheme="minorEastAsia"/>
          <w:b/>
          <w:bCs/>
          <w:color w:val="auto"/>
          <w:sz w:val="24"/>
          <w:u w:val="single"/>
        </w:rPr>
      </w:pPr>
      <w:r>
        <w:rPr>
          <w:rFonts w:hint="eastAsia" w:asciiTheme="minorEastAsia" w:hAnsiTheme="minorEastAsia" w:eastAsiaTheme="minorEastAsia" w:cstheme="minorEastAsia"/>
          <w:color w:val="auto"/>
          <w:sz w:val="24"/>
        </w:rPr>
        <w:t xml:space="preserve">17.1 </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应按“</w:t>
      </w:r>
      <w:r>
        <w:rPr>
          <w:rFonts w:hint="eastAsia" w:asciiTheme="minorEastAsia" w:hAnsiTheme="minorEastAsia" w:eastAsiaTheme="minorEastAsia" w:cstheme="minorEastAsia"/>
          <w:b/>
          <w:bCs/>
          <w:color w:val="auto"/>
          <w:sz w:val="24"/>
          <w:lang w:eastAsia="zh-CN"/>
        </w:rPr>
        <w:t>供应商</w:t>
      </w:r>
      <w:r>
        <w:rPr>
          <w:rFonts w:hint="eastAsia" w:asciiTheme="minorEastAsia" w:hAnsiTheme="minorEastAsia" w:eastAsiaTheme="minorEastAsia" w:cstheme="minorEastAsia"/>
          <w:b/>
          <w:bCs/>
          <w:color w:val="auto"/>
          <w:sz w:val="24"/>
        </w:rPr>
        <w:t>须知前附表</w:t>
      </w:r>
      <w:r>
        <w:rPr>
          <w:rFonts w:hint="eastAsia" w:asciiTheme="minorEastAsia" w:hAnsiTheme="minorEastAsia" w:eastAsiaTheme="minorEastAsia" w:cstheme="minorEastAsia"/>
          <w:color w:val="auto"/>
          <w:sz w:val="24"/>
        </w:rPr>
        <w:t>”中规定加密上传递交。</w:t>
      </w:r>
    </w:p>
    <w:p w14:paraId="729E613E">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17.2 </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未按要求加密、上传的，不予接收。</w:t>
      </w:r>
    </w:p>
    <w:p w14:paraId="41056D34">
      <w:pPr>
        <w:pStyle w:val="4"/>
        <w:spacing w:before="0"/>
        <w:ind w:left="420" w:hanging="420"/>
        <w:rPr>
          <w:rFonts w:hint="eastAsia" w:asciiTheme="minorEastAsia" w:hAnsiTheme="minorEastAsia" w:eastAsiaTheme="minorEastAsia" w:cstheme="minorEastAsia"/>
          <w:color w:val="auto"/>
          <w:sz w:val="24"/>
          <w:szCs w:val="24"/>
        </w:rPr>
      </w:pPr>
      <w:bookmarkStart w:id="83" w:name="_Toc31570"/>
      <w:bookmarkStart w:id="84" w:name="_Toc21021"/>
      <w:r>
        <w:rPr>
          <w:rFonts w:hint="eastAsia" w:asciiTheme="minorEastAsia" w:hAnsiTheme="minorEastAsia" w:eastAsiaTheme="minorEastAsia" w:cstheme="minorEastAsia"/>
          <w:color w:val="auto"/>
          <w:sz w:val="24"/>
          <w:szCs w:val="24"/>
        </w:rPr>
        <w:t>18.提交投标文件的截止时间和地点</w:t>
      </w:r>
      <w:bookmarkEnd w:id="83"/>
      <w:bookmarkEnd w:id="84"/>
    </w:p>
    <w:p w14:paraId="083B2A1A">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18.1</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应在</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须知前附表规定的投标截止时间前递交投标文件。</w:t>
      </w:r>
    </w:p>
    <w:p w14:paraId="60CAE27D">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18.2</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提交投标文件的时间和地点：见</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w:t>
      </w:r>
    </w:p>
    <w:p w14:paraId="625FB458">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18.3除</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须知前附表另有规定外，</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所递交的投标文件不予退还。</w:t>
      </w:r>
    </w:p>
    <w:p w14:paraId="0C967322">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18.4逾期送达的、未送达指定地点的或者不按照招标文件要求加密上传的投标文件，视为撤回投标文件，采购人不予受理。</w:t>
      </w:r>
    </w:p>
    <w:p w14:paraId="02CB86B1">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18.5是否退还投标文件：按须知前附表。</w:t>
      </w:r>
    </w:p>
    <w:p w14:paraId="54FAF5A3">
      <w:pPr>
        <w:pStyle w:val="4"/>
        <w:spacing w:before="0"/>
        <w:ind w:left="420" w:hanging="420"/>
        <w:rPr>
          <w:rFonts w:hint="eastAsia" w:asciiTheme="minorEastAsia" w:hAnsiTheme="minorEastAsia" w:eastAsiaTheme="minorEastAsia" w:cstheme="minorEastAsia"/>
          <w:color w:val="auto"/>
          <w:sz w:val="24"/>
          <w:szCs w:val="24"/>
        </w:rPr>
      </w:pPr>
      <w:bookmarkStart w:id="85" w:name="_Toc17324"/>
      <w:bookmarkStart w:id="86" w:name="_Toc26532"/>
      <w:bookmarkStart w:id="87" w:name="_Toc55305425"/>
      <w:r>
        <w:rPr>
          <w:rFonts w:hint="eastAsia" w:asciiTheme="minorEastAsia" w:hAnsiTheme="minorEastAsia" w:eastAsiaTheme="minorEastAsia" w:cstheme="minorEastAsia"/>
          <w:color w:val="auto"/>
          <w:sz w:val="24"/>
          <w:szCs w:val="24"/>
        </w:rPr>
        <w:t>19.投标文件的修改与撤回</w:t>
      </w:r>
      <w:bookmarkEnd w:id="85"/>
      <w:bookmarkEnd w:id="86"/>
      <w:bookmarkEnd w:id="87"/>
    </w:p>
    <w:p w14:paraId="3AAE570B">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19.1在投标截止时间前，</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可以修改或撤回已在网上递交的投标文件，无须书面形式通知采购人。</w:t>
      </w:r>
    </w:p>
    <w:p w14:paraId="4D4E0FE5">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19.2修改的投标文件应按照政采云平台规定进行编制和递交。</w:t>
      </w:r>
    </w:p>
    <w:p w14:paraId="46C4A84C">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19.3 根据本须知规定，在投标截止时间至投标有效期内，</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不得撤回其投标，否则其投标保证金将被没收。</w:t>
      </w:r>
    </w:p>
    <w:p w14:paraId="017938DD">
      <w:pPr>
        <w:pStyle w:val="3"/>
        <w:spacing w:before="0"/>
        <w:jc w:val="center"/>
        <w:rPr>
          <w:rFonts w:hint="eastAsia" w:asciiTheme="minorEastAsia" w:hAnsiTheme="minorEastAsia" w:eastAsiaTheme="minorEastAsia" w:cstheme="minorEastAsia"/>
          <w:color w:val="auto"/>
          <w:szCs w:val="28"/>
        </w:rPr>
      </w:pPr>
      <w:bookmarkStart w:id="88" w:name="_Toc10458"/>
      <w:bookmarkStart w:id="89" w:name="_Toc7679"/>
      <w:bookmarkStart w:id="90" w:name="_Toc14353"/>
      <w:r>
        <w:rPr>
          <w:rFonts w:hint="eastAsia" w:asciiTheme="minorEastAsia" w:hAnsiTheme="minorEastAsia" w:eastAsiaTheme="minorEastAsia" w:cstheme="minorEastAsia"/>
          <w:color w:val="auto"/>
          <w:szCs w:val="28"/>
        </w:rPr>
        <w:t>五、开标与评标</w:t>
      </w:r>
      <w:bookmarkEnd w:id="88"/>
      <w:bookmarkEnd w:id="89"/>
      <w:bookmarkEnd w:id="90"/>
    </w:p>
    <w:p w14:paraId="2287342E">
      <w:pPr>
        <w:pStyle w:val="4"/>
        <w:spacing w:before="0"/>
        <w:ind w:left="420" w:hanging="420"/>
        <w:rPr>
          <w:rFonts w:hint="eastAsia" w:asciiTheme="minorEastAsia" w:hAnsiTheme="minorEastAsia" w:eastAsiaTheme="minorEastAsia" w:cstheme="minorEastAsia"/>
          <w:color w:val="auto"/>
          <w:sz w:val="24"/>
          <w:szCs w:val="24"/>
        </w:rPr>
      </w:pPr>
      <w:bookmarkStart w:id="91" w:name="_Toc8012"/>
      <w:bookmarkStart w:id="92" w:name="_Toc10409"/>
      <w:r>
        <w:rPr>
          <w:rFonts w:hint="eastAsia" w:asciiTheme="minorEastAsia" w:hAnsiTheme="minorEastAsia" w:eastAsiaTheme="minorEastAsia" w:cstheme="minorEastAsia"/>
          <w:color w:val="auto"/>
          <w:sz w:val="24"/>
          <w:szCs w:val="24"/>
        </w:rPr>
        <w:t>20.开标</w:t>
      </w:r>
      <w:bookmarkEnd w:id="91"/>
      <w:bookmarkEnd w:id="92"/>
    </w:p>
    <w:p w14:paraId="37E97D8A">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20.1采购人在本章规定的投标截止时间（开标时间）和地点进行公开开标。</w:t>
      </w:r>
    </w:p>
    <w:p w14:paraId="1381D849">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主持人按下列程序进行开标：</w:t>
      </w:r>
    </w:p>
    <w:p w14:paraId="77532CB4">
      <w:pPr>
        <w:spacing w:line="360" w:lineRule="auto"/>
        <w:ind w:firstLine="480" w:firstLineChars="200"/>
        <w:rPr>
          <w:rFonts w:hint="eastAsia" w:asciiTheme="minorEastAsia" w:hAnsiTheme="minorEastAsia" w:eastAsiaTheme="minorEastAsia" w:cstheme="minorEastAsia"/>
          <w:color w:val="auto"/>
          <w:sz w:val="24"/>
        </w:rPr>
      </w:pPr>
      <w:bookmarkStart w:id="93" w:name="_Toc55305428"/>
      <w:bookmarkStart w:id="94" w:name="_Toc19138"/>
      <w:r>
        <w:rPr>
          <w:rFonts w:hint="eastAsia" w:asciiTheme="minorEastAsia" w:hAnsiTheme="minorEastAsia" w:eastAsiaTheme="minorEastAsia" w:cstheme="minorEastAsia"/>
          <w:color w:val="auto"/>
          <w:sz w:val="24"/>
        </w:rPr>
        <w:t>(1)开标会由采购代理机构主持；</w:t>
      </w:r>
    </w:p>
    <w:p w14:paraId="4CE6DA7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(2)开标：顺序按照政采云平台自动提取所有</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的顺序当众开标。主持人宣布开启电子投标文件后，下达解密指令，</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按照上述开标顺序，使用编制投标文件时的加密数字证书对投标文件进行解密；</w:t>
      </w:r>
    </w:p>
    <w:p w14:paraId="4F5808C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(3)唱标：由唱标人宣读</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在其电子投标文件中、投标价格和招标文件规定的需要宣布的其他内容。</w:t>
      </w:r>
    </w:p>
    <w:p w14:paraId="7F55BCA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(4)开标会议结束。</w:t>
      </w:r>
    </w:p>
    <w:p w14:paraId="1733C81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代表对开标过程和开标记录有异议，以及认为采购人、采购代理机构相关工作人员有 需要回避的情形的，应在线提出询问或者回避申请。采购人、采购代理机构对</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代表提出的询问或者回避申请应当及时处理并记录在案。</w:t>
      </w:r>
    </w:p>
    <w:p w14:paraId="388EBC7E">
      <w:pPr>
        <w:pStyle w:val="4"/>
        <w:spacing w:before="0"/>
        <w:ind w:left="420" w:hanging="420"/>
        <w:rPr>
          <w:rFonts w:hint="eastAsia" w:asciiTheme="minorEastAsia" w:hAnsiTheme="minorEastAsia" w:eastAsiaTheme="minorEastAsia" w:cstheme="minorEastAsia"/>
          <w:color w:val="auto"/>
          <w:sz w:val="24"/>
          <w:szCs w:val="24"/>
        </w:rPr>
      </w:pPr>
      <w:bookmarkStart w:id="95" w:name="_Toc3944"/>
      <w:r>
        <w:rPr>
          <w:rFonts w:hint="eastAsia" w:asciiTheme="minorEastAsia" w:hAnsiTheme="minorEastAsia" w:eastAsiaTheme="minorEastAsia" w:cstheme="minorEastAsia"/>
          <w:color w:val="auto"/>
          <w:sz w:val="24"/>
          <w:szCs w:val="24"/>
        </w:rPr>
        <w:t>21.资格审查</w:t>
      </w:r>
      <w:bookmarkEnd w:id="93"/>
      <w:bookmarkEnd w:id="94"/>
      <w:bookmarkEnd w:id="95"/>
    </w:p>
    <w:p w14:paraId="56E20DD5">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公开招标采购项目开标结束后，采购人或者采购代理机构应当依法对</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的资格进行审查。合格的</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不足3家，不得评标。</w:t>
      </w:r>
    </w:p>
    <w:p w14:paraId="393978F9">
      <w:pPr>
        <w:pStyle w:val="4"/>
        <w:spacing w:before="0"/>
        <w:ind w:left="420" w:hanging="420"/>
        <w:rPr>
          <w:rFonts w:hint="eastAsia" w:asciiTheme="minorEastAsia" w:hAnsiTheme="minorEastAsia" w:eastAsiaTheme="minorEastAsia" w:cstheme="minorEastAsia"/>
          <w:color w:val="auto"/>
          <w:sz w:val="24"/>
          <w:szCs w:val="24"/>
        </w:rPr>
      </w:pPr>
      <w:bookmarkStart w:id="96" w:name="_Toc12603"/>
      <w:bookmarkStart w:id="97" w:name="_Toc32685"/>
      <w:r>
        <w:rPr>
          <w:rFonts w:hint="eastAsia" w:asciiTheme="minorEastAsia" w:hAnsiTheme="minorEastAsia" w:eastAsiaTheme="minorEastAsia" w:cstheme="minorEastAsia"/>
          <w:color w:val="auto"/>
          <w:sz w:val="24"/>
          <w:szCs w:val="24"/>
        </w:rPr>
        <w:t>22.评标</w:t>
      </w:r>
      <w:bookmarkEnd w:id="96"/>
      <w:bookmarkEnd w:id="97"/>
    </w:p>
    <w:p w14:paraId="6CE2C511">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22.1评标由采购人依法组建的评标委员会负责。评标委员会由采购人代表和有关技术、经济等方面的专家组成，成员人数应当为 </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 xml:space="preserve"> 人或以上单数。其中，技术、经济等方面的专家不得少于成员总数的三分之二。评标委员会应当推选组长，但采购人代表不得担任组长。</w:t>
      </w:r>
    </w:p>
    <w:p w14:paraId="52AF0A7F">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采购人委派代表参加评标委员会的，要向采购代理机构出具授权函。</w:t>
      </w:r>
    </w:p>
    <w:p w14:paraId="20328494">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 评标原则</w:t>
      </w:r>
    </w:p>
    <w:p w14:paraId="4D14DE75">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评标活动遵循公平、公正、科学和择优的原则。</w:t>
      </w:r>
    </w:p>
    <w:p w14:paraId="34A70D4A">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22.3 评标</w:t>
      </w:r>
    </w:p>
    <w:p w14:paraId="07B5A11C">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本项目按“</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须知前附表”规定的评标办法进行评标，评标委员会按照第七章“评标办法”规定的方法、评审因素、标准和程序对投标文件进行评审。第七章“评标办法”没有规定的方法、评审因素和标准，不作为评标依据。</w:t>
      </w:r>
    </w:p>
    <w:p w14:paraId="5DF25EC0">
      <w:pPr>
        <w:widowControl/>
        <w:spacing w:line="336" w:lineRule="auto"/>
        <w:ind w:firstLine="480" w:firstLineChars="200"/>
        <w:rPr>
          <w:rFonts w:hint="eastAsia" w:ascii="宋体" w:hAnsi="宋体"/>
          <w:color w:val="auto"/>
          <w:sz w:val="24"/>
          <w:lang w:val="zh-CN"/>
        </w:rPr>
      </w:pPr>
      <w:r>
        <w:rPr>
          <w:rFonts w:hint="eastAsia" w:ascii="宋体" w:hAnsi="宋体"/>
          <w:color w:val="auto"/>
          <w:sz w:val="24"/>
        </w:rPr>
        <w:t>22.4</w:t>
      </w:r>
      <w:r>
        <w:rPr>
          <w:rFonts w:hint="eastAsia" w:ascii="宋体" w:hAnsi="宋体"/>
          <w:color w:val="auto"/>
          <w:sz w:val="24"/>
          <w:lang w:val="zh-CN"/>
        </w:rPr>
        <w:t>对供应商的纪律要求：供应商不得相互串通投标或者与招标人串通投标，不得向招标人或者评标委员会成员行贿谋取中标，不得以他人名义投标或者以其他方式弄虚作假骗取中标；供应商不得以任何方式干扰、影响评标工作；</w:t>
      </w:r>
    </w:p>
    <w:p w14:paraId="3629D2B4">
      <w:pPr>
        <w:widowControl/>
        <w:spacing w:line="336" w:lineRule="auto"/>
        <w:ind w:firstLine="480" w:firstLineChars="200"/>
        <w:rPr>
          <w:rFonts w:hint="eastAsia" w:ascii="宋体" w:hAnsi="宋体"/>
          <w:color w:val="auto"/>
          <w:sz w:val="24"/>
          <w:lang w:val="zh-CN"/>
        </w:rPr>
      </w:pPr>
      <w:r>
        <w:rPr>
          <w:rFonts w:hint="eastAsia" w:ascii="宋体" w:hAnsi="宋体"/>
          <w:color w:val="auto"/>
          <w:sz w:val="24"/>
          <w:lang w:val="zh-CN"/>
        </w:rPr>
        <w:t>下列情形之一的，视为供应商串通投标，其投标无效：</w:t>
      </w:r>
    </w:p>
    <w:p w14:paraId="7D850CE4">
      <w:pPr>
        <w:widowControl/>
        <w:spacing w:line="336" w:lineRule="auto"/>
        <w:ind w:firstLine="480" w:firstLineChars="200"/>
        <w:rPr>
          <w:rFonts w:hint="eastAsia" w:ascii="宋体" w:hAnsi="宋体"/>
          <w:color w:val="auto"/>
          <w:sz w:val="24"/>
          <w:lang w:val="zh-CN"/>
        </w:rPr>
      </w:pPr>
      <w:r>
        <w:rPr>
          <w:rFonts w:hint="eastAsia" w:ascii="宋体" w:hAnsi="宋体"/>
          <w:color w:val="auto"/>
          <w:sz w:val="24"/>
          <w:lang w:val="zh-CN"/>
        </w:rPr>
        <w:t>（</w:t>
      </w:r>
      <w:r>
        <w:rPr>
          <w:rFonts w:hint="eastAsia" w:ascii="宋体" w:hAnsi="宋体"/>
          <w:color w:val="auto"/>
          <w:sz w:val="24"/>
        </w:rPr>
        <w:t>1）</w:t>
      </w:r>
      <w:r>
        <w:rPr>
          <w:rFonts w:hint="eastAsia" w:ascii="宋体" w:hAnsi="宋体"/>
          <w:color w:val="auto"/>
          <w:sz w:val="24"/>
          <w:lang w:val="zh-CN"/>
        </w:rPr>
        <w:t>不同的投标文件在同一台电脑</w:t>
      </w:r>
      <w:r>
        <w:rPr>
          <w:rFonts w:hint="eastAsia" w:ascii="宋体" w:hAnsi="宋体"/>
          <w:color w:val="auto"/>
          <w:sz w:val="24"/>
        </w:rPr>
        <w:t>或IP地址</w:t>
      </w:r>
      <w:r>
        <w:rPr>
          <w:rFonts w:hint="eastAsia" w:ascii="宋体" w:hAnsi="宋体"/>
          <w:color w:val="auto"/>
          <w:sz w:val="24"/>
          <w:lang w:val="zh-CN"/>
        </w:rPr>
        <w:t>编制，视为串通投标；</w:t>
      </w:r>
    </w:p>
    <w:p w14:paraId="744C8E4C">
      <w:pPr>
        <w:widowControl/>
        <w:spacing w:line="336" w:lineRule="auto"/>
        <w:ind w:firstLine="480" w:firstLineChars="200"/>
        <w:rPr>
          <w:rFonts w:hint="eastAsia" w:ascii="宋体" w:hAnsi="宋体"/>
          <w:color w:val="auto"/>
          <w:sz w:val="24"/>
          <w:lang w:val="zh-CN"/>
        </w:rPr>
      </w:pPr>
      <w:r>
        <w:rPr>
          <w:rFonts w:hint="eastAsia" w:ascii="宋体" w:hAnsi="宋体"/>
          <w:color w:val="auto"/>
          <w:sz w:val="24"/>
          <w:lang w:val="zh-CN"/>
        </w:rPr>
        <w:t>（</w:t>
      </w:r>
      <w:r>
        <w:rPr>
          <w:rFonts w:hint="eastAsia" w:ascii="宋体" w:hAnsi="宋体"/>
          <w:color w:val="auto"/>
          <w:sz w:val="24"/>
        </w:rPr>
        <w:t>2</w:t>
      </w:r>
      <w:r>
        <w:rPr>
          <w:rFonts w:hint="eastAsia" w:ascii="宋体" w:hAnsi="宋体"/>
          <w:color w:val="auto"/>
          <w:sz w:val="24"/>
          <w:lang w:val="zh-CN"/>
        </w:rPr>
        <w:t>）不同供应商的投标文件由同一单位或者个人编制；</w:t>
      </w:r>
    </w:p>
    <w:p w14:paraId="37FBE309">
      <w:pPr>
        <w:widowControl/>
        <w:spacing w:line="336" w:lineRule="auto"/>
        <w:ind w:firstLine="480" w:firstLineChars="200"/>
        <w:rPr>
          <w:rFonts w:hint="eastAsia" w:ascii="宋体" w:hAnsi="宋体"/>
          <w:color w:val="auto"/>
          <w:sz w:val="24"/>
          <w:lang w:val="zh-CN"/>
        </w:rPr>
      </w:pPr>
      <w:r>
        <w:rPr>
          <w:rFonts w:hint="eastAsia" w:ascii="宋体" w:hAnsi="宋体"/>
          <w:color w:val="auto"/>
          <w:sz w:val="24"/>
          <w:lang w:val="zh-CN"/>
        </w:rPr>
        <w:t>（</w:t>
      </w:r>
      <w:r>
        <w:rPr>
          <w:rFonts w:hint="eastAsia" w:ascii="宋体" w:hAnsi="宋体"/>
          <w:color w:val="auto"/>
          <w:sz w:val="24"/>
        </w:rPr>
        <w:t>3</w:t>
      </w:r>
      <w:r>
        <w:rPr>
          <w:rFonts w:hint="eastAsia" w:ascii="宋体" w:hAnsi="宋体"/>
          <w:color w:val="auto"/>
          <w:sz w:val="24"/>
          <w:lang w:val="zh-CN"/>
        </w:rPr>
        <w:t>）不同供应商委托同一单位或者个人办理投标事宜；</w:t>
      </w:r>
    </w:p>
    <w:p w14:paraId="554199A0">
      <w:pPr>
        <w:widowControl/>
        <w:spacing w:line="336" w:lineRule="auto"/>
        <w:ind w:firstLine="480" w:firstLineChars="200"/>
        <w:rPr>
          <w:rFonts w:hint="eastAsia" w:ascii="宋体" w:hAnsi="宋体"/>
          <w:color w:val="auto"/>
          <w:sz w:val="24"/>
          <w:lang w:val="zh-CN"/>
        </w:rPr>
      </w:pPr>
      <w:r>
        <w:rPr>
          <w:rFonts w:hint="eastAsia" w:ascii="宋体" w:hAnsi="宋体"/>
          <w:color w:val="auto"/>
          <w:sz w:val="24"/>
          <w:lang w:val="zh-CN"/>
        </w:rPr>
        <w:t>（</w:t>
      </w:r>
      <w:r>
        <w:rPr>
          <w:rFonts w:hint="eastAsia" w:ascii="宋体" w:hAnsi="宋体"/>
          <w:color w:val="auto"/>
          <w:sz w:val="24"/>
        </w:rPr>
        <w:t>4</w:t>
      </w:r>
      <w:r>
        <w:rPr>
          <w:rFonts w:hint="eastAsia" w:ascii="宋体" w:hAnsi="宋体"/>
          <w:color w:val="auto"/>
          <w:sz w:val="24"/>
          <w:lang w:val="zh-CN"/>
        </w:rPr>
        <w:t>）不同供应商的投标文件载明的项目管理成员或者联系人员为同一人；</w:t>
      </w:r>
    </w:p>
    <w:p w14:paraId="50AF624B">
      <w:pPr>
        <w:spacing w:line="360" w:lineRule="auto"/>
        <w:ind w:firstLine="480" w:firstLineChars="200"/>
        <w:jc w:val="left"/>
        <w:rPr>
          <w:rFonts w:hint="eastAsia" w:asciiTheme="minorEastAsia" w:hAnsiTheme="minorEastAsia" w:eastAsiaTheme="minorEastAsia" w:cstheme="minorEastAsia"/>
          <w:color w:val="auto"/>
          <w:sz w:val="24"/>
          <w:lang w:val="zh-CN"/>
        </w:rPr>
      </w:pPr>
      <w:r>
        <w:rPr>
          <w:rFonts w:hint="eastAsia" w:ascii="宋体" w:hAnsi="宋体"/>
          <w:color w:val="auto"/>
          <w:sz w:val="24"/>
          <w:lang w:val="zh-CN"/>
        </w:rPr>
        <w:t>（</w:t>
      </w:r>
      <w:r>
        <w:rPr>
          <w:rFonts w:hint="eastAsia" w:ascii="宋体" w:hAnsi="宋体"/>
          <w:color w:val="auto"/>
          <w:sz w:val="24"/>
        </w:rPr>
        <w:t>5</w:t>
      </w:r>
      <w:r>
        <w:rPr>
          <w:rFonts w:hint="eastAsia" w:ascii="宋体" w:hAnsi="宋体"/>
          <w:color w:val="auto"/>
          <w:sz w:val="24"/>
          <w:lang w:val="zh-CN"/>
        </w:rPr>
        <w:t>）</w:t>
      </w:r>
      <w:r>
        <w:rPr>
          <w:rFonts w:hint="eastAsia" w:asciiTheme="minorEastAsia" w:hAnsiTheme="minorEastAsia" w:eastAsiaTheme="minorEastAsia" w:cstheme="minorEastAsia"/>
          <w:color w:val="auto"/>
          <w:sz w:val="24"/>
          <w:lang w:val="zh-CN"/>
        </w:rPr>
        <w:t>不同供应商的投标文件异常一致或者投标报价呈规律性差异；</w:t>
      </w:r>
    </w:p>
    <w:p w14:paraId="735AC8E9">
      <w:pPr>
        <w:spacing w:line="360" w:lineRule="auto"/>
        <w:ind w:firstLine="480" w:firstLineChars="200"/>
        <w:jc w:val="left"/>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val="zh-CN"/>
        </w:rPr>
        <w:t>）不同供应商的投标文件相互混装；</w:t>
      </w:r>
    </w:p>
    <w:p w14:paraId="7CDA8189">
      <w:pPr>
        <w:spacing w:line="360" w:lineRule="auto"/>
        <w:ind w:firstLine="480" w:firstLineChars="200"/>
        <w:jc w:val="left"/>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7</w:t>
      </w:r>
      <w:r>
        <w:rPr>
          <w:rFonts w:hint="eastAsia" w:asciiTheme="minorEastAsia" w:hAnsiTheme="minorEastAsia" w:eastAsiaTheme="minorEastAsia" w:cstheme="minorEastAsia"/>
          <w:color w:val="auto"/>
          <w:sz w:val="24"/>
          <w:lang w:val="zh-CN"/>
        </w:rPr>
        <w:t>）不同供应商的投标保证金从同一单位或者个人的账户转出；</w:t>
      </w:r>
    </w:p>
    <w:p w14:paraId="65A85E60">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8</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其它法律法规适用的串通投标情形。</w:t>
      </w:r>
    </w:p>
    <w:p w14:paraId="07398197">
      <w:pPr>
        <w:spacing w:line="360" w:lineRule="auto"/>
        <w:ind w:firstLine="480" w:firstLineChars="200"/>
        <w:jc w:val="left"/>
        <w:rPr>
          <w:rFonts w:hint="eastAsia" w:ascii="宋体" w:hAnsi="宋体"/>
          <w:color w:val="auto"/>
          <w:sz w:val="24"/>
          <w:lang w:val="zh-CN"/>
        </w:rPr>
      </w:pPr>
      <w:r>
        <w:rPr>
          <w:rFonts w:hint="eastAsia" w:asciiTheme="minorEastAsia" w:hAnsiTheme="minorEastAsia" w:eastAsiaTheme="minorEastAsia" w:cstheme="minorEastAsia"/>
          <w:color w:val="auto"/>
          <w:sz w:val="24"/>
          <w:lang w:val="zh-CN"/>
        </w:rPr>
        <w:t>根据《中华人民共和国刑法》第二百二十三条【串通投标罪】规定，供应商相互串通投标报价，损害招标人或者其他供应商利益，情节严重的，处三年以下有期徒刑或者拘役，并处或者单处罚金。供应商与招标人串通投标，损害国家、集体、公民的合法利益的，依照前款的规定处罚。</w:t>
      </w:r>
    </w:p>
    <w:p w14:paraId="442D22DF">
      <w:pPr>
        <w:widowControl/>
        <w:spacing w:line="336" w:lineRule="auto"/>
        <w:ind w:firstLine="480" w:firstLineChars="200"/>
        <w:rPr>
          <w:rFonts w:hint="eastAsia" w:ascii="宋体" w:hAnsi="宋体"/>
          <w:color w:val="auto"/>
          <w:sz w:val="24"/>
          <w:lang w:val="zh-CN"/>
        </w:rPr>
      </w:pPr>
      <w:r>
        <w:rPr>
          <w:rFonts w:hint="eastAsia" w:ascii="宋体" w:hAnsi="宋体"/>
          <w:color w:val="auto"/>
          <w:sz w:val="24"/>
        </w:rPr>
        <w:t>22.5</w:t>
      </w:r>
      <w:r>
        <w:rPr>
          <w:rFonts w:hint="eastAsia" w:ascii="宋体" w:hAnsi="宋体"/>
          <w:color w:val="auto"/>
          <w:sz w:val="24"/>
          <w:lang w:val="zh-CN"/>
        </w:rPr>
        <w:t>供应商的行为涉及触犯【串通投标罪】相关规定的，将移送司法机关处理。</w:t>
      </w:r>
    </w:p>
    <w:p w14:paraId="129F9484">
      <w:pPr>
        <w:widowControl/>
        <w:spacing w:line="336" w:lineRule="auto"/>
        <w:ind w:firstLine="480" w:firstLineChars="200"/>
        <w:rPr>
          <w:rFonts w:hint="eastAsia" w:ascii="宋体" w:hAnsi="宋体"/>
          <w:color w:val="auto"/>
          <w:sz w:val="24"/>
          <w:lang w:val="zh-CN"/>
        </w:rPr>
      </w:pPr>
      <w:r>
        <w:rPr>
          <w:rFonts w:hint="eastAsia" w:ascii="宋体" w:hAnsi="宋体"/>
          <w:color w:val="auto"/>
          <w:sz w:val="24"/>
        </w:rPr>
        <w:t>22.6</w:t>
      </w:r>
      <w:r>
        <w:rPr>
          <w:rFonts w:hint="eastAsia" w:ascii="宋体" w:hAnsi="宋体"/>
          <w:color w:val="auto"/>
          <w:sz w:val="24"/>
          <w:lang w:val="zh-CN"/>
        </w:rPr>
        <w:t>评标过程的保密</w:t>
      </w:r>
    </w:p>
    <w:p w14:paraId="0F1134B8">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开标后，直到授予</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合同止，凡是属于审查、澄清、评审和比较的有关资料以及授标建议等均不得向</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或其他无关的人员透露。</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在评标过程中，所进行的力图影响评标结果的不公正活动，可能导致其投标被拒绝。</w:t>
      </w:r>
    </w:p>
    <w:p w14:paraId="22202321">
      <w:pPr>
        <w:pStyle w:val="3"/>
        <w:spacing w:before="0"/>
        <w:jc w:val="center"/>
        <w:rPr>
          <w:rFonts w:hint="eastAsia" w:asciiTheme="minorEastAsia" w:hAnsiTheme="minorEastAsia" w:eastAsiaTheme="minorEastAsia" w:cstheme="minorEastAsia"/>
          <w:color w:val="auto"/>
          <w:szCs w:val="28"/>
        </w:rPr>
      </w:pPr>
      <w:bookmarkStart w:id="98" w:name="_Toc23420"/>
      <w:bookmarkStart w:id="99" w:name="_Toc14883"/>
      <w:bookmarkStart w:id="100" w:name="_Toc31808"/>
      <w:r>
        <w:rPr>
          <w:rFonts w:hint="eastAsia" w:asciiTheme="minorEastAsia" w:hAnsiTheme="minorEastAsia" w:eastAsiaTheme="minorEastAsia" w:cstheme="minorEastAsia"/>
          <w:color w:val="auto"/>
          <w:szCs w:val="28"/>
        </w:rPr>
        <w:t>六、中标结果</w:t>
      </w:r>
      <w:bookmarkEnd w:id="98"/>
      <w:bookmarkEnd w:id="99"/>
      <w:bookmarkEnd w:id="100"/>
    </w:p>
    <w:p w14:paraId="45F069E0">
      <w:pPr>
        <w:pStyle w:val="4"/>
        <w:spacing w:before="0"/>
        <w:ind w:left="420" w:hanging="420"/>
        <w:rPr>
          <w:rFonts w:hint="eastAsia" w:asciiTheme="minorEastAsia" w:hAnsiTheme="minorEastAsia" w:eastAsiaTheme="minorEastAsia" w:cstheme="minorEastAsia"/>
          <w:color w:val="auto"/>
          <w:sz w:val="24"/>
          <w:szCs w:val="24"/>
        </w:rPr>
      </w:pPr>
      <w:bookmarkStart w:id="101" w:name="_Toc7167"/>
      <w:bookmarkStart w:id="102" w:name="_Toc12497"/>
      <w:r>
        <w:rPr>
          <w:rFonts w:hint="eastAsia" w:asciiTheme="minorEastAsia" w:hAnsiTheme="minorEastAsia" w:eastAsiaTheme="minorEastAsia" w:cstheme="minorEastAsia"/>
          <w:color w:val="auto"/>
          <w:sz w:val="24"/>
          <w:szCs w:val="24"/>
        </w:rPr>
        <w:t>23.中标人的确定</w:t>
      </w:r>
      <w:bookmarkEnd w:id="101"/>
      <w:bookmarkEnd w:id="102"/>
    </w:p>
    <w:p w14:paraId="331A9BC1">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 采购代理机构在评标结束后2个工作日内将评标报告送采购人。</w:t>
      </w:r>
    </w:p>
    <w:p w14:paraId="1ED60BBD">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 采购人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48D163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23.3采购人在收到评标报告5个工作日内未按评标报告推荐的中标候选人顺序确定中标人，又不能说明合法理由的，视同按评标报告推荐的顺序确定排名第一的中标候选人为中标人。</w:t>
      </w:r>
    </w:p>
    <w:p w14:paraId="039A43E8">
      <w:pPr>
        <w:pStyle w:val="4"/>
        <w:spacing w:before="0"/>
        <w:ind w:left="420" w:hanging="420"/>
        <w:rPr>
          <w:rFonts w:hint="eastAsia" w:asciiTheme="minorEastAsia" w:hAnsiTheme="minorEastAsia" w:eastAsiaTheme="minorEastAsia" w:cstheme="minorEastAsia"/>
          <w:color w:val="auto"/>
          <w:sz w:val="24"/>
          <w:szCs w:val="24"/>
        </w:rPr>
      </w:pPr>
      <w:bookmarkStart w:id="103" w:name="_Toc7408"/>
      <w:bookmarkStart w:id="104" w:name="_Toc21795"/>
      <w:r>
        <w:rPr>
          <w:rFonts w:hint="eastAsia" w:asciiTheme="minorEastAsia" w:hAnsiTheme="minorEastAsia" w:eastAsiaTheme="minorEastAsia" w:cstheme="minorEastAsia"/>
          <w:color w:val="auto"/>
          <w:sz w:val="24"/>
          <w:szCs w:val="24"/>
        </w:rPr>
        <w:t>24.中标结果公告及中标通知书</w:t>
      </w:r>
      <w:bookmarkEnd w:id="103"/>
      <w:bookmarkEnd w:id="104"/>
    </w:p>
    <w:p w14:paraId="502BBB6D">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24.1采购代理机构自中标人确定之日起2个工作日内，在省级以上财政部门指定的媒体上公告中标结果，招标文件应当随中标结果同时公告。中标公告期限为1个工作日。</w:t>
      </w:r>
    </w:p>
    <w:p w14:paraId="38C21B84">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24.2在公告中标结果的同时，采购代理机构应当向中标人发出中标通知书。</w:t>
      </w:r>
    </w:p>
    <w:p w14:paraId="09A66568">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24.3中标通知书发出后，采购人不得违法改变中标结果，中标人无正当理由不得放弃中标。</w:t>
      </w:r>
    </w:p>
    <w:p w14:paraId="4F8D0113">
      <w:pPr>
        <w:pStyle w:val="4"/>
        <w:spacing w:before="0"/>
        <w:ind w:left="420" w:hanging="420"/>
        <w:rPr>
          <w:rFonts w:hint="eastAsia" w:asciiTheme="minorEastAsia" w:hAnsiTheme="minorEastAsia" w:eastAsiaTheme="minorEastAsia" w:cstheme="minorEastAsia"/>
          <w:color w:val="auto"/>
          <w:sz w:val="24"/>
          <w:szCs w:val="24"/>
        </w:rPr>
      </w:pPr>
      <w:bookmarkStart w:id="105" w:name="_Toc20530"/>
      <w:bookmarkStart w:id="106" w:name="_Toc24847"/>
      <w:r>
        <w:rPr>
          <w:rFonts w:hint="eastAsia" w:asciiTheme="minorEastAsia" w:hAnsiTheme="minorEastAsia" w:eastAsiaTheme="minorEastAsia" w:cstheme="minorEastAsia"/>
          <w:color w:val="auto"/>
          <w:sz w:val="24"/>
          <w:szCs w:val="24"/>
        </w:rPr>
        <w:t>25.签订合同</w:t>
      </w:r>
      <w:bookmarkEnd w:id="105"/>
      <w:bookmarkEnd w:id="106"/>
    </w:p>
    <w:p w14:paraId="6F6F1BE1">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25.1采购人应当自中标通知书发出之日起30日内，按照招标文件和中标人投标文件的规定，与中标人签订书面合同。所签订的合同不得对招标文件确定的事项和中标人投标文件作实质性修改。</w:t>
      </w:r>
    </w:p>
    <w:p w14:paraId="148D68BF">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采购人不得向中标人提出任何不合理的要求作为签订合同的条件。</w:t>
      </w:r>
    </w:p>
    <w:p w14:paraId="0FF83158">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25.2采购人与中标人应当根据合同的约定依法履行合同义务。政府采购合同的履行、违约责任和解决争议的方法等适用《中华人民共和国民法典》。</w:t>
      </w:r>
    </w:p>
    <w:p w14:paraId="3F89BB2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25.3根据《政府采购法实施条例》第四十九条规定，中标人无不正当理由拒与采购人签订政府采购合同的，按照第七十二条进行处罚。</w:t>
      </w:r>
    </w:p>
    <w:p w14:paraId="21DDE498">
      <w:pPr>
        <w:pStyle w:val="4"/>
        <w:spacing w:before="0"/>
        <w:ind w:left="420" w:hanging="420"/>
        <w:rPr>
          <w:rFonts w:hint="eastAsia" w:asciiTheme="minorEastAsia" w:hAnsiTheme="minorEastAsia" w:eastAsiaTheme="minorEastAsia" w:cstheme="minorEastAsia"/>
          <w:color w:val="auto"/>
          <w:sz w:val="24"/>
          <w:szCs w:val="24"/>
        </w:rPr>
      </w:pPr>
      <w:bookmarkStart w:id="107" w:name="_Toc18793"/>
      <w:bookmarkStart w:id="108" w:name="_Toc26114"/>
      <w:r>
        <w:rPr>
          <w:rFonts w:hint="eastAsia" w:asciiTheme="minorEastAsia" w:hAnsiTheme="minorEastAsia" w:eastAsiaTheme="minorEastAsia" w:cstheme="minorEastAsia"/>
          <w:color w:val="auto"/>
          <w:sz w:val="24"/>
          <w:szCs w:val="24"/>
        </w:rPr>
        <w:t>26.履约保证金</w:t>
      </w:r>
      <w:bookmarkEnd w:id="107"/>
      <w:bookmarkEnd w:id="108"/>
    </w:p>
    <w:p w14:paraId="589766BF">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26.1 在签订合同前，中标人应按</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须知前附表规定的形式、金额向采购人提交履约保证金。</w:t>
      </w:r>
    </w:p>
    <w:p w14:paraId="434D8AD3">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26.2 中标人不能按本章要求提交履约保证金的，视为放弃中标，其投标保证金不予退还，给采购人造成的损失超过投标保证金数额的，中标人还应当对超过部分予以赔偿。</w:t>
      </w:r>
    </w:p>
    <w:p w14:paraId="10D3878A">
      <w:pPr>
        <w:pStyle w:val="3"/>
        <w:spacing w:before="0"/>
        <w:jc w:val="center"/>
        <w:rPr>
          <w:rFonts w:hint="eastAsia" w:asciiTheme="minorEastAsia" w:hAnsiTheme="minorEastAsia" w:eastAsiaTheme="minorEastAsia" w:cstheme="minorEastAsia"/>
          <w:color w:val="auto"/>
          <w:szCs w:val="28"/>
        </w:rPr>
      </w:pPr>
      <w:bookmarkStart w:id="109" w:name="_Toc19884"/>
      <w:bookmarkStart w:id="110" w:name="_Toc9371"/>
      <w:bookmarkStart w:id="111" w:name="_Toc18345"/>
      <w:r>
        <w:rPr>
          <w:rFonts w:hint="eastAsia" w:asciiTheme="minorEastAsia" w:hAnsiTheme="minorEastAsia" w:eastAsiaTheme="minorEastAsia" w:cstheme="minorEastAsia"/>
          <w:color w:val="auto"/>
          <w:szCs w:val="28"/>
        </w:rPr>
        <w:t>七、其他事项</w:t>
      </w:r>
      <w:bookmarkEnd w:id="109"/>
      <w:bookmarkEnd w:id="110"/>
      <w:bookmarkEnd w:id="111"/>
    </w:p>
    <w:p w14:paraId="1E03662B">
      <w:pPr>
        <w:pStyle w:val="4"/>
        <w:spacing w:before="0"/>
        <w:ind w:left="420" w:hanging="420"/>
        <w:rPr>
          <w:rFonts w:hint="eastAsia" w:asciiTheme="minorEastAsia" w:hAnsiTheme="minorEastAsia" w:eastAsiaTheme="minorEastAsia" w:cstheme="minorEastAsia"/>
          <w:color w:val="auto"/>
          <w:sz w:val="24"/>
          <w:szCs w:val="24"/>
        </w:rPr>
      </w:pPr>
      <w:bookmarkStart w:id="112" w:name="_Toc3115"/>
      <w:bookmarkStart w:id="113" w:name="_Toc26291"/>
      <w:r>
        <w:rPr>
          <w:rFonts w:hint="eastAsia" w:asciiTheme="minorEastAsia" w:hAnsiTheme="minorEastAsia" w:eastAsiaTheme="minorEastAsia" w:cstheme="minorEastAsia"/>
          <w:color w:val="auto"/>
          <w:sz w:val="24"/>
          <w:szCs w:val="24"/>
        </w:rPr>
        <w:t>27.</w:t>
      </w:r>
      <w:bookmarkEnd w:id="112"/>
      <w:r>
        <w:rPr>
          <w:rFonts w:hint="eastAsia" w:asciiTheme="minorEastAsia" w:hAnsiTheme="minorEastAsia" w:eastAsiaTheme="minorEastAsia" w:cstheme="minorEastAsia"/>
          <w:color w:val="auto"/>
          <w:sz w:val="24"/>
          <w:szCs w:val="24"/>
        </w:rPr>
        <w:t>其他费用</w:t>
      </w:r>
      <w:bookmarkEnd w:id="113"/>
    </w:p>
    <w:p w14:paraId="03733978">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27.1其他费用：见“</w:t>
      </w:r>
      <w:r>
        <w:rPr>
          <w:rFonts w:hint="eastAsia" w:asciiTheme="minorEastAsia" w:hAnsiTheme="minorEastAsia" w:eastAsiaTheme="minorEastAsia" w:cstheme="minorEastAsia"/>
          <w:b/>
          <w:color w:val="auto"/>
          <w:sz w:val="24"/>
          <w:lang w:eastAsia="zh-CN"/>
        </w:rPr>
        <w:t>供应商</w:t>
      </w:r>
      <w:r>
        <w:rPr>
          <w:rFonts w:hint="eastAsia" w:asciiTheme="minorEastAsia" w:hAnsiTheme="minorEastAsia" w:eastAsiaTheme="minorEastAsia" w:cstheme="minorEastAsia"/>
          <w:b/>
          <w:color w:val="auto"/>
          <w:sz w:val="24"/>
        </w:rPr>
        <w:t>须知前附表</w:t>
      </w:r>
      <w:r>
        <w:rPr>
          <w:rFonts w:hint="eastAsia" w:asciiTheme="minorEastAsia" w:hAnsiTheme="minorEastAsia" w:eastAsiaTheme="minorEastAsia" w:cstheme="minorEastAsia"/>
          <w:color w:val="auto"/>
          <w:sz w:val="24"/>
        </w:rPr>
        <w:t>”。</w:t>
      </w:r>
    </w:p>
    <w:p w14:paraId="76706CC2">
      <w:pPr>
        <w:pStyle w:val="4"/>
        <w:spacing w:before="0"/>
        <w:ind w:left="420" w:hanging="420"/>
        <w:rPr>
          <w:rFonts w:hint="eastAsia" w:asciiTheme="minorEastAsia" w:hAnsiTheme="minorEastAsia" w:eastAsiaTheme="minorEastAsia" w:cstheme="minorEastAsia"/>
          <w:color w:val="auto"/>
          <w:sz w:val="24"/>
          <w:szCs w:val="24"/>
        </w:rPr>
      </w:pPr>
      <w:bookmarkStart w:id="114" w:name="_Toc15652"/>
      <w:bookmarkStart w:id="115" w:name="_Toc3713"/>
      <w:r>
        <w:rPr>
          <w:rFonts w:hint="eastAsia" w:asciiTheme="minorEastAsia" w:hAnsiTheme="minorEastAsia" w:eastAsiaTheme="minorEastAsia" w:cstheme="minorEastAsia"/>
          <w:color w:val="auto"/>
          <w:sz w:val="24"/>
          <w:szCs w:val="24"/>
        </w:rPr>
        <w:t>28.质疑</w:t>
      </w:r>
      <w:bookmarkEnd w:id="114"/>
      <w:bookmarkEnd w:id="115"/>
    </w:p>
    <w:p w14:paraId="52094935">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28.1 </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认为招标文件、招标过程、中标或者成交结果使自己的权益受到损害的，可以在知道或者应知其权益受到损害之日起7个工作日内，以书面形式向采购人、采购代理机构提出质疑。提出质疑的</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（以下简称质疑</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）应当是参与所质疑项目采购活动的</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。潜在</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已依法获取其可质疑的招标文件的，可以对该文件提出质疑。对招标文件提出质疑的，应当在获取招标文件或者招标文件公告期限届满之日起7个工作日内提出。</w:t>
      </w:r>
    </w:p>
    <w:p w14:paraId="494A647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可以委托代理人进行质疑和投诉。其授权委托书应当载明代理人的姓名或者名称、代理事项、具体权限、期限和相关事项。</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为自然人的，应当由本人签字；</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为法人或者其他组织的，应当由法定代表人、主要负责人签字或者盖章，并加盖公章。</w:t>
      </w:r>
    </w:p>
    <w:p w14:paraId="45FD5737">
      <w:pPr>
        <w:spacing w:line="360" w:lineRule="auto"/>
        <w:ind w:firstLine="410" w:firstLineChars="171"/>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受理质疑部门：采购人或采购代理机构</w:t>
      </w:r>
    </w:p>
    <w:p w14:paraId="2307A9FB">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28.2 </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提出质疑应当提交质疑函和必要的证明材料。质疑函应当包括下列内容：</w:t>
      </w:r>
    </w:p>
    <w:p w14:paraId="7810C338">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（一）</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的姓名或者名称、地址、邮编、联系人及联系电话；</w:t>
      </w:r>
    </w:p>
    <w:p w14:paraId="361E2EA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（二）质疑项目的名称、编号；</w:t>
      </w:r>
    </w:p>
    <w:p w14:paraId="3EF0D1DA">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（三）具体、明确的质疑事项和与质疑事项相关的请求；</w:t>
      </w:r>
    </w:p>
    <w:p w14:paraId="37AF647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（四）事实依据；</w:t>
      </w:r>
    </w:p>
    <w:p w14:paraId="5EAE4C5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（五）必要的法律依据；</w:t>
      </w:r>
    </w:p>
    <w:p w14:paraId="5FB3DCBB">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（六）提出质疑的日期。</w:t>
      </w:r>
    </w:p>
    <w:p w14:paraId="1227C914">
      <w:pPr>
        <w:spacing w:line="360" w:lineRule="auto"/>
        <w:ind w:firstLine="410" w:firstLineChars="171"/>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为自然人的，应当由本人签字；</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为法人或者其他组织的，应当由法定代表人、主要负责人，或者其授权代表签字或者盖章，并加盖公章。</w:t>
      </w:r>
    </w:p>
    <w:p w14:paraId="1B59C143">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rPr>
        <w:t>28.3采购人、采购代理机构不得拒收质疑</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在法定质疑期内发出的质疑函，应当在收到质疑函后7个工作日内作出答复，并以书面形式通知质疑</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和其他有关</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bCs/>
          <w:color w:val="auto"/>
          <w:sz w:val="24"/>
        </w:rPr>
        <w:t>。</w:t>
      </w:r>
    </w:p>
    <w:p w14:paraId="5D57D545">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28.4</w:t>
      </w:r>
      <w:r>
        <w:rPr>
          <w:rFonts w:hint="eastAsia" w:asciiTheme="minorEastAsia" w:hAnsiTheme="minorEastAsia" w:eastAsiaTheme="minorEastAsia" w:cstheme="minorEastAsia"/>
          <w:bCs/>
          <w:color w:val="auto"/>
          <w:sz w:val="24"/>
          <w:lang w:eastAsia="zh-CN"/>
        </w:rPr>
        <w:t>供应商</w:t>
      </w:r>
      <w:r>
        <w:rPr>
          <w:rFonts w:hint="eastAsia" w:asciiTheme="minorEastAsia" w:hAnsiTheme="minorEastAsia" w:eastAsiaTheme="minorEastAsia" w:cstheme="minorEastAsia"/>
          <w:bCs/>
          <w:color w:val="auto"/>
          <w:sz w:val="24"/>
        </w:rPr>
        <w:t>对评审过程、中标或者成交结果提出质疑的，采购人、采购代理机构可以组织原评标委员会、竞争性谈判小组、询价小组或者竞争性评标委员会协助答复质疑。</w:t>
      </w:r>
    </w:p>
    <w:p w14:paraId="0D9D9F2C">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质疑答复应当包括下列内容：</w:t>
      </w:r>
    </w:p>
    <w:p w14:paraId="72F00C0F">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　　（一）质疑</w:t>
      </w:r>
      <w:r>
        <w:rPr>
          <w:rFonts w:hint="eastAsia" w:asciiTheme="minorEastAsia" w:hAnsiTheme="minorEastAsia" w:eastAsiaTheme="minorEastAsia" w:cstheme="minorEastAsia"/>
          <w:bCs/>
          <w:color w:val="auto"/>
          <w:sz w:val="24"/>
          <w:lang w:eastAsia="zh-CN"/>
        </w:rPr>
        <w:t>供应商</w:t>
      </w:r>
      <w:r>
        <w:rPr>
          <w:rFonts w:hint="eastAsia" w:asciiTheme="minorEastAsia" w:hAnsiTheme="minorEastAsia" w:eastAsiaTheme="minorEastAsia" w:cstheme="minorEastAsia"/>
          <w:bCs/>
          <w:color w:val="auto"/>
          <w:sz w:val="24"/>
        </w:rPr>
        <w:t>的姓名或者名称；</w:t>
      </w:r>
    </w:p>
    <w:p w14:paraId="7E0B9AAD">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　　（二）收到质疑函的日期、质疑项目名称及编号；</w:t>
      </w:r>
    </w:p>
    <w:p w14:paraId="1E39C92C">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　　（三）质疑事项、质疑答复的具体内容、事实依据和法律依据；</w:t>
      </w:r>
    </w:p>
    <w:p w14:paraId="29E76D3C">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　　（四）告知质疑</w:t>
      </w:r>
      <w:r>
        <w:rPr>
          <w:rFonts w:hint="eastAsia" w:asciiTheme="minorEastAsia" w:hAnsiTheme="minorEastAsia" w:eastAsiaTheme="minorEastAsia" w:cstheme="minorEastAsia"/>
          <w:bCs/>
          <w:color w:val="auto"/>
          <w:sz w:val="24"/>
          <w:lang w:eastAsia="zh-CN"/>
        </w:rPr>
        <w:t>供应商</w:t>
      </w:r>
      <w:r>
        <w:rPr>
          <w:rFonts w:hint="eastAsia" w:asciiTheme="minorEastAsia" w:hAnsiTheme="minorEastAsia" w:eastAsiaTheme="minorEastAsia" w:cstheme="minorEastAsia"/>
          <w:bCs/>
          <w:color w:val="auto"/>
          <w:sz w:val="24"/>
        </w:rPr>
        <w:t>依法投诉的权利；</w:t>
      </w:r>
    </w:p>
    <w:p w14:paraId="2E565EE1">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　　（五）质疑答复人名称；</w:t>
      </w:r>
    </w:p>
    <w:p w14:paraId="4282AD89">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　　（六）答复质疑的日期。</w:t>
      </w:r>
    </w:p>
    <w:p w14:paraId="2A484BC5">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　　质疑答复的内容不得涉及商业秘密。</w:t>
      </w:r>
    </w:p>
    <w:p w14:paraId="328F86BB">
      <w:pPr>
        <w:spacing w:line="360" w:lineRule="auto"/>
        <w:ind w:firstLine="480" w:firstLineChars="20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rPr>
        <w:t>具体规定按中华人民共和国财政部令第94号--《政府采购质疑和投诉办法》办法处理。</w:t>
      </w:r>
    </w:p>
    <w:p w14:paraId="47307652">
      <w:pPr>
        <w:pStyle w:val="4"/>
        <w:spacing w:before="0"/>
        <w:ind w:left="420" w:hanging="420"/>
        <w:rPr>
          <w:rFonts w:hint="eastAsia" w:asciiTheme="minorEastAsia" w:hAnsiTheme="minorEastAsia" w:eastAsiaTheme="minorEastAsia" w:cstheme="minorEastAsia"/>
          <w:color w:val="auto"/>
          <w:sz w:val="24"/>
          <w:szCs w:val="24"/>
        </w:rPr>
      </w:pPr>
      <w:bookmarkStart w:id="116" w:name="_Toc13085"/>
      <w:bookmarkStart w:id="117" w:name="_Toc23640"/>
      <w:r>
        <w:rPr>
          <w:rFonts w:hint="eastAsia" w:asciiTheme="minorEastAsia" w:hAnsiTheme="minorEastAsia" w:eastAsiaTheme="minorEastAsia" w:cstheme="minorEastAsia"/>
          <w:color w:val="auto"/>
          <w:sz w:val="24"/>
          <w:szCs w:val="24"/>
        </w:rPr>
        <w:t>29.投诉</w:t>
      </w:r>
      <w:bookmarkEnd w:id="116"/>
      <w:bookmarkEnd w:id="117"/>
    </w:p>
    <w:p w14:paraId="2937FF15">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质疑</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对采购人、采购代理机构的答复不满意，或者采购人、采购代理机构未在规定时间内作出答复的，可以在答复期满后15个工作日内向采购监管部门提出投诉。</w:t>
      </w:r>
    </w:p>
    <w:p w14:paraId="6441938E">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投诉人投诉时,应当提交投诉书和必要的证明材料，并按照被投诉采购人、采购代理机构（以下简称被投诉人）和与投诉事项有关的</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数量提供投诉书的副本。投诉书应当包括下列内容：</w:t>
      </w:r>
    </w:p>
    <w:p w14:paraId="42C6A100">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（一）投诉人和被投诉人的姓名或者名称、通讯地址、邮编、联系人及联系电话；</w:t>
      </w:r>
    </w:p>
    <w:p w14:paraId="591B64D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（二）质疑和质疑答复情况说明及相关证明材料；</w:t>
      </w:r>
    </w:p>
    <w:p w14:paraId="0AF8CF9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（三）具体、明确的投诉事项和与投诉事项相关的投诉请求；</w:t>
      </w:r>
    </w:p>
    <w:p w14:paraId="0640D03E">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（四）事实依据；</w:t>
      </w:r>
    </w:p>
    <w:p w14:paraId="7F817BB7">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（五）法律依据；</w:t>
      </w:r>
    </w:p>
    <w:p w14:paraId="2574073B">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（六）提起投诉的日期。</w:t>
      </w:r>
    </w:p>
    <w:p w14:paraId="6F461DB3">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投诉人为自然人的，应当由本人签字；投诉人为法人或者其他组织的，应当由法定代表人、主要负责人，或者其授权代表签字或者盖章，并加盖公章。</w:t>
      </w:r>
    </w:p>
    <w:p w14:paraId="6FEE4FDD">
      <w:pPr>
        <w:pStyle w:val="4"/>
        <w:spacing w:before="0"/>
        <w:ind w:left="420" w:hanging="420"/>
        <w:rPr>
          <w:rFonts w:hint="eastAsia" w:asciiTheme="minorEastAsia" w:hAnsiTheme="minorEastAsia" w:eastAsiaTheme="minorEastAsia" w:cstheme="minorEastAsia"/>
          <w:color w:val="auto"/>
          <w:sz w:val="24"/>
          <w:szCs w:val="24"/>
        </w:rPr>
      </w:pPr>
      <w:bookmarkStart w:id="118" w:name="_Toc8084"/>
      <w:bookmarkStart w:id="119" w:name="_Toc18975"/>
      <w:r>
        <w:rPr>
          <w:rFonts w:hint="eastAsia" w:asciiTheme="minorEastAsia" w:hAnsiTheme="minorEastAsia" w:eastAsiaTheme="minorEastAsia" w:cstheme="minorEastAsia"/>
          <w:color w:val="auto"/>
          <w:sz w:val="24"/>
          <w:szCs w:val="24"/>
        </w:rPr>
        <w:t>30.解释权</w:t>
      </w:r>
      <w:bookmarkEnd w:id="118"/>
      <w:bookmarkEnd w:id="119"/>
    </w:p>
    <w:p w14:paraId="247ACA9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本招标文件是根据《中华人民共和国政府采购法》及相关法律法规编制，解释权属采购人及采购代理机构。</w:t>
      </w:r>
    </w:p>
    <w:p w14:paraId="15BB060F">
      <w:pPr>
        <w:pStyle w:val="4"/>
        <w:spacing w:before="0"/>
        <w:ind w:left="420" w:hanging="420"/>
        <w:rPr>
          <w:rFonts w:hint="eastAsia" w:asciiTheme="minorEastAsia" w:hAnsiTheme="minorEastAsia" w:eastAsiaTheme="minorEastAsia" w:cstheme="minorEastAsia"/>
          <w:color w:val="auto"/>
          <w:sz w:val="24"/>
          <w:szCs w:val="24"/>
        </w:rPr>
      </w:pPr>
      <w:bookmarkStart w:id="120" w:name="_Toc8073"/>
      <w:bookmarkStart w:id="121" w:name="_Toc6659"/>
      <w:r>
        <w:rPr>
          <w:rFonts w:hint="eastAsia" w:asciiTheme="minorEastAsia" w:hAnsiTheme="minorEastAsia" w:eastAsiaTheme="minorEastAsia" w:cstheme="minorEastAsia"/>
          <w:color w:val="auto"/>
          <w:sz w:val="24"/>
          <w:szCs w:val="24"/>
        </w:rPr>
        <w:t>31.需要补充的其他内容</w:t>
      </w:r>
      <w:bookmarkEnd w:id="120"/>
      <w:bookmarkEnd w:id="121"/>
    </w:p>
    <w:p w14:paraId="42E422F3">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14:paraId="451D9247">
      <w:pPr>
        <w:widowControl/>
        <w:spacing w:line="360" w:lineRule="auto"/>
        <w:jc w:val="center"/>
        <w:outlineLvl w:val="0"/>
        <w:rPr>
          <w:rFonts w:hint="eastAsia" w:asciiTheme="minorEastAsia" w:hAnsiTheme="minorEastAsia" w:eastAsiaTheme="minorEastAsia" w:cstheme="minorEastAsia"/>
          <w:bCs/>
          <w:color w:val="auto"/>
          <w:sz w:val="36"/>
        </w:rPr>
      </w:pPr>
      <w:bookmarkStart w:id="122" w:name="_Toc10009"/>
      <w:bookmarkStart w:id="123" w:name="_Toc20908"/>
      <w:bookmarkStart w:id="124" w:name="_Toc2294"/>
      <w:bookmarkStart w:id="125" w:name="_Toc14603"/>
      <w:bookmarkStart w:id="126" w:name="_Toc21598"/>
      <w:bookmarkStart w:id="127" w:name="_Toc10816"/>
      <w:bookmarkStart w:id="128" w:name="_Toc30763"/>
      <w:bookmarkStart w:id="129" w:name="_Toc24519"/>
      <w:bookmarkStart w:id="130" w:name="_Toc3304"/>
      <w:r>
        <w:rPr>
          <w:rFonts w:asciiTheme="minorEastAsia" w:hAnsiTheme="minorEastAsia" w:eastAsiaTheme="minorEastAsia" w:cstheme="minorEastAsia"/>
          <w:b/>
          <w:bCs/>
          <w:color w:val="auto"/>
          <w:kern w:val="44"/>
          <w:sz w:val="36"/>
          <w:szCs w:val="20"/>
        </w:rPr>
        <w:t>第三章</w:t>
      </w:r>
      <w:r>
        <w:rPr>
          <w:rFonts w:hint="eastAsia" w:asciiTheme="minorEastAsia" w:hAnsiTheme="minorEastAsia" w:eastAsiaTheme="minorEastAsia" w:cstheme="minorEastAsia"/>
          <w:b/>
          <w:bCs/>
          <w:color w:val="auto"/>
          <w:kern w:val="44"/>
          <w:sz w:val="36"/>
          <w:szCs w:val="20"/>
        </w:rPr>
        <w:t xml:space="preserve">  </w:t>
      </w:r>
      <w:bookmarkEnd w:id="122"/>
      <w:bookmarkEnd w:id="123"/>
      <w:bookmarkEnd w:id="124"/>
      <w:bookmarkEnd w:id="125"/>
      <w:bookmarkEnd w:id="126"/>
      <w:bookmarkEnd w:id="127"/>
      <w:bookmarkEnd w:id="128"/>
      <w:r>
        <w:rPr>
          <w:rFonts w:hint="eastAsia" w:asciiTheme="minorEastAsia" w:hAnsiTheme="minorEastAsia" w:eastAsiaTheme="minorEastAsia" w:cstheme="minorEastAsia"/>
          <w:b/>
          <w:bCs/>
          <w:color w:val="auto"/>
          <w:kern w:val="44"/>
          <w:sz w:val="36"/>
          <w:szCs w:val="20"/>
        </w:rPr>
        <w:t>合同条款</w:t>
      </w:r>
      <w:bookmarkEnd w:id="129"/>
      <w:bookmarkEnd w:id="130"/>
    </w:p>
    <w:p w14:paraId="432E7BD9">
      <w:pPr>
        <w:pStyle w:val="15"/>
        <w:spacing w:line="360" w:lineRule="auto"/>
        <w:ind w:firstLine="530" w:firstLineChars="200"/>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以下合同内容仅供参考，具体合同内容以签订合同时甲乙双方商定为准</w:t>
      </w:r>
      <w:r>
        <w:rPr>
          <w:rFonts w:hint="eastAsia" w:ascii="仿宋" w:hAnsi="仿宋" w:eastAsia="仿宋" w:cs="仿宋"/>
          <w:b/>
          <w:bCs/>
          <w:color w:val="auto"/>
          <w:sz w:val="28"/>
          <w:szCs w:val="28"/>
          <w:highlight w:val="none"/>
          <w:lang w:eastAsia="zh-CN"/>
        </w:rPr>
        <w:t>）</w:t>
      </w:r>
    </w:p>
    <w:p w14:paraId="29D1AA50">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根据《中华人民共和国政府采购法》、《中华人民共和国民法典》等法律、法规规定， 按照招标文件（采购文件）规定条款和中标（成交）供应商承诺，甲乙双方签订本合同。</w:t>
      </w:r>
    </w:p>
    <w:p w14:paraId="1F8427A1">
      <w:pPr>
        <w:pStyle w:val="15"/>
        <w:numPr>
          <w:ilvl w:val="0"/>
          <w:numId w:val="1"/>
        </w:numPr>
        <w:spacing w:line="360" w:lineRule="auto"/>
        <w:rPr>
          <w:rFonts w:hint="eastAsia" w:ascii="宋体" w:hAnsi="宋体" w:eastAsia="宋体" w:cs="宋体"/>
          <w:b/>
          <w:color w:val="auto"/>
          <w:spacing w:val="-17"/>
          <w:sz w:val="24"/>
          <w:szCs w:val="24"/>
          <w:highlight w:val="none"/>
        </w:rPr>
      </w:pPr>
      <w:r>
        <w:rPr>
          <w:rFonts w:hint="eastAsia" w:ascii="宋体" w:hAnsi="宋体" w:eastAsia="宋体" w:cs="宋体"/>
          <w:b/>
          <w:color w:val="auto"/>
          <w:sz w:val="24"/>
          <w:szCs w:val="24"/>
          <w:highlight w:val="none"/>
        </w:rPr>
        <w:t xml:space="preserve"> </w:t>
      </w:r>
      <w:bookmarkStart w:id="131" w:name="_Toc26476"/>
      <w:r>
        <w:rPr>
          <w:rFonts w:hint="eastAsia" w:ascii="宋体" w:hAnsi="宋体" w:eastAsia="宋体" w:cs="宋体"/>
          <w:b/>
          <w:color w:val="auto"/>
          <w:sz w:val="24"/>
          <w:szCs w:val="24"/>
          <w:highlight w:val="none"/>
        </w:rPr>
        <w:t>合同标</w:t>
      </w:r>
      <w:r>
        <w:rPr>
          <w:rFonts w:hint="eastAsia" w:ascii="宋体" w:hAnsi="宋体" w:eastAsia="宋体" w:cs="宋体"/>
          <w:b/>
          <w:color w:val="auto"/>
          <w:spacing w:val="-17"/>
          <w:sz w:val="24"/>
          <w:szCs w:val="24"/>
          <w:highlight w:val="none"/>
        </w:rPr>
        <w:t>的</w:t>
      </w:r>
      <w:bookmarkEnd w:id="131"/>
    </w:p>
    <w:p w14:paraId="226DEB6E">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1、供货一览表</w:t>
      </w:r>
    </w:p>
    <w:tbl>
      <w:tblPr>
        <w:tblStyle w:val="41"/>
        <w:tblW w:w="8829"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233"/>
        <w:gridCol w:w="1059"/>
        <w:gridCol w:w="1233"/>
        <w:gridCol w:w="1210"/>
        <w:gridCol w:w="908"/>
        <w:gridCol w:w="668"/>
        <w:gridCol w:w="947"/>
        <w:gridCol w:w="862"/>
      </w:tblGrid>
      <w:tr w14:paraId="5EC0A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9" w:type="dxa"/>
            <w:noWrap w:val="0"/>
            <w:vAlign w:val="top"/>
          </w:tcPr>
          <w:p w14:paraId="777740A6">
            <w:pPr>
              <w:pStyle w:val="110"/>
              <w:spacing w:line="360" w:lineRule="auto"/>
              <w:rPr>
                <w:rFonts w:hint="eastAsia" w:ascii="宋体" w:hAnsi="宋体" w:eastAsia="宋体" w:cs="宋体"/>
                <w:color w:val="auto"/>
                <w:sz w:val="24"/>
                <w:szCs w:val="24"/>
                <w:highlight w:val="none"/>
              </w:rPr>
            </w:pPr>
          </w:p>
          <w:p w14:paraId="10C2FC44">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33" w:type="dxa"/>
            <w:noWrap w:val="0"/>
            <w:vAlign w:val="top"/>
          </w:tcPr>
          <w:p w14:paraId="3511B46A">
            <w:pPr>
              <w:pStyle w:val="110"/>
              <w:spacing w:line="360" w:lineRule="auto"/>
              <w:rPr>
                <w:rFonts w:hint="eastAsia" w:ascii="宋体" w:hAnsi="宋体" w:eastAsia="宋体" w:cs="宋体"/>
                <w:color w:val="auto"/>
                <w:sz w:val="24"/>
                <w:szCs w:val="24"/>
                <w:highlight w:val="none"/>
              </w:rPr>
            </w:pPr>
          </w:p>
          <w:p w14:paraId="059EE514">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059" w:type="dxa"/>
            <w:noWrap w:val="0"/>
            <w:vAlign w:val="top"/>
          </w:tcPr>
          <w:p w14:paraId="03592F4A">
            <w:pPr>
              <w:pStyle w:val="110"/>
              <w:spacing w:line="360" w:lineRule="auto"/>
              <w:rPr>
                <w:rFonts w:hint="eastAsia" w:ascii="宋体" w:hAnsi="宋体" w:eastAsia="宋体" w:cs="宋体"/>
                <w:color w:val="auto"/>
                <w:sz w:val="24"/>
                <w:szCs w:val="24"/>
                <w:highlight w:val="none"/>
              </w:rPr>
            </w:pPr>
          </w:p>
          <w:p w14:paraId="00BE6D8F">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233" w:type="dxa"/>
            <w:noWrap w:val="0"/>
            <w:vAlign w:val="top"/>
          </w:tcPr>
          <w:p w14:paraId="35E0B154">
            <w:pPr>
              <w:pStyle w:val="110"/>
              <w:spacing w:line="360" w:lineRule="auto"/>
              <w:rPr>
                <w:rFonts w:hint="eastAsia" w:ascii="宋体" w:hAnsi="宋体" w:eastAsia="宋体" w:cs="宋体"/>
                <w:color w:val="auto"/>
                <w:sz w:val="24"/>
                <w:szCs w:val="24"/>
                <w:highlight w:val="none"/>
              </w:rPr>
            </w:pPr>
          </w:p>
          <w:p w14:paraId="097D6213">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210" w:type="dxa"/>
            <w:noWrap w:val="0"/>
            <w:vAlign w:val="top"/>
          </w:tcPr>
          <w:p w14:paraId="093FAB56">
            <w:pPr>
              <w:pStyle w:val="110"/>
              <w:spacing w:line="360" w:lineRule="auto"/>
              <w:rPr>
                <w:rFonts w:hint="eastAsia" w:ascii="宋体" w:hAnsi="宋体" w:eastAsia="宋体" w:cs="宋体"/>
                <w:color w:val="auto"/>
                <w:sz w:val="24"/>
                <w:szCs w:val="24"/>
                <w:highlight w:val="none"/>
              </w:rPr>
            </w:pPr>
          </w:p>
          <w:p w14:paraId="0E1DD244">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908" w:type="dxa"/>
            <w:noWrap w:val="0"/>
            <w:vAlign w:val="top"/>
          </w:tcPr>
          <w:p w14:paraId="1D202E6F">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w:t>
            </w:r>
          </w:p>
          <w:p w14:paraId="48DCE3AA">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量</w:t>
            </w:r>
          </w:p>
        </w:tc>
        <w:tc>
          <w:tcPr>
            <w:tcW w:w="668" w:type="dxa"/>
            <w:noWrap w:val="0"/>
            <w:vAlign w:val="top"/>
          </w:tcPr>
          <w:p w14:paraId="41D99F39">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w:t>
            </w:r>
          </w:p>
          <w:p w14:paraId="4EAB519A">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w:t>
            </w:r>
          </w:p>
        </w:tc>
        <w:tc>
          <w:tcPr>
            <w:tcW w:w="947" w:type="dxa"/>
            <w:noWrap w:val="0"/>
            <w:vAlign w:val="top"/>
          </w:tcPr>
          <w:p w14:paraId="2627D962">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价</w:t>
            </w:r>
          </w:p>
          <w:p w14:paraId="79CD74B5">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62" w:type="dxa"/>
            <w:noWrap w:val="0"/>
            <w:vAlign w:val="top"/>
          </w:tcPr>
          <w:p w14:paraId="14F595AD">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额</w:t>
            </w:r>
          </w:p>
          <w:p w14:paraId="6A17EE6E">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2C509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9" w:type="dxa"/>
            <w:noWrap w:val="0"/>
            <w:vAlign w:val="top"/>
          </w:tcPr>
          <w:p w14:paraId="1AE3D530">
            <w:pPr>
              <w:pStyle w:val="11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3" w:type="dxa"/>
            <w:noWrap w:val="0"/>
            <w:vAlign w:val="top"/>
          </w:tcPr>
          <w:p w14:paraId="4DF5F06D">
            <w:pPr>
              <w:pStyle w:val="110"/>
              <w:spacing w:line="360" w:lineRule="auto"/>
              <w:rPr>
                <w:rFonts w:hint="eastAsia" w:ascii="宋体" w:hAnsi="宋体" w:eastAsia="宋体" w:cs="宋体"/>
                <w:color w:val="auto"/>
                <w:sz w:val="24"/>
                <w:szCs w:val="24"/>
                <w:highlight w:val="none"/>
              </w:rPr>
            </w:pPr>
          </w:p>
        </w:tc>
        <w:tc>
          <w:tcPr>
            <w:tcW w:w="1059" w:type="dxa"/>
            <w:noWrap w:val="0"/>
            <w:vAlign w:val="top"/>
          </w:tcPr>
          <w:p w14:paraId="6DA99407">
            <w:pPr>
              <w:pStyle w:val="110"/>
              <w:spacing w:line="360" w:lineRule="auto"/>
              <w:rPr>
                <w:rFonts w:hint="eastAsia" w:ascii="宋体" w:hAnsi="宋体" w:eastAsia="宋体" w:cs="宋体"/>
                <w:color w:val="auto"/>
                <w:sz w:val="24"/>
                <w:szCs w:val="24"/>
                <w:highlight w:val="none"/>
              </w:rPr>
            </w:pPr>
          </w:p>
        </w:tc>
        <w:tc>
          <w:tcPr>
            <w:tcW w:w="1233" w:type="dxa"/>
            <w:noWrap w:val="0"/>
            <w:vAlign w:val="top"/>
          </w:tcPr>
          <w:p w14:paraId="13340B8B">
            <w:pPr>
              <w:pStyle w:val="110"/>
              <w:spacing w:line="360" w:lineRule="auto"/>
              <w:rPr>
                <w:rFonts w:hint="eastAsia" w:ascii="宋体" w:hAnsi="宋体" w:eastAsia="宋体" w:cs="宋体"/>
                <w:color w:val="auto"/>
                <w:sz w:val="24"/>
                <w:szCs w:val="24"/>
                <w:highlight w:val="none"/>
              </w:rPr>
            </w:pPr>
          </w:p>
        </w:tc>
        <w:tc>
          <w:tcPr>
            <w:tcW w:w="1210" w:type="dxa"/>
            <w:noWrap w:val="0"/>
            <w:vAlign w:val="top"/>
          </w:tcPr>
          <w:p w14:paraId="0369F3E3">
            <w:pPr>
              <w:pStyle w:val="110"/>
              <w:spacing w:line="360" w:lineRule="auto"/>
              <w:rPr>
                <w:rFonts w:hint="eastAsia" w:ascii="宋体" w:hAnsi="宋体" w:eastAsia="宋体" w:cs="宋体"/>
                <w:color w:val="auto"/>
                <w:sz w:val="24"/>
                <w:szCs w:val="24"/>
                <w:highlight w:val="none"/>
              </w:rPr>
            </w:pPr>
          </w:p>
        </w:tc>
        <w:tc>
          <w:tcPr>
            <w:tcW w:w="908" w:type="dxa"/>
            <w:noWrap w:val="0"/>
            <w:vAlign w:val="top"/>
          </w:tcPr>
          <w:p w14:paraId="5D797A50">
            <w:pPr>
              <w:pStyle w:val="110"/>
              <w:spacing w:line="360" w:lineRule="auto"/>
              <w:rPr>
                <w:rFonts w:hint="eastAsia" w:ascii="宋体" w:hAnsi="宋体" w:eastAsia="宋体" w:cs="宋体"/>
                <w:color w:val="auto"/>
                <w:sz w:val="24"/>
                <w:szCs w:val="24"/>
                <w:highlight w:val="none"/>
              </w:rPr>
            </w:pPr>
          </w:p>
        </w:tc>
        <w:tc>
          <w:tcPr>
            <w:tcW w:w="668" w:type="dxa"/>
            <w:noWrap w:val="0"/>
            <w:vAlign w:val="top"/>
          </w:tcPr>
          <w:p w14:paraId="505982D9">
            <w:pPr>
              <w:pStyle w:val="110"/>
              <w:spacing w:line="360" w:lineRule="auto"/>
              <w:rPr>
                <w:rFonts w:hint="eastAsia" w:ascii="宋体" w:hAnsi="宋体" w:eastAsia="宋体" w:cs="宋体"/>
                <w:color w:val="auto"/>
                <w:sz w:val="24"/>
                <w:szCs w:val="24"/>
                <w:highlight w:val="none"/>
              </w:rPr>
            </w:pPr>
          </w:p>
        </w:tc>
        <w:tc>
          <w:tcPr>
            <w:tcW w:w="947" w:type="dxa"/>
            <w:noWrap w:val="0"/>
            <w:vAlign w:val="top"/>
          </w:tcPr>
          <w:p w14:paraId="77F08788">
            <w:pPr>
              <w:pStyle w:val="110"/>
              <w:spacing w:line="360" w:lineRule="auto"/>
              <w:rPr>
                <w:rFonts w:hint="eastAsia" w:ascii="宋体" w:hAnsi="宋体" w:eastAsia="宋体" w:cs="宋体"/>
                <w:color w:val="auto"/>
                <w:sz w:val="24"/>
                <w:szCs w:val="24"/>
                <w:highlight w:val="none"/>
              </w:rPr>
            </w:pPr>
          </w:p>
        </w:tc>
        <w:tc>
          <w:tcPr>
            <w:tcW w:w="862" w:type="dxa"/>
            <w:noWrap w:val="0"/>
            <w:vAlign w:val="top"/>
          </w:tcPr>
          <w:p w14:paraId="4DAA5521">
            <w:pPr>
              <w:pStyle w:val="110"/>
              <w:spacing w:line="360" w:lineRule="auto"/>
              <w:rPr>
                <w:rFonts w:hint="eastAsia" w:ascii="宋体" w:hAnsi="宋体" w:eastAsia="宋体" w:cs="宋体"/>
                <w:color w:val="auto"/>
                <w:sz w:val="24"/>
                <w:szCs w:val="24"/>
                <w:highlight w:val="none"/>
              </w:rPr>
            </w:pPr>
          </w:p>
        </w:tc>
      </w:tr>
      <w:tr w14:paraId="05579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09" w:type="dxa"/>
            <w:noWrap w:val="0"/>
            <w:vAlign w:val="top"/>
          </w:tcPr>
          <w:p w14:paraId="5DFB2E0D">
            <w:pPr>
              <w:pStyle w:val="11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3" w:type="dxa"/>
            <w:noWrap w:val="0"/>
            <w:vAlign w:val="top"/>
          </w:tcPr>
          <w:p w14:paraId="095FB60B">
            <w:pPr>
              <w:pStyle w:val="110"/>
              <w:spacing w:line="360" w:lineRule="auto"/>
              <w:rPr>
                <w:rFonts w:hint="eastAsia" w:ascii="宋体" w:hAnsi="宋体" w:eastAsia="宋体" w:cs="宋体"/>
                <w:color w:val="auto"/>
                <w:sz w:val="24"/>
                <w:szCs w:val="24"/>
                <w:highlight w:val="none"/>
              </w:rPr>
            </w:pPr>
          </w:p>
        </w:tc>
        <w:tc>
          <w:tcPr>
            <w:tcW w:w="1059" w:type="dxa"/>
            <w:noWrap w:val="0"/>
            <w:vAlign w:val="top"/>
          </w:tcPr>
          <w:p w14:paraId="755ED8C0">
            <w:pPr>
              <w:pStyle w:val="110"/>
              <w:spacing w:line="360" w:lineRule="auto"/>
              <w:rPr>
                <w:rFonts w:hint="eastAsia" w:ascii="宋体" w:hAnsi="宋体" w:eastAsia="宋体" w:cs="宋体"/>
                <w:color w:val="auto"/>
                <w:sz w:val="24"/>
                <w:szCs w:val="24"/>
                <w:highlight w:val="none"/>
              </w:rPr>
            </w:pPr>
          </w:p>
        </w:tc>
        <w:tc>
          <w:tcPr>
            <w:tcW w:w="1233" w:type="dxa"/>
            <w:noWrap w:val="0"/>
            <w:vAlign w:val="top"/>
          </w:tcPr>
          <w:p w14:paraId="4FBB8663">
            <w:pPr>
              <w:pStyle w:val="110"/>
              <w:spacing w:line="360" w:lineRule="auto"/>
              <w:rPr>
                <w:rFonts w:hint="eastAsia" w:ascii="宋体" w:hAnsi="宋体" w:eastAsia="宋体" w:cs="宋体"/>
                <w:color w:val="auto"/>
                <w:sz w:val="24"/>
                <w:szCs w:val="24"/>
                <w:highlight w:val="none"/>
              </w:rPr>
            </w:pPr>
          </w:p>
        </w:tc>
        <w:tc>
          <w:tcPr>
            <w:tcW w:w="1210" w:type="dxa"/>
            <w:noWrap w:val="0"/>
            <w:vAlign w:val="top"/>
          </w:tcPr>
          <w:p w14:paraId="5764FD7E">
            <w:pPr>
              <w:pStyle w:val="110"/>
              <w:spacing w:line="360" w:lineRule="auto"/>
              <w:rPr>
                <w:rFonts w:hint="eastAsia" w:ascii="宋体" w:hAnsi="宋体" w:eastAsia="宋体" w:cs="宋体"/>
                <w:color w:val="auto"/>
                <w:sz w:val="24"/>
                <w:szCs w:val="24"/>
                <w:highlight w:val="none"/>
              </w:rPr>
            </w:pPr>
          </w:p>
        </w:tc>
        <w:tc>
          <w:tcPr>
            <w:tcW w:w="908" w:type="dxa"/>
            <w:noWrap w:val="0"/>
            <w:vAlign w:val="top"/>
          </w:tcPr>
          <w:p w14:paraId="639145A0">
            <w:pPr>
              <w:pStyle w:val="110"/>
              <w:spacing w:line="360" w:lineRule="auto"/>
              <w:rPr>
                <w:rFonts w:hint="eastAsia" w:ascii="宋体" w:hAnsi="宋体" w:eastAsia="宋体" w:cs="宋体"/>
                <w:color w:val="auto"/>
                <w:sz w:val="24"/>
                <w:szCs w:val="24"/>
                <w:highlight w:val="none"/>
              </w:rPr>
            </w:pPr>
          </w:p>
        </w:tc>
        <w:tc>
          <w:tcPr>
            <w:tcW w:w="668" w:type="dxa"/>
            <w:noWrap w:val="0"/>
            <w:vAlign w:val="top"/>
          </w:tcPr>
          <w:p w14:paraId="759D3DC7">
            <w:pPr>
              <w:pStyle w:val="110"/>
              <w:spacing w:line="360" w:lineRule="auto"/>
              <w:rPr>
                <w:rFonts w:hint="eastAsia" w:ascii="宋体" w:hAnsi="宋体" w:eastAsia="宋体" w:cs="宋体"/>
                <w:color w:val="auto"/>
                <w:sz w:val="24"/>
                <w:szCs w:val="24"/>
                <w:highlight w:val="none"/>
              </w:rPr>
            </w:pPr>
          </w:p>
        </w:tc>
        <w:tc>
          <w:tcPr>
            <w:tcW w:w="947" w:type="dxa"/>
            <w:noWrap w:val="0"/>
            <w:vAlign w:val="top"/>
          </w:tcPr>
          <w:p w14:paraId="1AE4D9EE">
            <w:pPr>
              <w:pStyle w:val="110"/>
              <w:spacing w:line="360" w:lineRule="auto"/>
              <w:rPr>
                <w:rFonts w:hint="eastAsia" w:ascii="宋体" w:hAnsi="宋体" w:eastAsia="宋体" w:cs="宋体"/>
                <w:color w:val="auto"/>
                <w:sz w:val="24"/>
                <w:szCs w:val="24"/>
                <w:highlight w:val="none"/>
              </w:rPr>
            </w:pPr>
          </w:p>
        </w:tc>
        <w:tc>
          <w:tcPr>
            <w:tcW w:w="862" w:type="dxa"/>
            <w:noWrap w:val="0"/>
            <w:vAlign w:val="top"/>
          </w:tcPr>
          <w:p w14:paraId="3B923793">
            <w:pPr>
              <w:pStyle w:val="110"/>
              <w:spacing w:line="360" w:lineRule="auto"/>
              <w:rPr>
                <w:rFonts w:hint="eastAsia" w:ascii="宋体" w:hAnsi="宋体" w:eastAsia="宋体" w:cs="宋体"/>
                <w:color w:val="auto"/>
                <w:sz w:val="24"/>
                <w:szCs w:val="24"/>
                <w:highlight w:val="none"/>
              </w:rPr>
            </w:pPr>
          </w:p>
        </w:tc>
      </w:tr>
      <w:tr w14:paraId="111E2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09" w:type="dxa"/>
            <w:noWrap w:val="0"/>
            <w:vAlign w:val="top"/>
          </w:tcPr>
          <w:p w14:paraId="0856226F">
            <w:pPr>
              <w:pStyle w:val="11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33" w:type="dxa"/>
            <w:noWrap w:val="0"/>
            <w:vAlign w:val="top"/>
          </w:tcPr>
          <w:p w14:paraId="2594E66D">
            <w:pPr>
              <w:pStyle w:val="110"/>
              <w:spacing w:line="360" w:lineRule="auto"/>
              <w:rPr>
                <w:rFonts w:hint="eastAsia" w:ascii="宋体" w:hAnsi="宋体" w:eastAsia="宋体" w:cs="宋体"/>
                <w:color w:val="auto"/>
                <w:sz w:val="24"/>
                <w:szCs w:val="24"/>
                <w:highlight w:val="none"/>
              </w:rPr>
            </w:pPr>
          </w:p>
        </w:tc>
        <w:tc>
          <w:tcPr>
            <w:tcW w:w="1059" w:type="dxa"/>
            <w:noWrap w:val="0"/>
            <w:vAlign w:val="top"/>
          </w:tcPr>
          <w:p w14:paraId="56320E95">
            <w:pPr>
              <w:pStyle w:val="110"/>
              <w:spacing w:line="360" w:lineRule="auto"/>
              <w:rPr>
                <w:rFonts w:hint="eastAsia" w:ascii="宋体" w:hAnsi="宋体" w:eastAsia="宋体" w:cs="宋体"/>
                <w:color w:val="auto"/>
                <w:sz w:val="24"/>
                <w:szCs w:val="24"/>
                <w:highlight w:val="none"/>
              </w:rPr>
            </w:pPr>
          </w:p>
        </w:tc>
        <w:tc>
          <w:tcPr>
            <w:tcW w:w="1233" w:type="dxa"/>
            <w:noWrap w:val="0"/>
            <w:vAlign w:val="top"/>
          </w:tcPr>
          <w:p w14:paraId="190EFE5E">
            <w:pPr>
              <w:pStyle w:val="110"/>
              <w:spacing w:line="360" w:lineRule="auto"/>
              <w:rPr>
                <w:rFonts w:hint="eastAsia" w:ascii="宋体" w:hAnsi="宋体" w:eastAsia="宋体" w:cs="宋体"/>
                <w:color w:val="auto"/>
                <w:sz w:val="24"/>
                <w:szCs w:val="24"/>
                <w:highlight w:val="none"/>
              </w:rPr>
            </w:pPr>
          </w:p>
        </w:tc>
        <w:tc>
          <w:tcPr>
            <w:tcW w:w="1210" w:type="dxa"/>
            <w:noWrap w:val="0"/>
            <w:vAlign w:val="top"/>
          </w:tcPr>
          <w:p w14:paraId="1BA480AC">
            <w:pPr>
              <w:pStyle w:val="110"/>
              <w:spacing w:line="360" w:lineRule="auto"/>
              <w:rPr>
                <w:rFonts w:hint="eastAsia" w:ascii="宋体" w:hAnsi="宋体" w:eastAsia="宋体" w:cs="宋体"/>
                <w:color w:val="auto"/>
                <w:sz w:val="24"/>
                <w:szCs w:val="24"/>
                <w:highlight w:val="none"/>
              </w:rPr>
            </w:pPr>
          </w:p>
        </w:tc>
        <w:tc>
          <w:tcPr>
            <w:tcW w:w="908" w:type="dxa"/>
            <w:noWrap w:val="0"/>
            <w:vAlign w:val="top"/>
          </w:tcPr>
          <w:p w14:paraId="61719A99">
            <w:pPr>
              <w:pStyle w:val="110"/>
              <w:spacing w:line="360" w:lineRule="auto"/>
              <w:rPr>
                <w:rFonts w:hint="eastAsia" w:ascii="宋体" w:hAnsi="宋体" w:eastAsia="宋体" w:cs="宋体"/>
                <w:color w:val="auto"/>
                <w:sz w:val="24"/>
                <w:szCs w:val="24"/>
                <w:highlight w:val="none"/>
              </w:rPr>
            </w:pPr>
          </w:p>
        </w:tc>
        <w:tc>
          <w:tcPr>
            <w:tcW w:w="668" w:type="dxa"/>
            <w:noWrap w:val="0"/>
            <w:vAlign w:val="top"/>
          </w:tcPr>
          <w:p w14:paraId="568CD416">
            <w:pPr>
              <w:pStyle w:val="110"/>
              <w:spacing w:line="360" w:lineRule="auto"/>
              <w:rPr>
                <w:rFonts w:hint="eastAsia" w:ascii="宋体" w:hAnsi="宋体" w:eastAsia="宋体" w:cs="宋体"/>
                <w:color w:val="auto"/>
                <w:sz w:val="24"/>
                <w:szCs w:val="24"/>
                <w:highlight w:val="none"/>
              </w:rPr>
            </w:pPr>
          </w:p>
        </w:tc>
        <w:tc>
          <w:tcPr>
            <w:tcW w:w="947" w:type="dxa"/>
            <w:noWrap w:val="0"/>
            <w:vAlign w:val="top"/>
          </w:tcPr>
          <w:p w14:paraId="6786A0EA">
            <w:pPr>
              <w:pStyle w:val="110"/>
              <w:spacing w:line="360" w:lineRule="auto"/>
              <w:rPr>
                <w:rFonts w:hint="eastAsia" w:ascii="宋体" w:hAnsi="宋体" w:eastAsia="宋体" w:cs="宋体"/>
                <w:color w:val="auto"/>
                <w:sz w:val="24"/>
                <w:szCs w:val="24"/>
                <w:highlight w:val="none"/>
              </w:rPr>
            </w:pPr>
          </w:p>
        </w:tc>
        <w:tc>
          <w:tcPr>
            <w:tcW w:w="862" w:type="dxa"/>
            <w:noWrap w:val="0"/>
            <w:vAlign w:val="top"/>
          </w:tcPr>
          <w:p w14:paraId="6980E234">
            <w:pPr>
              <w:pStyle w:val="110"/>
              <w:spacing w:line="360" w:lineRule="auto"/>
              <w:rPr>
                <w:rFonts w:hint="eastAsia" w:ascii="宋体" w:hAnsi="宋体" w:eastAsia="宋体" w:cs="宋体"/>
                <w:color w:val="auto"/>
                <w:sz w:val="24"/>
                <w:szCs w:val="24"/>
                <w:highlight w:val="none"/>
              </w:rPr>
            </w:pPr>
          </w:p>
        </w:tc>
      </w:tr>
      <w:tr w14:paraId="2B9D8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09" w:type="dxa"/>
            <w:noWrap w:val="0"/>
            <w:vAlign w:val="top"/>
          </w:tcPr>
          <w:p w14:paraId="6BB9F7C4">
            <w:pPr>
              <w:pStyle w:val="11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233" w:type="dxa"/>
            <w:noWrap w:val="0"/>
            <w:vAlign w:val="top"/>
          </w:tcPr>
          <w:p w14:paraId="059DB224">
            <w:pPr>
              <w:pStyle w:val="110"/>
              <w:spacing w:line="360" w:lineRule="auto"/>
              <w:rPr>
                <w:rFonts w:hint="eastAsia" w:ascii="宋体" w:hAnsi="宋体" w:eastAsia="宋体" w:cs="宋体"/>
                <w:color w:val="auto"/>
                <w:sz w:val="24"/>
                <w:szCs w:val="24"/>
                <w:highlight w:val="none"/>
              </w:rPr>
            </w:pPr>
          </w:p>
        </w:tc>
        <w:tc>
          <w:tcPr>
            <w:tcW w:w="1059" w:type="dxa"/>
            <w:noWrap w:val="0"/>
            <w:vAlign w:val="top"/>
          </w:tcPr>
          <w:p w14:paraId="14352BFF">
            <w:pPr>
              <w:pStyle w:val="110"/>
              <w:spacing w:line="360" w:lineRule="auto"/>
              <w:rPr>
                <w:rFonts w:hint="eastAsia" w:ascii="宋体" w:hAnsi="宋体" w:eastAsia="宋体" w:cs="宋体"/>
                <w:color w:val="auto"/>
                <w:sz w:val="24"/>
                <w:szCs w:val="24"/>
                <w:highlight w:val="none"/>
              </w:rPr>
            </w:pPr>
          </w:p>
        </w:tc>
        <w:tc>
          <w:tcPr>
            <w:tcW w:w="1233" w:type="dxa"/>
            <w:noWrap w:val="0"/>
            <w:vAlign w:val="top"/>
          </w:tcPr>
          <w:p w14:paraId="20D552E5">
            <w:pPr>
              <w:pStyle w:val="110"/>
              <w:spacing w:line="360" w:lineRule="auto"/>
              <w:rPr>
                <w:rFonts w:hint="eastAsia" w:ascii="宋体" w:hAnsi="宋体" w:eastAsia="宋体" w:cs="宋体"/>
                <w:color w:val="auto"/>
                <w:sz w:val="24"/>
                <w:szCs w:val="24"/>
                <w:highlight w:val="none"/>
              </w:rPr>
            </w:pPr>
          </w:p>
        </w:tc>
        <w:tc>
          <w:tcPr>
            <w:tcW w:w="1210" w:type="dxa"/>
            <w:noWrap w:val="0"/>
            <w:vAlign w:val="top"/>
          </w:tcPr>
          <w:p w14:paraId="23BD7C2B">
            <w:pPr>
              <w:pStyle w:val="110"/>
              <w:spacing w:line="360" w:lineRule="auto"/>
              <w:rPr>
                <w:rFonts w:hint="eastAsia" w:ascii="宋体" w:hAnsi="宋体" w:eastAsia="宋体" w:cs="宋体"/>
                <w:color w:val="auto"/>
                <w:sz w:val="24"/>
                <w:szCs w:val="24"/>
                <w:highlight w:val="none"/>
              </w:rPr>
            </w:pPr>
          </w:p>
        </w:tc>
        <w:tc>
          <w:tcPr>
            <w:tcW w:w="908" w:type="dxa"/>
            <w:noWrap w:val="0"/>
            <w:vAlign w:val="top"/>
          </w:tcPr>
          <w:p w14:paraId="57D4DF5E">
            <w:pPr>
              <w:pStyle w:val="110"/>
              <w:spacing w:line="360" w:lineRule="auto"/>
              <w:rPr>
                <w:rFonts w:hint="eastAsia" w:ascii="宋体" w:hAnsi="宋体" w:eastAsia="宋体" w:cs="宋体"/>
                <w:color w:val="auto"/>
                <w:sz w:val="24"/>
                <w:szCs w:val="24"/>
                <w:highlight w:val="none"/>
              </w:rPr>
            </w:pPr>
          </w:p>
        </w:tc>
        <w:tc>
          <w:tcPr>
            <w:tcW w:w="668" w:type="dxa"/>
            <w:noWrap w:val="0"/>
            <w:vAlign w:val="top"/>
          </w:tcPr>
          <w:p w14:paraId="7C0ABE61">
            <w:pPr>
              <w:pStyle w:val="110"/>
              <w:spacing w:line="360" w:lineRule="auto"/>
              <w:rPr>
                <w:rFonts w:hint="eastAsia" w:ascii="宋体" w:hAnsi="宋体" w:eastAsia="宋体" w:cs="宋体"/>
                <w:color w:val="auto"/>
                <w:sz w:val="24"/>
                <w:szCs w:val="24"/>
                <w:highlight w:val="none"/>
              </w:rPr>
            </w:pPr>
          </w:p>
        </w:tc>
        <w:tc>
          <w:tcPr>
            <w:tcW w:w="947" w:type="dxa"/>
            <w:noWrap w:val="0"/>
            <w:vAlign w:val="top"/>
          </w:tcPr>
          <w:p w14:paraId="124E4669">
            <w:pPr>
              <w:pStyle w:val="110"/>
              <w:spacing w:line="360" w:lineRule="auto"/>
              <w:rPr>
                <w:rFonts w:hint="eastAsia" w:ascii="宋体" w:hAnsi="宋体" w:eastAsia="宋体" w:cs="宋体"/>
                <w:color w:val="auto"/>
                <w:sz w:val="24"/>
                <w:szCs w:val="24"/>
                <w:highlight w:val="none"/>
              </w:rPr>
            </w:pPr>
          </w:p>
        </w:tc>
        <w:tc>
          <w:tcPr>
            <w:tcW w:w="862" w:type="dxa"/>
            <w:noWrap w:val="0"/>
            <w:vAlign w:val="top"/>
          </w:tcPr>
          <w:p w14:paraId="52C6349C">
            <w:pPr>
              <w:pStyle w:val="110"/>
              <w:spacing w:line="360" w:lineRule="auto"/>
              <w:rPr>
                <w:rFonts w:hint="eastAsia" w:ascii="宋体" w:hAnsi="宋体" w:eastAsia="宋体" w:cs="宋体"/>
                <w:color w:val="auto"/>
                <w:sz w:val="24"/>
                <w:szCs w:val="24"/>
                <w:highlight w:val="none"/>
              </w:rPr>
            </w:pPr>
          </w:p>
        </w:tc>
      </w:tr>
      <w:tr w14:paraId="6FB78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29" w:type="dxa"/>
            <w:gridSpan w:val="9"/>
            <w:noWrap w:val="0"/>
            <w:vAlign w:val="top"/>
          </w:tcPr>
          <w:p w14:paraId="13386674">
            <w:pPr>
              <w:pStyle w:val="1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人民币合计金额：</w:t>
            </w:r>
          </w:p>
        </w:tc>
      </w:tr>
    </w:tbl>
    <w:p w14:paraId="732D3C86">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2、上述合同金额包括货物、服务价款，备件、专用工具、安装、调试、检验、技术培训及技术资料和包装、运输等全部费用。如招标文件需求一览表另有规定的，从其规定。</w:t>
      </w:r>
    </w:p>
    <w:p w14:paraId="379F34C5">
      <w:pPr>
        <w:pStyle w:val="6"/>
        <w:spacing w:line="360" w:lineRule="auto"/>
        <w:jc w:val="both"/>
        <w:rPr>
          <w:rFonts w:hint="eastAsia" w:ascii="宋体" w:hAnsi="宋体" w:eastAsia="宋体" w:cs="宋体"/>
          <w:b/>
          <w:bCs/>
          <w:color w:val="auto"/>
          <w:sz w:val="24"/>
          <w:szCs w:val="24"/>
          <w:highlight w:val="none"/>
        </w:rPr>
      </w:pPr>
      <w:bookmarkStart w:id="132" w:name="_Toc3405"/>
      <w:r>
        <w:rPr>
          <w:rFonts w:hint="eastAsia" w:ascii="宋体" w:hAnsi="宋体" w:eastAsia="宋体" w:cs="宋体"/>
          <w:b/>
          <w:bCs/>
          <w:color w:val="auto"/>
          <w:sz w:val="24"/>
          <w:szCs w:val="24"/>
          <w:highlight w:val="none"/>
        </w:rPr>
        <w:t>第二条</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质量保证</w:t>
      </w:r>
      <w:bookmarkEnd w:id="132"/>
    </w:p>
    <w:p w14:paraId="636DAD25">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1、乙方所提供的货物型号、技术规格、技术参数等质量必须与投标文件和承诺相一致。乙方提供的节能和环保产品必须是列入政府采购清单的产品。</w:t>
      </w:r>
    </w:p>
    <w:p w14:paraId="32D6AB43">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2、乙方所提供的货物必须是全新、未使用的原装产品，且在正常安装、使用和保养条件下，其使用寿命期内各项指标均达到质量要求。</w:t>
      </w:r>
    </w:p>
    <w:p w14:paraId="789587CA">
      <w:pPr>
        <w:pStyle w:val="6"/>
        <w:spacing w:line="360" w:lineRule="auto"/>
        <w:jc w:val="both"/>
        <w:rPr>
          <w:rFonts w:hint="eastAsia" w:ascii="宋体" w:hAnsi="宋体" w:eastAsia="宋体" w:cs="宋体"/>
          <w:b/>
          <w:bCs/>
          <w:color w:val="auto"/>
          <w:sz w:val="24"/>
          <w:szCs w:val="24"/>
          <w:highlight w:val="none"/>
        </w:rPr>
      </w:pPr>
      <w:bookmarkStart w:id="133" w:name="_Toc22347"/>
      <w:r>
        <w:rPr>
          <w:rFonts w:hint="eastAsia" w:ascii="宋体" w:hAnsi="宋体" w:eastAsia="宋体" w:cs="宋体"/>
          <w:b/>
          <w:bCs/>
          <w:color w:val="auto"/>
          <w:sz w:val="24"/>
          <w:szCs w:val="24"/>
          <w:highlight w:val="none"/>
        </w:rPr>
        <w:t>第三条</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权利保证</w:t>
      </w:r>
      <w:bookmarkEnd w:id="133"/>
    </w:p>
    <w:p w14:paraId="080701B6">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乙方应保证所提供货物在使用时不会侵犯任何第三方的专利权、商标权、工业设计权或其他权利。</w:t>
      </w:r>
    </w:p>
    <w:p w14:paraId="18F3204B">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采购文件规定的时间向甲方提供使用货物的有关技术资料。没有甲方事先书面同意，乙方不得将由甲方提供的有关合同或任何合同条文、规格、计划、图纸、样品或资料提供给与履行本合同无关的任何其他人。乙方保证所交付的货物的所有权完全属于乙方且无任何抵押、质押、查封等产权瑕疵。</w:t>
      </w:r>
    </w:p>
    <w:p w14:paraId="361E87D0">
      <w:pPr>
        <w:pStyle w:val="15"/>
        <w:spacing w:line="360" w:lineRule="auto"/>
        <w:rPr>
          <w:rFonts w:hint="eastAsia" w:ascii="宋体" w:hAnsi="宋体" w:eastAsia="宋体" w:cs="宋体"/>
          <w:b/>
          <w:bCs/>
          <w:color w:val="auto"/>
          <w:sz w:val="24"/>
          <w:szCs w:val="24"/>
          <w:highlight w:val="none"/>
        </w:rPr>
      </w:pPr>
      <w:bookmarkStart w:id="134" w:name="_Toc1313"/>
      <w:r>
        <w:rPr>
          <w:rFonts w:hint="eastAsia" w:ascii="宋体" w:hAnsi="宋体" w:eastAsia="宋体" w:cs="宋体"/>
          <w:b/>
          <w:bCs/>
          <w:color w:val="auto"/>
          <w:sz w:val="24"/>
          <w:szCs w:val="24"/>
          <w:highlight w:val="none"/>
        </w:rPr>
        <w:t>第四条包装和运输</w:t>
      </w:r>
      <w:bookmarkEnd w:id="134"/>
    </w:p>
    <w:p w14:paraId="5F84717F">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1、乙方提供的货物均应按要求的包装材料、包装标准、包装方式进行包装，每一包装单元内应附详细的装箱单和质量合格证。</w:t>
      </w:r>
    </w:p>
    <w:p w14:paraId="50DFC3AA">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2、货物的运输方式：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462041C4">
      <w:pPr>
        <w:pStyle w:val="15"/>
        <w:spacing w:line="360" w:lineRule="auto"/>
        <w:ind w:firstLine="450" w:firstLineChars="200"/>
        <w:rPr>
          <w:rFonts w:hint="eastAsia" w:ascii="宋体" w:hAnsi="宋体" w:eastAsia="宋体" w:cs="宋体"/>
          <w:color w:val="auto"/>
          <w:spacing w:val="-1"/>
          <w:sz w:val="24"/>
          <w:szCs w:val="24"/>
          <w:highlight w:val="none"/>
          <w:u w:val="single"/>
        </w:rPr>
      </w:pPr>
      <w:r>
        <w:rPr>
          <w:rFonts w:hint="eastAsia" w:ascii="宋体" w:hAnsi="宋体" w:eastAsia="宋体" w:cs="宋体"/>
          <w:color w:val="auto"/>
          <w:sz w:val="24"/>
          <w:szCs w:val="24"/>
          <w:highlight w:val="none"/>
        </w:rPr>
        <w:t>3、乙方负责货物运输，货物运输合理损耗及计算方法：</w:t>
      </w:r>
      <w:r>
        <w:rPr>
          <w:rFonts w:hint="eastAsia" w:ascii="宋体" w:hAnsi="宋体" w:eastAsia="宋体" w:cs="宋体"/>
          <w:color w:val="auto"/>
          <w:sz w:val="24"/>
          <w:szCs w:val="24"/>
          <w:highlight w:val="none"/>
          <w:u w:val="single"/>
        </w:rPr>
        <w:t>本项目合同不接受损耗</w:t>
      </w:r>
      <w:r>
        <w:rPr>
          <w:rFonts w:hint="eastAsia" w:ascii="宋体" w:hAnsi="宋体" w:eastAsia="宋体" w:cs="宋体"/>
          <w:color w:val="auto"/>
          <w:spacing w:val="-1"/>
          <w:sz w:val="24"/>
          <w:szCs w:val="24"/>
          <w:highlight w:val="none"/>
          <w:u w:val="single"/>
        </w:rPr>
        <w:t xml:space="preserve"> </w:t>
      </w:r>
    </w:p>
    <w:p w14:paraId="0A55CA56">
      <w:pPr>
        <w:pStyle w:val="15"/>
        <w:spacing w:line="360" w:lineRule="auto"/>
        <w:rPr>
          <w:rFonts w:hint="eastAsia" w:ascii="宋体" w:hAnsi="宋体" w:eastAsia="宋体" w:cs="宋体"/>
          <w:b/>
          <w:bCs/>
          <w:color w:val="auto"/>
          <w:sz w:val="24"/>
          <w:szCs w:val="24"/>
          <w:highlight w:val="none"/>
        </w:rPr>
      </w:pPr>
      <w:bookmarkStart w:id="135" w:name="_Toc23581"/>
      <w:r>
        <w:rPr>
          <w:rFonts w:hint="eastAsia" w:ascii="宋体" w:hAnsi="宋体" w:eastAsia="宋体" w:cs="宋体"/>
          <w:b/>
          <w:bCs/>
          <w:color w:val="auto"/>
          <w:sz w:val="24"/>
          <w:szCs w:val="24"/>
          <w:highlight w:val="none"/>
        </w:rPr>
        <w:t>第五条</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交付和验收</w:t>
      </w:r>
      <w:bookmarkEnd w:id="135"/>
    </w:p>
    <w:p w14:paraId="2E277476">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1、交货时间及地点：                                    。</w:t>
      </w:r>
    </w:p>
    <w:p w14:paraId="37EE92A1">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应当在乙方到货且安装、调试完成，试用无异常后7个工作日内进行货物验收，乙方交付甲方验收前应对产品作出全面检查以及对验收文件进行整理，并列出清单，作为甲方收货验收和使用的技术条件依据，检验的结果应随货物交付甲方。如乙方交付的货物不符合招标文件和本合同约定的，甲方有权拒绝验收和接受；验收合格的，由甲乙双方签署货物验收单并加盖单位公章，甲乙双方各执一份。甲方对乙方货物（包括安装调试）的验收仅为形式上的验收，乙方在任何时候均不得以已通过甲方验收为由主张免除或减轻其对货物（包括安装调试）应当承担的质量保证责任。</w:t>
      </w:r>
    </w:p>
    <w:p w14:paraId="00CCC012">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3、乙方应将所提供货物的装箱清单、用户手册、原厂保修卡、随机资料、工具和备品、备件等交付给甲方，货物应同时附上使用说明书，如有缺失应及时补齐，否则视为逾期交货。</w:t>
      </w:r>
    </w:p>
    <w:p w14:paraId="51B27162">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EB8F8EF">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5、甲方对验收有异议的，在验收后十个工作日内以书面形式向乙方提出，乙方应自收到甲方书面异议后</w:t>
      </w:r>
      <w:r>
        <w:rPr>
          <w:rFonts w:hint="eastAsia" w:ascii="宋体" w:hAnsi="宋体" w:eastAsia="宋体" w:cs="宋体"/>
          <w:color w:val="auto"/>
          <w:sz w:val="24"/>
          <w:szCs w:val="24"/>
          <w:highlight w:val="none"/>
          <w:u w:val="single"/>
        </w:rPr>
        <w:t>五个工作</w:t>
      </w:r>
      <w:r>
        <w:rPr>
          <w:rFonts w:hint="eastAsia" w:ascii="宋体" w:hAnsi="宋体" w:eastAsia="宋体" w:cs="宋体"/>
          <w:color w:val="auto"/>
          <w:sz w:val="24"/>
          <w:szCs w:val="24"/>
          <w:highlight w:val="none"/>
        </w:rPr>
        <w:t>日内及时予以解决。</w:t>
      </w:r>
    </w:p>
    <w:p w14:paraId="3C3959B8">
      <w:pPr>
        <w:pStyle w:val="6"/>
        <w:spacing w:line="360" w:lineRule="auto"/>
        <w:jc w:val="both"/>
        <w:rPr>
          <w:rFonts w:hint="eastAsia" w:ascii="宋体" w:hAnsi="宋体" w:eastAsia="宋体" w:cs="宋体"/>
          <w:b/>
          <w:bCs/>
          <w:color w:val="auto"/>
          <w:sz w:val="24"/>
          <w:szCs w:val="24"/>
          <w:highlight w:val="none"/>
        </w:rPr>
      </w:pPr>
      <w:bookmarkStart w:id="136" w:name="_Toc27101"/>
      <w:r>
        <w:rPr>
          <w:rFonts w:hint="eastAsia" w:ascii="宋体" w:hAnsi="宋体" w:eastAsia="宋体" w:cs="宋体"/>
          <w:b/>
          <w:bCs/>
          <w:color w:val="auto"/>
          <w:sz w:val="24"/>
          <w:szCs w:val="24"/>
          <w:highlight w:val="none"/>
        </w:rPr>
        <w:t>第六条 安装和培训</w:t>
      </w:r>
      <w:bookmarkEnd w:id="136"/>
    </w:p>
    <w:p w14:paraId="4DA7BE87">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1、甲方应向乙方提供必要的安装条件（如场地、电源、水源等）。</w:t>
      </w:r>
    </w:p>
    <w:p w14:paraId="0F84327B">
      <w:pPr>
        <w:pStyle w:val="15"/>
        <w:spacing w:line="360" w:lineRule="auto"/>
        <w:ind w:firstLine="450" w:firstLineChars="200"/>
        <w:rPr>
          <w:rFonts w:hint="eastAsia" w:ascii="宋体" w:hAnsi="宋体" w:eastAsia="宋体" w:cs="宋体"/>
          <w:color w:val="auto"/>
          <w:spacing w:val="-17"/>
          <w:sz w:val="24"/>
          <w:szCs w:val="24"/>
          <w:highlight w:val="none"/>
          <w:u w:val="single"/>
        </w:rPr>
      </w:pPr>
      <w:r>
        <w:rPr>
          <w:rFonts w:hint="eastAsia" w:ascii="宋体" w:hAnsi="宋体" w:eastAsia="宋体" w:cs="宋体"/>
          <w:color w:val="auto"/>
          <w:sz w:val="24"/>
          <w:szCs w:val="24"/>
          <w:highlight w:val="none"/>
        </w:rPr>
        <w:t>2、乙方负责甲方有关人员的培训。培训时间、地点：</w:t>
      </w:r>
      <w:r>
        <w:rPr>
          <w:rFonts w:hint="eastAsia" w:ascii="宋体" w:hAnsi="宋体" w:eastAsia="宋体" w:cs="宋体"/>
          <w:color w:val="auto"/>
          <w:sz w:val="24"/>
          <w:szCs w:val="24"/>
          <w:highlight w:val="none"/>
          <w:u w:val="single"/>
        </w:rPr>
        <w:t>如有，见《售后服务承诺书》</w:t>
      </w:r>
      <w:r>
        <w:rPr>
          <w:rFonts w:hint="eastAsia" w:ascii="宋体" w:hAnsi="宋体" w:eastAsia="宋体" w:cs="宋体"/>
          <w:color w:val="auto"/>
          <w:spacing w:val="-17"/>
          <w:sz w:val="24"/>
          <w:szCs w:val="24"/>
          <w:highlight w:val="none"/>
          <w:u w:val="single"/>
        </w:rPr>
        <w:t>。</w:t>
      </w:r>
    </w:p>
    <w:p w14:paraId="1AAE59CE">
      <w:pPr>
        <w:spacing w:line="360" w:lineRule="auto"/>
        <w:rPr>
          <w:rFonts w:hint="eastAsia" w:ascii="宋体" w:hAnsi="宋体" w:eastAsia="宋体" w:cs="宋体"/>
          <w:b/>
          <w:bCs/>
          <w:color w:val="auto"/>
          <w:sz w:val="24"/>
          <w:szCs w:val="24"/>
          <w:highlight w:val="none"/>
        </w:rPr>
      </w:pPr>
      <w:bookmarkStart w:id="137" w:name="_Toc11255"/>
      <w:r>
        <w:rPr>
          <w:rFonts w:hint="eastAsia" w:ascii="宋体" w:hAnsi="宋体" w:eastAsia="宋体" w:cs="宋体"/>
          <w:b/>
          <w:bCs/>
          <w:color w:val="auto"/>
          <w:sz w:val="24"/>
          <w:szCs w:val="24"/>
          <w:highlight w:val="none"/>
        </w:rPr>
        <w:t>第七条</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售后服务、质保期</w:t>
      </w:r>
      <w:bookmarkEnd w:id="137"/>
    </w:p>
    <w:p w14:paraId="0C5AE212">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1、乙方应按照国家有关法律法规和“三包”规定以及招标文件和本合同所附的《售后服务承诺书》，为甲方提供售后服务。</w:t>
      </w:r>
    </w:p>
    <w:p w14:paraId="5CB9D1DD">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2、货物质保期：设备质保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个月。（如投标文件质保期优于招标文件要求期限，按照投标文件签署）</w:t>
      </w:r>
    </w:p>
    <w:p w14:paraId="53BBD508">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3、乙方提供的服务承诺和售后服务及保修期责任等其它具体约定事项。（见合同附件）</w:t>
      </w:r>
    </w:p>
    <w:p w14:paraId="003CAE19">
      <w:pPr>
        <w:pStyle w:val="15"/>
        <w:spacing w:line="360" w:lineRule="auto"/>
        <w:rPr>
          <w:rFonts w:hint="eastAsia" w:ascii="宋体" w:hAnsi="宋体" w:eastAsia="宋体" w:cs="宋体"/>
          <w:b/>
          <w:bCs/>
          <w:color w:val="auto"/>
          <w:sz w:val="24"/>
          <w:szCs w:val="24"/>
          <w:highlight w:val="none"/>
        </w:rPr>
      </w:pPr>
      <w:bookmarkStart w:id="138" w:name="_Toc31051"/>
      <w:r>
        <w:rPr>
          <w:rFonts w:hint="eastAsia" w:ascii="宋体" w:hAnsi="宋体" w:eastAsia="宋体" w:cs="宋体"/>
          <w:b/>
          <w:bCs/>
          <w:color w:val="auto"/>
          <w:sz w:val="24"/>
          <w:szCs w:val="24"/>
          <w:highlight w:val="none"/>
        </w:rPr>
        <w:t>第八条 付款方式</w:t>
      </w:r>
      <w:bookmarkEnd w:id="138"/>
    </w:p>
    <w:p w14:paraId="760D0595">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1、当采购数量与实际使用数量不一致时，乙方应根据实际使用量供货，合同的最终结算金额按实际使用量乘以成交单价进行计算。</w:t>
      </w:r>
    </w:p>
    <w:p w14:paraId="57FC7668">
      <w:pPr>
        <w:pStyle w:val="15"/>
        <w:spacing w:line="360" w:lineRule="auto"/>
        <w:ind w:firstLine="45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2、资金性质：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782D60A6">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82E6A11">
      <w:pPr>
        <w:pStyle w:val="15"/>
        <w:spacing w:line="360" w:lineRule="auto"/>
        <w:rPr>
          <w:rFonts w:hint="eastAsia" w:ascii="宋体" w:hAnsi="宋体" w:eastAsia="宋体" w:cs="宋体"/>
          <w:color w:val="auto"/>
          <w:sz w:val="24"/>
          <w:szCs w:val="24"/>
          <w:highlight w:val="none"/>
          <w:u w:val="single"/>
        </w:rPr>
      </w:pPr>
      <w:bookmarkStart w:id="139" w:name="_Toc5461"/>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履约保证金</w:t>
      </w:r>
      <w:bookmarkEnd w:id="139"/>
      <w:r>
        <w:rPr>
          <w:rFonts w:hint="eastAsia" w:ascii="宋体" w:hAnsi="宋体" w:eastAsia="宋体" w:cs="宋体"/>
          <w:color w:val="auto"/>
          <w:sz w:val="24"/>
          <w:szCs w:val="24"/>
          <w:highlight w:val="none"/>
        </w:rPr>
        <w:t xml:space="preserve">                                                                                  </w:t>
      </w:r>
    </w:p>
    <w:p w14:paraId="7791E42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税费</w:t>
      </w:r>
    </w:p>
    <w:p w14:paraId="794561D9">
      <w:pPr>
        <w:spacing w:line="360" w:lineRule="auto"/>
        <w:ind w:firstLine="480"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z w:val="24"/>
          <w:szCs w:val="24"/>
          <w:highlight w:val="none"/>
        </w:rPr>
        <w:t>本合同执行中相关的一切税费均由乙方负担</w:t>
      </w:r>
      <w:r>
        <w:rPr>
          <w:rFonts w:hint="eastAsia" w:ascii="宋体" w:hAnsi="宋体" w:eastAsia="宋体" w:cs="宋体"/>
          <w:color w:val="auto"/>
          <w:spacing w:val="-17"/>
          <w:sz w:val="24"/>
          <w:szCs w:val="24"/>
          <w:highlight w:val="none"/>
        </w:rPr>
        <w:t>。</w:t>
      </w:r>
    </w:p>
    <w:p w14:paraId="199B3D6B">
      <w:pPr>
        <w:spacing w:line="360" w:lineRule="auto"/>
        <w:rPr>
          <w:rFonts w:hint="eastAsia" w:ascii="宋体" w:hAnsi="宋体" w:eastAsia="宋体" w:cs="宋体"/>
          <w:b/>
          <w:bCs/>
          <w:color w:val="auto"/>
          <w:sz w:val="24"/>
          <w:szCs w:val="24"/>
          <w:highlight w:val="none"/>
        </w:rPr>
      </w:pPr>
      <w:bookmarkStart w:id="140" w:name="_Toc14418"/>
      <w:r>
        <w:rPr>
          <w:rFonts w:hint="eastAsia" w:ascii="宋体" w:hAnsi="宋体" w:eastAsia="宋体" w:cs="宋体"/>
          <w:b/>
          <w:bCs/>
          <w:color w:val="auto"/>
          <w:sz w:val="24"/>
          <w:szCs w:val="24"/>
          <w:highlight w:val="none"/>
        </w:rPr>
        <w:t>第十一条 质量保证及售后服务</w:t>
      </w:r>
      <w:bookmarkEnd w:id="140"/>
    </w:p>
    <w:p w14:paraId="06C7C5C1">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1、乙方应按采购文件规定的货物性能、技术要求、质量标准向甲方提供未经使用的全新产品。不符合要求的，甲方可根据实际情况要求乙方按以下办法处理：</w:t>
      </w:r>
    </w:p>
    <w:p w14:paraId="51CBAD92">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⑴更换：由乙方承担所发生的全部费用。</w:t>
      </w:r>
    </w:p>
    <w:p w14:paraId="5E415545">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⑵贬值处理：由甲乙双方合议定价。</w:t>
      </w:r>
    </w:p>
    <w:p w14:paraId="50A70A1F">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⑶退货处理：乙方应退还甲方支付的合同款，同时应承担该货物的直接费用（运输、保险、检验、货款利息及银行手续费等）。</w:t>
      </w:r>
    </w:p>
    <w:p w14:paraId="06020532">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2、如在使用过程中发生质量问题，乙方在接到甲方通知后在 按乙方售后服务承诺    到达甲方现场处理。</w:t>
      </w:r>
    </w:p>
    <w:p w14:paraId="3A3F9FF9">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3、在质保期内，乙方应对货物出现的质量及安全问题负责处理解决并承担一切费用。</w:t>
      </w:r>
    </w:p>
    <w:p w14:paraId="4357C46A">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4、货物因人为因素出现的故障不在免费保修范围内。超过保修期的机器设备，终生维修，维修时只收部件成本费。</w:t>
      </w:r>
    </w:p>
    <w:p w14:paraId="5557E161">
      <w:pPr>
        <w:pStyle w:val="6"/>
        <w:spacing w:line="360" w:lineRule="auto"/>
        <w:jc w:val="both"/>
        <w:rPr>
          <w:rFonts w:hint="eastAsia" w:ascii="宋体" w:hAnsi="宋体" w:eastAsia="宋体" w:cs="宋体"/>
          <w:b/>
          <w:bCs/>
          <w:color w:val="auto"/>
          <w:sz w:val="24"/>
          <w:szCs w:val="24"/>
          <w:highlight w:val="none"/>
        </w:rPr>
      </w:pPr>
      <w:bookmarkStart w:id="141" w:name="_Toc8315"/>
      <w:r>
        <w:rPr>
          <w:rFonts w:hint="eastAsia" w:ascii="宋体" w:hAnsi="宋体" w:eastAsia="宋体" w:cs="宋体"/>
          <w:b/>
          <w:bCs/>
          <w:color w:val="auto"/>
          <w:sz w:val="24"/>
          <w:szCs w:val="24"/>
          <w:highlight w:val="none"/>
        </w:rPr>
        <w:t>第十二条 违约责任</w:t>
      </w:r>
      <w:bookmarkEnd w:id="141"/>
    </w:p>
    <w:p w14:paraId="51B311C7">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提供的货物规格、技术标准、材料等质量不合格的，如甲方同意更换的，乙方应及时更换，乙方未在甲方指定时限内更换的，视为逾期交货；因质量问题甲方不同意接收或特殊情况甲方同意接收的，乙方应向甲方支付违约货款额</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违约金并赔偿甲方经济损失。</w:t>
      </w:r>
    </w:p>
    <w:p w14:paraId="078B983B">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2、乙方提供的货物如侵犯了第三方合法权益而引发的任何纠纷或诉讼，均由乙方负责交涉并承担全部责任。</w:t>
      </w:r>
    </w:p>
    <w:p w14:paraId="23D916A0">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3、甲方无故延期接收货物、乙方逾期交货的，每天向对方偿付违约货款额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%违约金， 但违约金累计不得超过违约货款额</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，超过</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天对方有权解除合同，违约方承担因此给对方造成经济损失；甲方延期付货款的，每天向乙方偿付延期货款额</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滞纳金，但滞纳金累计不得超过延期货款额</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w:t>
      </w:r>
    </w:p>
    <w:p w14:paraId="0372018E">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4、乙方未按本合同和投标文件中规定的服务承诺提供售后服务的，乙方应按本合同合计金额5%向甲方支付违约金并赔偿甲方经济损失。</w:t>
      </w:r>
    </w:p>
    <w:p w14:paraId="7FDAC6ED">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5、乙方提供的货物在质保期内，因设计、工艺或材料的缺陷和其它售后服务质量等问题的，由乙方负责。</w:t>
      </w:r>
    </w:p>
    <w:p w14:paraId="2094D8EC">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6、其它违约行为按违约货款额5%收取违约金并赔偿经济损失。</w:t>
      </w:r>
    </w:p>
    <w:p w14:paraId="31E90F3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 不可抗力事件处理</w:t>
      </w:r>
    </w:p>
    <w:p w14:paraId="1A72B111">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w:t>
      </w:r>
    </w:p>
    <w:p w14:paraId="2E69EAD6">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39A5B027">
      <w:pPr>
        <w:pStyle w:val="15"/>
        <w:spacing w:line="360" w:lineRule="auto"/>
        <w:ind w:firstLine="45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3、不可抗力事件延续六十天以上，双方应通过友好协商，确定是否继续履行合同。</w:t>
      </w:r>
    </w:p>
    <w:p w14:paraId="6A2CCD37">
      <w:pPr>
        <w:spacing w:line="360" w:lineRule="auto"/>
        <w:rPr>
          <w:rFonts w:hint="eastAsia" w:ascii="宋体" w:hAnsi="宋体" w:eastAsia="宋体" w:cs="宋体"/>
          <w:b/>
          <w:bCs/>
          <w:color w:val="auto"/>
          <w:sz w:val="24"/>
          <w:szCs w:val="24"/>
          <w:highlight w:val="none"/>
        </w:rPr>
      </w:pPr>
      <w:bookmarkStart w:id="142" w:name="_Toc4435"/>
      <w:r>
        <w:rPr>
          <w:rFonts w:hint="eastAsia" w:ascii="宋体" w:hAnsi="宋体" w:eastAsia="宋体" w:cs="宋体"/>
          <w:b/>
          <w:bCs/>
          <w:color w:val="auto"/>
          <w:sz w:val="24"/>
          <w:szCs w:val="24"/>
          <w:highlight w:val="none"/>
        </w:rPr>
        <w:t>第十四条 合同争议解决</w:t>
      </w:r>
      <w:bookmarkEnd w:id="142"/>
    </w:p>
    <w:p w14:paraId="0CCFCF5A">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1、因货物质量问题发生争议的，甲方有权委托具有资质的质量检测机构对货物质量进行鉴定。货物符合标准的，鉴定费由甲方承担；货物不符合标准的，鉴定费由乙方承担。</w:t>
      </w:r>
    </w:p>
    <w:p w14:paraId="0647E10D">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2、因履行本合同引起的或与本合同有关的争议，甲乙双方应首先通过友好协商解决，如果协商不能解决，可向甲方所在地人民法院提起诉讼。</w:t>
      </w:r>
    </w:p>
    <w:p w14:paraId="304A9153">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3、诉讼期间，就双方无争议部分应继续履行。</w:t>
      </w:r>
    </w:p>
    <w:p w14:paraId="74FFFB5A">
      <w:pPr>
        <w:spacing w:line="360" w:lineRule="auto"/>
        <w:rPr>
          <w:rFonts w:hint="eastAsia" w:ascii="宋体" w:hAnsi="宋体" w:eastAsia="宋体" w:cs="宋体"/>
          <w:b/>
          <w:bCs/>
          <w:color w:val="auto"/>
          <w:sz w:val="24"/>
          <w:szCs w:val="24"/>
          <w:highlight w:val="none"/>
        </w:rPr>
      </w:pPr>
      <w:bookmarkStart w:id="143" w:name="_Toc11460"/>
      <w:r>
        <w:rPr>
          <w:rFonts w:hint="eastAsia" w:ascii="宋体" w:hAnsi="宋体" w:eastAsia="宋体" w:cs="宋体"/>
          <w:b/>
          <w:bCs/>
          <w:color w:val="auto"/>
          <w:sz w:val="24"/>
          <w:szCs w:val="24"/>
          <w:highlight w:val="none"/>
        </w:rPr>
        <w:t>第十五条 合同的变更、终止与转让</w:t>
      </w:r>
      <w:bookmarkEnd w:id="143"/>
    </w:p>
    <w:p w14:paraId="294A044F">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1、除《中华人民共和国政府采购法》第五十条、《中华人民共和国民法典》第五百六十二、五百六十三条规定的情形外，本合同一经签订，甲乙双方不得擅自变更、中止或终止。</w:t>
      </w:r>
    </w:p>
    <w:p w14:paraId="18A193B1">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2、乙方不得擅自转让其应履行的合同义务。</w:t>
      </w:r>
    </w:p>
    <w:p w14:paraId="1CD7C78D">
      <w:pPr>
        <w:spacing w:line="360" w:lineRule="auto"/>
        <w:rPr>
          <w:rFonts w:hint="eastAsia" w:ascii="宋体" w:hAnsi="宋体" w:eastAsia="宋体" w:cs="宋体"/>
          <w:b/>
          <w:bCs/>
          <w:color w:val="auto"/>
          <w:sz w:val="24"/>
          <w:szCs w:val="24"/>
          <w:highlight w:val="none"/>
        </w:rPr>
      </w:pPr>
      <w:bookmarkStart w:id="144" w:name="_Toc4786"/>
      <w:r>
        <w:rPr>
          <w:rFonts w:hint="eastAsia" w:ascii="宋体" w:hAnsi="宋体" w:eastAsia="宋体" w:cs="宋体"/>
          <w:b/>
          <w:bCs/>
          <w:color w:val="auto"/>
          <w:sz w:val="24"/>
          <w:szCs w:val="24"/>
          <w:highlight w:val="none"/>
        </w:rPr>
        <w:t>第十六条 合同组成及解释</w:t>
      </w:r>
      <w:bookmarkEnd w:id="144"/>
    </w:p>
    <w:p w14:paraId="0C7F9FA2">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的采购文件（含采购答疑）、符合采购要求的竞标文件、甲方确认采购要求、本合同履行过程中双方签章确认的协议或其他文件均为本合同的组成部分，若合同组成文件之间发生矛盾的，以下排列顺序为合同组成文件之间的优先解释顺序：</w:t>
      </w:r>
    </w:p>
    <w:p w14:paraId="14CD4F8B">
      <w:pPr>
        <w:pStyle w:val="76"/>
        <w:numPr>
          <w:ilvl w:val="0"/>
          <w:numId w:val="2"/>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合同履行过程中双方签章确认的协议或其他文件；</w:t>
      </w:r>
    </w:p>
    <w:p w14:paraId="099AD6AB">
      <w:pPr>
        <w:pStyle w:val="76"/>
        <w:numPr>
          <w:ilvl w:val="0"/>
          <w:numId w:val="2"/>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甲方确认的采购要求；</w:t>
      </w:r>
    </w:p>
    <w:p w14:paraId="72366829">
      <w:pPr>
        <w:pStyle w:val="76"/>
        <w:numPr>
          <w:ilvl w:val="0"/>
          <w:numId w:val="2"/>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合同附件；</w:t>
      </w:r>
    </w:p>
    <w:p w14:paraId="26DC8015">
      <w:pPr>
        <w:pStyle w:val="76"/>
        <w:numPr>
          <w:ilvl w:val="0"/>
          <w:numId w:val="2"/>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中标或成交通知书；</w:t>
      </w:r>
    </w:p>
    <w:p w14:paraId="3B1E4B09">
      <w:pPr>
        <w:pStyle w:val="76"/>
        <w:numPr>
          <w:ilvl w:val="0"/>
          <w:numId w:val="2"/>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采购文件(含答疑)；</w:t>
      </w:r>
    </w:p>
    <w:p w14:paraId="2B7BAEC1">
      <w:pPr>
        <w:pStyle w:val="76"/>
        <w:numPr>
          <w:ilvl w:val="0"/>
          <w:numId w:val="2"/>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符合采购要求的竞标文件；</w:t>
      </w:r>
    </w:p>
    <w:p w14:paraId="30FE56E5">
      <w:pPr>
        <w:pStyle w:val="76"/>
        <w:numPr>
          <w:ilvl w:val="0"/>
          <w:numId w:val="2"/>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标准、规范及有关技术文件；</w:t>
      </w:r>
    </w:p>
    <w:p w14:paraId="19344504">
      <w:pPr>
        <w:pStyle w:val="76"/>
        <w:numPr>
          <w:ilvl w:val="0"/>
          <w:numId w:val="2"/>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其他合同文件。</w:t>
      </w:r>
    </w:p>
    <w:p w14:paraId="5D8B1FB7">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412EC131">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3、前述各项文件包括双方就该合同组成文件所作出的补充和修改，属于同一项文件的，应以最新签署的为准。</w:t>
      </w:r>
    </w:p>
    <w:p w14:paraId="6840465B">
      <w:pPr>
        <w:spacing w:line="360" w:lineRule="auto"/>
        <w:rPr>
          <w:rFonts w:hint="eastAsia" w:ascii="宋体" w:hAnsi="宋体" w:eastAsia="宋体" w:cs="宋体"/>
          <w:b/>
          <w:bCs/>
          <w:color w:val="auto"/>
          <w:sz w:val="24"/>
          <w:szCs w:val="24"/>
          <w:highlight w:val="none"/>
        </w:rPr>
      </w:pPr>
      <w:bookmarkStart w:id="145" w:name="_Toc29080"/>
      <w:r>
        <w:rPr>
          <w:rFonts w:hint="eastAsia" w:ascii="宋体" w:hAnsi="宋体" w:eastAsia="宋体" w:cs="宋体"/>
          <w:b/>
          <w:bCs/>
          <w:color w:val="auto"/>
          <w:sz w:val="24"/>
          <w:szCs w:val="24"/>
          <w:highlight w:val="none"/>
        </w:rPr>
        <w:t>第十七条 通知与送达</w:t>
      </w:r>
      <w:bookmarkEnd w:id="145"/>
    </w:p>
    <w:p w14:paraId="307FB6FF">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1、本协议项下的合同一方对另外一方的任何通知或请求，应当发送至接收方在合同中约定的地址、联系人和通信终端。一方当事人变更名称、地址、联系人或通信终端等信息的，应当在变更后 3 日内及时书面通知对方当事人，对方当事人实际收到变更通知前的送达仍为有效送达，电子送达与书面送达具有同等法律效力。</w:t>
      </w:r>
    </w:p>
    <w:p w14:paraId="5C586633">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2、任何一方当事人向对/他方所发出的通知或请求送达时间：</w:t>
      </w:r>
    </w:p>
    <w:p w14:paraId="3A68CE32">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（1）如果是传真，则在发送当日视为送达；</w:t>
      </w:r>
    </w:p>
    <w:p w14:paraId="68D72CD4">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（2）如果是短信/微信/电子邮件，自电子文件内容在发送方正确填写地址且未被系统退回的情况下，进入对方数据电文接收系统当日视为送达。</w:t>
      </w:r>
    </w:p>
    <w:p w14:paraId="64C2325F">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（3）如果是信函，在挂号信交邮后第三日视为送达；</w:t>
      </w:r>
    </w:p>
    <w:p w14:paraId="2D4892B5">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（4）如果是派人专程送达，则在收件人签收之日视为收到；</w:t>
      </w:r>
    </w:p>
    <w:p w14:paraId="2BDAF904">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（5）如果同时使用几种通知方式的，以其中较快到达接收方者为准。</w:t>
      </w:r>
    </w:p>
    <w:p w14:paraId="7FF00936">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（6）若送达日为非工作日,则视为在下一工作日送达。</w:t>
      </w:r>
    </w:p>
    <w:p w14:paraId="545E715F">
      <w:pPr>
        <w:pStyle w:val="76"/>
        <w:spacing w:line="360" w:lineRule="auto"/>
        <w:ind w:firstLine="480"/>
        <w:rPr>
          <w:rFonts w:hint="eastAsia" w:ascii="宋体" w:hAnsi="宋体" w:eastAsia="宋体" w:cs="宋体"/>
          <w:color w:val="auto"/>
          <w:spacing w:val="-14"/>
          <w:sz w:val="24"/>
          <w:szCs w:val="24"/>
          <w:highlight w:val="none"/>
        </w:rPr>
      </w:pPr>
      <w:r>
        <w:rPr>
          <w:rFonts w:hint="eastAsia" w:ascii="宋体" w:hAnsi="宋体" w:eastAsia="宋体" w:cs="宋体"/>
          <w:color w:val="auto"/>
          <w:sz w:val="24"/>
          <w:szCs w:val="24"/>
          <w:highlight w:val="none"/>
        </w:rPr>
        <w:t>本合同约定的地址、联系人及电子通信终端等信息亦为双方工作联系往来、法律文书及争议解决时人民法院和/或仲裁机构的法律文书送达地址。人民法院和/或仲裁机构的诉讼文</w:t>
      </w:r>
      <w:r>
        <w:rPr>
          <w:rFonts w:hint="eastAsia" w:ascii="宋体" w:hAnsi="宋体" w:eastAsia="宋体" w:cs="宋体"/>
          <w:color w:val="auto"/>
          <w:spacing w:val="-27"/>
          <w:sz w:val="24"/>
          <w:szCs w:val="24"/>
          <w:highlight w:val="none"/>
        </w:rPr>
        <w:t>书</w:t>
      </w:r>
      <w:r>
        <w:rPr>
          <w:rFonts w:hint="eastAsia" w:ascii="宋体" w:hAnsi="宋体" w:eastAsia="宋体" w:cs="宋体"/>
          <w:color w:val="auto"/>
          <w:sz w:val="24"/>
          <w:szCs w:val="24"/>
          <w:highlight w:val="none"/>
        </w:rPr>
        <w:t>（含裁判文书</w:t>
      </w:r>
      <w:r>
        <w:rPr>
          <w:rFonts w:hint="eastAsia" w:ascii="宋体" w:hAnsi="宋体" w:eastAsia="宋体" w:cs="宋体"/>
          <w:color w:val="auto"/>
          <w:spacing w:val="-27"/>
          <w:sz w:val="24"/>
          <w:szCs w:val="24"/>
          <w:highlight w:val="none"/>
        </w:rPr>
        <w:t>）</w:t>
      </w:r>
      <w:r>
        <w:rPr>
          <w:rFonts w:hint="eastAsia" w:ascii="宋体" w:hAnsi="宋体" w:eastAsia="宋体" w:cs="宋体"/>
          <w:color w:val="auto"/>
          <w:sz w:val="24"/>
          <w:szCs w:val="24"/>
          <w:highlight w:val="none"/>
        </w:rPr>
        <w:t>向任何合同任何一方当事人的上述地</w:t>
      </w:r>
      <w:r>
        <w:rPr>
          <w:rFonts w:hint="eastAsia" w:ascii="宋体" w:hAnsi="宋体" w:eastAsia="宋体" w:cs="宋体"/>
          <w:color w:val="auto"/>
          <w:spacing w:val="-14"/>
          <w:sz w:val="24"/>
          <w:szCs w:val="24"/>
          <w:highlight w:val="none"/>
        </w:rPr>
        <w:t>址和/或工商登记公示地址（居民身份证登记地址）送达的，视为有效送达。当事人对电子通信终端的联系送达适用于争议解决时的送达。</w:t>
      </w:r>
    </w:p>
    <w:p w14:paraId="49A00412">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合同送达条款与争议解决条款均为独立条款，不受合同整体或其他条款的效力的影响。</w:t>
      </w:r>
    </w:p>
    <w:p w14:paraId="19429E21">
      <w:pPr>
        <w:spacing w:line="360" w:lineRule="auto"/>
        <w:rPr>
          <w:rFonts w:hint="eastAsia" w:ascii="宋体" w:hAnsi="宋体" w:eastAsia="宋体" w:cs="宋体"/>
          <w:b/>
          <w:bCs/>
          <w:color w:val="auto"/>
          <w:sz w:val="24"/>
          <w:szCs w:val="24"/>
          <w:highlight w:val="none"/>
        </w:rPr>
      </w:pPr>
      <w:bookmarkStart w:id="146" w:name="_Toc13954"/>
      <w:r>
        <w:rPr>
          <w:rFonts w:hint="eastAsia" w:ascii="宋体" w:hAnsi="宋体" w:eastAsia="宋体" w:cs="宋体"/>
          <w:b/>
          <w:bCs/>
          <w:color w:val="auto"/>
          <w:sz w:val="24"/>
          <w:szCs w:val="24"/>
          <w:highlight w:val="none"/>
        </w:rPr>
        <w:t>第十八条 合同生效及其它</w:t>
      </w:r>
      <w:bookmarkEnd w:id="146"/>
    </w:p>
    <w:p w14:paraId="4CFC6517">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1.合同经双方法定代表人或被授权代表签字并加盖单位公章后生效。</w:t>
      </w:r>
    </w:p>
    <w:p w14:paraId="00966708">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2.合同执行中涉及采购资金和采购内容修改或补充的，须经财政部门审批，并签书面补充协议报财政部门备案，方可作为主合同不可分割的一部分。</w:t>
      </w:r>
    </w:p>
    <w:p w14:paraId="543CC82E">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3.本合同未尽事宜，遵照《民法典》有关条文执行。</w:t>
      </w:r>
    </w:p>
    <w:p w14:paraId="31FBCED2">
      <w:pPr>
        <w:pStyle w:val="7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4.本合同一式四份，具有同等法律效力，采购代理机构一份，甲方二份，乙方一份。</w:t>
      </w:r>
    </w:p>
    <w:p w14:paraId="7CA28C90">
      <w:pPr>
        <w:rPr>
          <w:rFonts w:hint="eastAsia" w:ascii="宋体" w:hAnsi="宋体" w:eastAsia="宋体" w:cs="宋体"/>
          <w:color w:val="auto"/>
          <w:sz w:val="24"/>
          <w:szCs w:val="24"/>
          <w:highlight w:val="none"/>
        </w:rPr>
      </w:pP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2"/>
        <w:gridCol w:w="4814"/>
      </w:tblGrid>
      <w:tr w14:paraId="03ED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499" w:type="pct"/>
            <w:noWrap w:val="0"/>
            <w:vAlign w:val="center"/>
          </w:tcPr>
          <w:p w14:paraId="03FBF8E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 xml:space="preserve">章）           </w:t>
            </w:r>
          </w:p>
          <w:p w14:paraId="1D899493">
            <w:pPr>
              <w:snapToGrid w:val="0"/>
              <w:spacing w:line="360" w:lineRule="auto"/>
              <w:ind w:firstLine="1080" w:firstLineChars="450"/>
              <w:jc w:val="right"/>
              <w:rPr>
                <w:rFonts w:hint="eastAsia" w:ascii="宋体" w:hAnsi="宋体" w:eastAsia="宋体" w:cs="宋体"/>
                <w:color w:val="auto"/>
                <w:sz w:val="24"/>
                <w:szCs w:val="24"/>
                <w:highlight w:val="none"/>
              </w:rPr>
            </w:pPr>
          </w:p>
        </w:tc>
        <w:tc>
          <w:tcPr>
            <w:tcW w:w="2500" w:type="pct"/>
            <w:noWrap w:val="0"/>
            <w:vAlign w:val="center"/>
          </w:tcPr>
          <w:p w14:paraId="24C5BAC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 xml:space="preserve">章）              </w:t>
            </w:r>
          </w:p>
          <w:p w14:paraId="6D51194B">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2DE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499" w:type="pct"/>
            <w:noWrap w:val="0"/>
            <w:vAlign w:val="center"/>
          </w:tcPr>
          <w:p w14:paraId="12CC0DA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2500" w:type="pct"/>
            <w:noWrap w:val="0"/>
            <w:vAlign w:val="center"/>
          </w:tcPr>
          <w:p w14:paraId="05E2144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7401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499" w:type="pct"/>
            <w:noWrap w:val="0"/>
            <w:vAlign w:val="top"/>
          </w:tcPr>
          <w:p w14:paraId="6218612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500" w:type="pct"/>
            <w:noWrap w:val="0"/>
            <w:vAlign w:val="top"/>
          </w:tcPr>
          <w:p w14:paraId="665982B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6752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499" w:type="pct"/>
            <w:noWrap w:val="0"/>
            <w:vAlign w:val="top"/>
          </w:tcPr>
          <w:p w14:paraId="37C4B94A">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委托代理人：</w:t>
            </w:r>
          </w:p>
        </w:tc>
        <w:tc>
          <w:tcPr>
            <w:tcW w:w="2500" w:type="pct"/>
            <w:noWrap w:val="0"/>
            <w:vAlign w:val="top"/>
          </w:tcPr>
          <w:p w14:paraId="5AF9622F">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委托代理人：</w:t>
            </w:r>
          </w:p>
        </w:tc>
      </w:tr>
      <w:tr w14:paraId="2320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499" w:type="pct"/>
            <w:noWrap w:val="0"/>
            <w:vAlign w:val="center"/>
          </w:tcPr>
          <w:p w14:paraId="57164FF0">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日      期：  年   月   日</w:t>
            </w:r>
          </w:p>
        </w:tc>
        <w:tc>
          <w:tcPr>
            <w:tcW w:w="2500" w:type="pct"/>
            <w:noWrap w:val="0"/>
            <w:vAlign w:val="center"/>
          </w:tcPr>
          <w:p w14:paraId="6FDC9689">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日      期：  年   月   日</w:t>
            </w:r>
          </w:p>
        </w:tc>
      </w:tr>
      <w:tr w14:paraId="0E02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499" w:type="pct"/>
            <w:noWrap w:val="0"/>
            <w:vAlign w:val="center"/>
          </w:tcPr>
          <w:p w14:paraId="22DE184C">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电话：</w:t>
            </w:r>
          </w:p>
        </w:tc>
        <w:tc>
          <w:tcPr>
            <w:tcW w:w="2500" w:type="pct"/>
            <w:noWrap w:val="0"/>
            <w:vAlign w:val="center"/>
          </w:tcPr>
          <w:p w14:paraId="376EE6D6">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电话：</w:t>
            </w:r>
          </w:p>
        </w:tc>
      </w:tr>
      <w:tr w14:paraId="7D05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499" w:type="pct"/>
            <w:noWrap w:val="0"/>
            <w:vAlign w:val="center"/>
          </w:tcPr>
          <w:p w14:paraId="646390B6">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电子邮箱：</w:t>
            </w:r>
          </w:p>
        </w:tc>
        <w:tc>
          <w:tcPr>
            <w:tcW w:w="2500" w:type="pct"/>
            <w:noWrap w:val="0"/>
            <w:vAlign w:val="center"/>
          </w:tcPr>
          <w:p w14:paraId="6697CA3F">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电子邮箱：</w:t>
            </w:r>
          </w:p>
        </w:tc>
      </w:tr>
      <w:tr w14:paraId="6B58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499" w:type="pct"/>
            <w:noWrap w:val="0"/>
            <w:vAlign w:val="center"/>
          </w:tcPr>
          <w:p w14:paraId="52354F90">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邮政编码：</w:t>
            </w:r>
          </w:p>
        </w:tc>
        <w:tc>
          <w:tcPr>
            <w:tcW w:w="2500" w:type="pct"/>
            <w:noWrap w:val="0"/>
            <w:vAlign w:val="center"/>
          </w:tcPr>
          <w:p w14:paraId="615E194C">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邮政编码：</w:t>
            </w:r>
          </w:p>
        </w:tc>
      </w:tr>
      <w:tr w14:paraId="3E8D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499" w:type="pct"/>
            <w:noWrap w:val="0"/>
            <w:vAlign w:val="center"/>
          </w:tcPr>
          <w:p w14:paraId="22C0CDD6">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开户银行：</w:t>
            </w:r>
          </w:p>
        </w:tc>
        <w:tc>
          <w:tcPr>
            <w:tcW w:w="2500" w:type="pct"/>
            <w:noWrap w:val="0"/>
            <w:vAlign w:val="center"/>
          </w:tcPr>
          <w:p w14:paraId="52FACCCA">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开户银行：</w:t>
            </w:r>
          </w:p>
        </w:tc>
      </w:tr>
      <w:tr w14:paraId="7DAA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499" w:type="pct"/>
            <w:noWrap w:val="0"/>
            <w:vAlign w:val="center"/>
          </w:tcPr>
          <w:p w14:paraId="5648EDAC">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账号：</w:t>
            </w:r>
          </w:p>
        </w:tc>
        <w:tc>
          <w:tcPr>
            <w:tcW w:w="2500" w:type="pct"/>
            <w:noWrap w:val="0"/>
            <w:vAlign w:val="center"/>
          </w:tcPr>
          <w:p w14:paraId="31E16544">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账号：</w:t>
            </w:r>
          </w:p>
        </w:tc>
      </w:tr>
      <w:tr w14:paraId="57E5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2499" w:type="pct"/>
            <w:noWrap w:val="0"/>
            <w:vAlign w:val="center"/>
          </w:tcPr>
          <w:p w14:paraId="09F81DEC">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统一信用代码：</w:t>
            </w:r>
          </w:p>
        </w:tc>
        <w:tc>
          <w:tcPr>
            <w:tcW w:w="2500" w:type="pct"/>
            <w:noWrap w:val="0"/>
            <w:vAlign w:val="center"/>
          </w:tcPr>
          <w:p w14:paraId="271CB9A0">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统一信用代码：</w:t>
            </w:r>
          </w:p>
        </w:tc>
      </w:tr>
    </w:tbl>
    <w:p w14:paraId="2D547683">
      <w:pPr>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br w:type="page"/>
      </w:r>
    </w:p>
    <w:p w14:paraId="245B1D10">
      <w:pPr>
        <w:pStyle w:val="145"/>
        <w:rPr>
          <w:rFonts w:hint="eastAsia" w:ascii="黑体" w:hAnsi="黑体" w:eastAsia="黑体" w:cs="Times New Roman"/>
          <w:color w:val="auto"/>
          <w:sz w:val="32"/>
          <w:szCs w:val="32"/>
          <w:highlight w:val="none"/>
        </w:rPr>
      </w:pPr>
    </w:p>
    <w:p w14:paraId="12A9002A">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32"/>
          <w:szCs w:val="32"/>
          <w:highlight w:val="none"/>
        </w:rPr>
        <w:t>政府采购廉政</w:t>
      </w:r>
      <w:r>
        <w:rPr>
          <w:rFonts w:hint="eastAsia" w:ascii="仿宋" w:hAnsi="仿宋" w:eastAsia="仿宋" w:cs="仿宋"/>
          <w:b/>
          <w:bCs/>
          <w:color w:val="auto"/>
          <w:sz w:val="32"/>
          <w:szCs w:val="32"/>
          <w:highlight w:val="none"/>
          <w:lang w:val="en-US" w:eastAsia="zh-CN"/>
        </w:rPr>
        <w:t>协议（模板）</w:t>
      </w:r>
    </w:p>
    <w:p w14:paraId="1CEDC78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甲方（</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w:t>
      </w:r>
    </w:p>
    <w:p w14:paraId="2D0061C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乙方（供货</w:t>
      </w:r>
      <w:r>
        <w:rPr>
          <w:rFonts w:hint="eastAsia" w:ascii="宋体" w:hAnsi="宋体" w:eastAsia="宋体" w:cs="宋体"/>
          <w:b/>
          <w:bCs/>
          <w:color w:val="auto"/>
          <w:sz w:val="24"/>
          <w:szCs w:val="24"/>
          <w:highlight w:val="none"/>
          <w:lang w:val="en-US" w:eastAsia="zh-CN"/>
        </w:rPr>
        <w:t>人</w:t>
      </w:r>
      <w:r>
        <w:rPr>
          <w:rFonts w:hint="eastAsia" w:ascii="宋体" w:hAnsi="宋体" w:eastAsia="宋体" w:cs="宋体"/>
          <w:b/>
          <w:bCs/>
          <w:color w:val="auto"/>
          <w:sz w:val="24"/>
          <w:szCs w:val="24"/>
          <w:highlight w:val="none"/>
        </w:rPr>
        <w:t>）:</w:t>
      </w:r>
    </w:p>
    <w:p w14:paraId="5C7744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为促进甲乙双方廉洁高效合作，促使甲乙双方工作人员廉洁从业，不断推动党风廉政建设工作，按照国家有关法律法规、廉政规定，经甲乙双方协商一致，自愿签订以下廉政</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5215C9C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第一条：甲乙双方的权利和义务</w:t>
      </w:r>
    </w:p>
    <w:p w14:paraId="27F8C9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（一）严格遵守党和国家有关法律法规及党风廉政建设各项规定。</w:t>
      </w:r>
    </w:p>
    <w:p w14:paraId="4E84B6B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（二）严格履行《中华人民共和国反不正当竞争法》《关于禁止商业贿赂行为的暂行规定》</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各项</w:t>
      </w:r>
      <w:r>
        <w:rPr>
          <w:rFonts w:hint="eastAsia" w:ascii="宋体" w:hAnsi="宋体" w:eastAsia="宋体" w:cs="宋体"/>
          <w:color w:val="auto"/>
          <w:sz w:val="24"/>
          <w:szCs w:val="24"/>
          <w:highlight w:val="none"/>
          <w:lang w:val="en-US" w:eastAsia="zh-CN"/>
        </w:rPr>
        <w:t>规</w:t>
      </w:r>
      <w:r>
        <w:rPr>
          <w:rFonts w:hint="eastAsia" w:ascii="宋体" w:hAnsi="宋体" w:eastAsia="宋体" w:cs="宋体"/>
          <w:color w:val="auto"/>
          <w:sz w:val="24"/>
          <w:szCs w:val="24"/>
          <w:highlight w:val="none"/>
        </w:rPr>
        <w:t>定，杜绝</w:t>
      </w:r>
      <w:r>
        <w:rPr>
          <w:rFonts w:hint="eastAsia" w:ascii="宋体" w:hAnsi="宋体" w:eastAsia="宋体" w:cs="宋体"/>
          <w:color w:val="auto"/>
          <w:sz w:val="24"/>
          <w:szCs w:val="24"/>
          <w:highlight w:val="none"/>
          <w:lang w:val="en-US" w:eastAsia="zh-CN"/>
        </w:rPr>
        <w:t>违法违规</w:t>
      </w:r>
      <w:r>
        <w:rPr>
          <w:rFonts w:hint="eastAsia" w:ascii="宋体" w:hAnsi="宋体" w:eastAsia="宋体" w:cs="宋体"/>
          <w:color w:val="auto"/>
          <w:sz w:val="24"/>
          <w:szCs w:val="24"/>
          <w:highlight w:val="none"/>
        </w:rPr>
        <w:t>行为的发生。</w:t>
      </w:r>
    </w:p>
    <w:p w14:paraId="4A8B6DC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（三）双方的业务活动坚持公开、公平、公正、诚信的原则（除法律认定的商业秘密和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文件另有规定之外）,严禁损害国家和集体利益，违反法律法规及规章制度。</w:t>
      </w:r>
    </w:p>
    <w:p w14:paraId="1A976D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）发现对方在业务活动中有违反廉政规定和本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约定的行为时，有及时提醒和督促对方纠正的权利和义务。</w:t>
      </w:r>
    </w:p>
    <w:p w14:paraId="707C76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）发现对方在业务活动中有违反廉政规定和本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约定的行为时，有权向对方主管部门或有关机构检举、揭发。</w:t>
      </w:r>
    </w:p>
    <w:p w14:paraId="370F7E3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rPr>
        <w:t>在廉政建设方面的义务</w:t>
      </w:r>
    </w:p>
    <w:p w14:paraId="1B66475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严格遵守国家政策法令和廉政规定，恪守职业道德，坚持公开、公平、公正原则，对政府采购活动进行规范管理。</w:t>
      </w:r>
    </w:p>
    <w:p w14:paraId="48409DF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甲方工作人员及其家属不得以任何形式或名义索要、接受乙方的红包、礼金、有价证券、礼品和其他馈赠。</w:t>
      </w:r>
    </w:p>
    <w:p w14:paraId="2CC15EC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甲方工作人员及其家属不得以任何形式或名义接受乙方的请吃、请钓、旅游和各类娱乐消费活动。</w:t>
      </w:r>
    </w:p>
    <w:p w14:paraId="527E509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甲方应建立健全内部监督机制，对政府采购活动进行全程监督，确保采购活动的公开、透明和合规性。</w:t>
      </w:r>
    </w:p>
    <w:p w14:paraId="4D5DDDC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乙方</w:t>
      </w:r>
      <w:r>
        <w:rPr>
          <w:rFonts w:hint="eastAsia" w:ascii="宋体" w:hAnsi="宋体" w:eastAsia="宋体" w:cs="宋体"/>
          <w:b/>
          <w:bCs/>
          <w:color w:val="auto"/>
          <w:sz w:val="24"/>
          <w:szCs w:val="24"/>
          <w:highlight w:val="none"/>
        </w:rPr>
        <w:t>在廉政建设方面义务</w:t>
      </w:r>
    </w:p>
    <w:p w14:paraId="05405F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乙方应严格遵守国家法律法规和政府采购的相关规定，坚持公开、公平、公正原则，为甲方提供优质的</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w:t>
      </w:r>
    </w:p>
    <w:p w14:paraId="28B332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乙方不得采取任何不正当手段谋取利益，如行贿、受贿、欺诈等。</w:t>
      </w:r>
    </w:p>
    <w:p w14:paraId="1D07D4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乙方不得与甲方工作人员进行私下接触，不得向甲方工作人员或其家属提供任何形式的红包、礼金、有价证券、礼品和其他馈赠。</w:t>
      </w:r>
    </w:p>
    <w:p w14:paraId="7A6A4A0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乙方承诺严格遵守保密规定，不泄露应予以保密的信息。</w:t>
      </w:r>
    </w:p>
    <w:p w14:paraId="7B60816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乙方应建立健全内部管理机制，规范员工行为，确保员工遵守法律法规和职业道德规范。</w:t>
      </w:r>
    </w:p>
    <w:p w14:paraId="2BB2089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第四条：违约责任</w:t>
      </w:r>
    </w:p>
    <w:p w14:paraId="5E01254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若甲方工作人员违反本协议规定的廉政责任，甲方将依法依规进行处理，并承担相应的法律责任。</w:t>
      </w:r>
    </w:p>
    <w:p w14:paraId="00A170C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若乙方违反本协议规定的廉政责任，依法追究乙方的法律责任。</w:t>
      </w:r>
    </w:p>
    <w:p w14:paraId="31CBC02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条：</w:t>
      </w:r>
      <w:r>
        <w:rPr>
          <w:rFonts w:hint="eastAsia" w:ascii="宋体" w:hAnsi="宋体" w:eastAsia="宋体" w:cs="宋体"/>
          <w:b w:val="0"/>
          <w:bCs w:val="0"/>
          <w:color w:val="auto"/>
          <w:sz w:val="24"/>
          <w:szCs w:val="24"/>
          <w:highlight w:val="none"/>
        </w:rPr>
        <w:t>本协议自双方签字盖章之日起生效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一式两份，甲乙双方各执一份，具有同等法律效力。</w:t>
      </w:r>
    </w:p>
    <w:p w14:paraId="6BA8190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第六条：</w:t>
      </w:r>
      <w:r>
        <w:rPr>
          <w:rFonts w:hint="eastAsia" w:ascii="宋体" w:hAnsi="宋体" w:eastAsia="宋体" w:cs="宋体"/>
          <w:b w:val="0"/>
          <w:bCs w:val="0"/>
          <w:color w:val="auto"/>
          <w:sz w:val="24"/>
          <w:szCs w:val="24"/>
          <w:highlight w:val="none"/>
        </w:rPr>
        <w:t>本协议未尽事宜，双方可另行协商补充。</w:t>
      </w:r>
    </w:p>
    <w:tbl>
      <w:tblPr>
        <w:tblStyle w:val="42"/>
        <w:tblW w:w="9780"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890"/>
        <w:gridCol w:w="4890"/>
      </w:tblGrid>
      <w:tr w14:paraId="16F6F99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92" w:hRule="exact"/>
          <w:jc w:val="center"/>
        </w:trPr>
        <w:tc>
          <w:tcPr>
            <w:tcW w:w="4890" w:type="dxa"/>
            <w:tcBorders>
              <w:tl2br w:val="nil"/>
              <w:tr2bl w:val="nil"/>
            </w:tcBorders>
            <w:noWrap w:val="0"/>
            <w:vAlign w:val="center"/>
          </w:tcPr>
          <w:p w14:paraId="3F963F52">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甲方（公章）：</w:t>
            </w:r>
          </w:p>
        </w:tc>
        <w:tc>
          <w:tcPr>
            <w:tcW w:w="4890" w:type="dxa"/>
            <w:tcBorders>
              <w:tl2br w:val="nil"/>
              <w:tr2bl w:val="nil"/>
            </w:tcBorders>
            <w:noWrap w:val="0"/>
            <w:vAlign w:val="center"/>
          </w:tcPr>
          <w:p w14:paraId="1C3E8455">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乙方（公章）：</w:t>
            </w:r>
          </w:p>
        </w:tc>
      </w:tr>
      <w:tr w14:paraId="0053E3C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92" w:hRule="exact"/>
          <w:jc w:val="center"/>
        </w:trPr>
        <w:tc>
          <w:tcPr>
            <w:tcW w:w="4890" w:type="dxa"/>
            <w:tcBorders>
              <w:tl2br w:val="nil"/>
              <w:tr2bl w:val="nil"/>
            </w:tcBorders>
            <w:noWrap w:val="0"/>
            <w:vAlign w:val="center"/>
          </w:tcPr>
          <w:p w14:paraId="04253720">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法定代表人（委托代理人）：</w:t>
            </w:r>
          </w:p>
        </w:tc>
        <w:tc>
          <w:tcPr>
            <w:tcW w:w="4890" w:type="dxa"/>
            <w:tcBorders>
              <w:tl2br w:val="nil"/>
              <w:tr2bl w:val="nil"/>
            </w:tcBorders>
            <w:noWrap w:val="0"/>
            <w:vAlign w:val="center"/>
          </w:tcPr>
          <w:p w14:paraId="6C2D21CC">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法定代表人（委托代理人）：</w:t>
            </w:r>
          </w:p>
        </w:tc>
      </w:tr>
      <w:tr w14:paraId="731F60A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92" w:hRule="exact"/>
          <w:jc w:val="center"/>
        </w:trPr>
        <w:tc>
          <w:tcPr>
            <w:tcW w:w="4890" w:type="dxa"/>
            <w:tcBorders>
              <w:tl2br w:val="nil"/>
              <w:tr2bl w:val="nil"/>
            </w:tcBorders>
            <w:noWrap w:val="0"/>
            <w:vAlign w:val="center"/>
          </w:tcPr>
          <w:p w14:paraId="76B9D615">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日期：    年   月  日</w:t>
            </w:r>
          </w:p>
        </w:tc>
        <w:tc>
          <w:tcPr>
            <w:tcW w:w="4890" w:type="dxa"/>
            <w:tcBorders>
              <w:tl2br w:val="nil"/>
              <w:tr2bl w:val="nil"/>
            </w:tcBorders>
            <w:noWrap w:val="0"/>
            <w:vAlign w:val="center"/>
          </w:tcPr>
          <w:p w14:paraId="22E1F8C6">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日期：    年   月   日</w:t>
            </w:r>
          </w:p>
        </w:tc>
      </w:tr>
      <w:tr w14:paraId="14B5A0D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92" w:hRule="exact"/>
          <w:jc w:val="center"/>
        </w:trPr>
        <w:tc>
          <w:tcPr>
            <w:tcW w:w="4890" w:type="dxa"/>
            <w:tcBorders>
              <w:tl2br w:val="nil"/>
              <w:tr2bl w:val="nil"/>
            </w:tcBorders>
            <w:noWrap w:val="0"/>
            <w:vAlign w:val="center"/>
          </w:tcPr>
          <w:p w14:paraId="75A85A72">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地址：</w:t>
            </w:r>
          </w:p>
        </w:tc>
        <w:tc>
          <w:tcPr>
            <w:tcW w:w="4890" w:type="dxa"/>
            <w:tcBorders>
              <w:tl2br w:val="nil"/>
              <w:tr2bl w:val="nil"/>
            </w:tcBorders>
            <w:noWrap w:val="0"/>
            <w:vAlign w:val="center"/>
          </w:tcPr>
          <w:p w14:paraId="3594AB4D">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地址：</w:t>
            </w:r>
          </w:p>
        </w:tc>
      </w:tr>
      <w:tr w14:paraId="1224580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92" w:hRule="exact"/>
          <w:jc w:val="center"/>
        </w:trPr>
        <w:tc>
          <w:tcPr>
            <w:tcW w:w="4890" w:type="dxa"/>
            <w:tcBorders>
              <w:tl2br w:val="nil"/>
              <w:tr2bl w:val="nil"/>
            </w:tcBorders>
            <w:noWrap w:val="0"/>
            <w:vAlign w:val="center"/>
          </w:tcPr>
          <w:p w14:paraId="1EDAE673">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电话（传真）：</w:t>
            </w:r>
          </w:p>
        </w:tc>
        <w:tc>
          <w:tcPr>
            <w:tcW w:w="4890" w:type="dxa"/>
            <w:tcBorders>
              <w:tl2br w:val="nil"/>
              <w:tr2bl w:val="nil"/>
            </w:tcBorders>
            <w:noWrap w:val="0"/>
            <w:vAlign w:val="center"/>
          </w:tcPr>
          <w:p w14:paraId="6B446D02">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电话（传真）：</w:t>
            </w:r>
          </w:p>
        </w:tc>
      </w:tr>
      <w:tr w14:paraId="1B40E75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99" w:hRule="exact"/>
          <w:jc w:val="center"/>
        </w:trPr>
        <w:tc>
          <w:tcPr>
            <w:tcW w:w="4890" w:type="dxa"/>
            <w:tcBorders>
              <w:tl2br w:val="nil"/>
              <w:tr2bl w:val="nil"/>
            </w:tcBorders>
            <w:noWrap w:val="0"/>
            <w:vAlign w:val="center"/>
          </w:tcPr>
          <w:p w14:paraId="36EFA82A">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邮编：</w:t>
            </w:r>
          </w:p>
        </w:tc>
        <w:tc>
          <w:tcPr>
            <w:tcW w:w="4890" w:type="dxa"/>
            <w:tcBorders>
              <w:tl2br w:val="nil"/>
              <w:tr2bl w:val="nil"/>
            </w:tcBorders>
            <w:noWrap w:val="0"/>
            <w:vAlign w:val="center"/>
          </w:tcPr>
          <w:p w14:paraId="375F05CB">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val="en-US" w:eastAsia="zh-CN"/>
              </w:rPr>
              <w:t>邮编：</w:t>
            </w:r>
          </w:p>
        </w:tc>
      </w:tr>
    </w:tbl>
    <w:p w14:paraId="5D5E1480">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br w:type="page"/>
      </w:r>
    </w:p>
    <w:p w14:paraId="7835A970">
      <w:pPr>
        <w:pStyle w:val="2"/>
        <w:spacing w:line="240" w:lineRule="auto"/>
        <w:jc w:val="center"/>
        <w:rPr>
          <w:rFonts w:hint="eastAsia" w:asciiTheme="minorEastAsia" w:hAnsiTheme="minorEastAsia" w:eastAsiaTheme="minorEastAsia" w:cstheme="minorEastAsia"/>
          <w:bCs/>
          <w:color w:val="auto"/>
          <w:sz w:val="36"/>
        </w:rPr>
      </w:pPr>
      <w:bookmarkStart w:id="147" w:name="_Toc13698"/>
      <w:bookmarkStart w:id="148" w:name="_Toc22302"/>
      <w:bookmarkStart w:id="149" w:name="_Toc28597"/>
      <w:r>
        <w:rPr>
          <w:rFonts w:hint="eastAsia" w:asciiTheme="minorEastAsia" w:hAnsiTheme="minorEastAsia" w:eastAsiaTheme="minorEastAsia" w:cstheme="minorEastAsia"/>
          <w:bCs/>
          <w:color w:val="auto"/>
          <w:sz w:val="36"/>
        </w:rPr>
        <w:t>第四章  投标文件格式</w:t>
      </w:r>
      <w:bookmarkEnd w:id="147"/>
      <w:bookmarkEnd w:id="148"/>
      <w:bookmarkEnd w:id="149"/>
    </w:p>
    <w:p w14:paraId="3DB22439">
      <w:pPr>
        <w:jc w:val="center"/>
        <w:rPr>
          <w:rFonts w:hint="eastAsia" w:ascii="宋体" w:hAnsi="宋体" w:cs="宋体"/>
          <w:b/>
          <w:bCs/>
          <w:color w:val="auto"/>
          <w:sz w:val="44"/>
          <w:szCs w:val="44"/>
        </w:rPr>
      </w:pPr>
      <w:bookmarkStart w:id="150" w:name="_Toc8168204"/>
    </w:p>
    <w:p w14:paraId="76248654">
      <w:pPr>
        <w:spacing w:line="600" w:lineRule="auto"/>
        <w:jc w:val="center"/>
        <w:rPr>
          <w:rFonts w:hint="eastAsia" w:ascii="宋体" w:hAnsi="宋体" w:eastAsia="宋体" w:cs="宋体"/>
          <w:b/>
          <w:bCs/>
          <w:iCs/>
          <w:color w:val="auto"/>
          <w:kern w:val="36"/>
          <w:sz w:val="44"/>
          <w:szCs w:val="44"/>
          <w:lang w:eastAsia="zh-CN"/>
        </w:rPr>
      </w:pPr>
      <w:r>
        <w:rPr>
          <w:rFonts w:hint="eastAsia" w:ascii="宋体" w:hAnsi="宋体" w:cs="宋体"/>
          <w:b/>
          <w:bCs/>
          <w:iCs/>
          <w:color w:val="auto"/>
          <w:kern w:val="36"/>
          <w:sz w:val="44"/>
          <w:szCs w:val="44"/>
          <w:lang w:eastAsia="zh-CN"/>
        </w:rPr>
        <w:t>云南省玉溪工业财贸学校信息通信网络运行管理实训室建设采购项目</w:t>
      </w:r>
    </w:p>
    <w:p w14:paraId="4E2B7271">
      <w:pPr>
        <w:jc w:val="center"/>
        <w:rPr>
          <w:rFonts w:hint="eastAsia" w:ascii="宋体" w:hAnsi="宋体" w:cs="宋体"/>
          <w:b/>
          <w:bCs/>
          <w:iCs/>
          <w:color w:val="auto"/>
          <w:kern w:val="36"/>
          <w:sz w:val="36"/>
          <w:szCs w:val="36"/>
        </w:rPr>
      </w:pPr>
    </w:p>
    <w:p w14:paraId="72424CBC">
      <w:pPr>
        <w:jc w:val="center"/>
        <w:rPr>
          <w:rFonts w:hint="eastAsia" w:ascii="宋体" w:hAnsi="宋体" w:cs="宋体"/>
          <w:b/>
          <w:bCs/>
          <w:iCs/>
          <w:color w:val="auto"/>
          <w:kern w:val="36"/>
          <w:sz w:val="28"/>
          <w:szCs w:val="28"/>
        </w:rPr>
      </w:pPr>
      <w:r>
        <w:rPr>
          <w:rFonts w:hint="eastAsia" w:ascii="宋体" w:hAnsi="宋体" w:cs="宋体"/>
          <w:b/>
          <w:bCs/>
          <w:iCs/>
          <w:color w:val="auto"/>
          <w:kern w:val="36"/>
          <w:sz w:val="32"/>
          <w:szCs w:val="32"/>
        </w:rPr>
        <w:t>项目编号：</w:t>
      </w:r>
    </w:p>
    <w:p w14:paraId="6D545B75">
      <w:pPr>
        <w:jc w:val="center"/>
        <w:rPr>
          <w:b/>
          <w:bCs/>
          <w:color w:val="auto"/>
          <w:sz w:val="52"/>
          <w:szCs w:val="72"/>
        </w:rPr>
      </w:pPr>
    </w:p>
    <w:p w14:paraId="58458C9E">
      <w:pPr>
        <w:rPr>
          <w:b/>
          <w:bCs/>
          <w:color w:val="auto"/>
          <w:sz w:val="72"/>
          <w:szCs w:val="144"/>
        </w:rPr>
      </w:pPr>
    </w:p>
    <w:p w14:paraId="7F305FA3">
      <w:pPr>
        <w:jc w:val="center"/>
        <w:rPr>
          <w:b/>
          <w:bCs/>
          <w:color w:val="auto"/>
          <w:sz w:val="72"/>
          <w:szCs w:val="144"/>
        </w:rPr>
      </w:pPr>
    </w:p>
    <w:p w14:paraId="7DD1F309">
      <w:pPr>
        <w:jc w:val="center"/>
        <w:rPr>
          <w:b/>
          <w:bCs/>
          <w:color w:val="auto"/>
          <w:sz w:val="72"/>
          <w:szCs w:val="144"/>
        </w:rPr>
      </w:pPr>
      <w:r>
        <w:rPr>
          <w:rFonts w:hint="eastAsia"/>
          <w:b/>
          <w:bCs/>
          <w:color w:val="auto"/>
          <w:sz w:val="72"/>
          <w:szCs w:val="144"/>
        </w:rPr>
        <w:t>投 标 文 件</w:t>
      </w:r>
    </w:p>
    <w:p w14:paraId="7A65A62A">
      <w:pPr>
        <w:pStyle w:val="12"/>
        <w:rPr>
          <w:rFonts w:hint="eastAsia" w:ascii="宋体" w:hAnsi="宋体" w:cs="宋体"/>
          <w:b/>
          <w:bCs/>
          <w:iCs/>
          <w:color w:val="auto"/>
          <w:kern w:val="36"/>
          <w:sz w:val="32"/>
          <w:szCs w:val="32"/>
        </w:rPr>
      </w:pPr>
    </w:p>
    <w:p w14:paraId="28A489E0">
      <w:pPr>
        <w:rPr>
          <w:rFonts w:hint="eastAsia" w:ascii="宋体" w:hAnsi="宋体" w:cs="宋体"/>
          <w:b/>
          <w:bCs/>
          <w:iCs/>
          <w:color w:val="auto"/>
          <w:kern w:val="36"/>
          <w:sz w:val="32"/>
          <w:szCs w:val="32"/>
        </w:rPr>
      </w:pPr>
    </w:p>
    <w:p w14:paraId="4B4A3083">
      <w:pPr>
        <w:pStyle w:val="12"/>
        <w:rPr>
          <w:rFonts w:hint="eastAsia" w:ascii="宋体" w:hAnsi="宋体" w:cs="宋体"/>
          <w:b/>
          <w:bCs/>
          <w:iCs/>
          <w:color w:val="auto"/>
          <w:kern w:val="36"/>
          <w:sz w:val="32"/>
          <w:szCs w:val="32"/>
        </w:rPr>
      </w:pPr>
    </w:p>
    <w:p w14:paraId="7833FF22">
      <w:pPr>
        <w:rPr>
          <w:color w:val="auto"/>
        </w:rPr>
      </w:pPr>
    </w:p>
    <w:p w14:paraId="7DCFAA9E">
      <w:pPr>
        <w:rPr>
          <w:color w:val="auto"/>
        </w:rPr>
      </w:pPr>
    </w:p>
    <w:p w14:paraId="22D16590">
      <w:pPr>
        <w:pStyle w:val="12"/>
        <w:rPr>
          <w:rFonts w:hint="eastAsia" w:ascii="宋体" w:hAnsi="宋体" w:cs="宋体"/>
          <w:b/>
          <w:bCs/>
          <w:iCs/>
          <w:color w:val="auto"/>
          <w:kern w:val="36"/>
          <w:sz w:val="32"/>
          <w:szCs w:val="32"/>
        </w:rPr>
      </w:pPr>
    </w:p>
    <w:p w14:paraId="56320A05">
      <w:pPr>
        <w:spacing w:line="400" w:lineRule="exact"/>
        <w:jc w:val="left"/>
        <w:rPr>
          <w:rFonts w:hint="eastAsia" w:ascii="宋体" w:hAnsi="宋体"/>
          <w:b/>
          <w:color w:val="auto"/>
          <w:sz w:val="24"/>
        </w:rPr>
      </w:pPr>
    </w:p>
    <w:p w14:paraId="58B7514F">
      <w:pPr>
        <w:spacing w:line="480" w:lineRule="auto"/>
        <w:jc w:val="left"/>
        <w:rPr>
          <w:rFonts w:hint="eastAsia" w:ascii="宋体" w:hAnsi="宋体"/>
          <w:b/>
          <w:color w:val="auto"/>
          <w:sz w:val="28"/>
          <w:szCs w:val="28"/>
          <w:u w:val="single"/>
        </w:rPr>
      </w:pPr>
      <w:r>
        <w:rPr>
          <w:rFonts w:hint="eastAsia" w:ascii="宋体" w:hAnsi="宋体"/>
          <w:b/>
          <w:color w:val="auto"/>
          <w:sz w:val="28"/>
          <w:szCs w:val="28"/>
          <w:lang w:eastAsia="zh-CN"/>
        </w:rPr>
        <w:t>供应商</w:t>
      </w:r>
      <w:r>
        <w:rPr>
          <w:rFonts w:hint="eastAsia" w:ascii="宋体" w:hAnsi="宋体"/>
          <w:b/>
          <w:color w:val="auto"/>
          <w:sz w:val="28"/>
          <w:szCs w:val="28"/>
        </w:rPr>
        <w:t>：</w:t>
      </w:r>
      <w:r>
        <w:rPr>
          <w:rFonts w:hint="eastAsia" w:ascii="宋体" w:hAnsi="宋体"/>
          <w:b/>
          <w:color w:val="auto"/>
          <w:sz w:val="28"/>
          <w:szCs w:val="28"/>
          <w:u w:val="single"/>
        </w:rPr>
        <w:t xml:space="preserve">                             (电子签章)</w:t>
      </w:r>
    </w:p>
    <w:p w14:paraId="0BB72855">
      <w:pPr>
        <w:spacing w:line="480" w:lineRule="auto"/>
        <w:jc w:val="left"/>
        <w:rPr>
          <w:rFonts w:hint="eastAsia" w:ascii="宋体" w:hAnsi="宋体"/>
          <w:b/>
          <w:color w:val="auto"/>
          <w:sz w:val="28"/>
          <w:szCs w:val="28"/>
          <w:u w:val="single"/>
        </w:rPr>
      </w:pPr>
      <w:r>
        <w:rPr>
          <w:rFonts w:hint="eastAsia" w:ascii="宋体" w:hAnsi="宋体"/>
          <w:b/>
          <w:color w:val="auto"/>
          <w:sz w:val="28"/>
          <w:szCs w:val="28"/>
        </w:rPr>
        <w:t>法定代表人或其委托代理人：</w:t>
      </w:r>
      <w:r>
        <w:rPr>
          <w:rFonts w:hint="eastAsia" w:ascii="宋体" w:hAnsi="宋体"/>
          <w:b/>
          <w:color w:val="auto"/>
          <w:sz w:val="28"/>
          <w:szCs w:val="28"/>
          <w:u w:val="single"/>
        </w:rPr>
        <w:t xml:space="preserve">          (电子签章或签名)</w:t>
      </w:r>
    </w:p>
    <w:p w14:paraId="0C92F62F">
      <w:pPr>
        <w:spacing w:line="480" w:lineRule="auto"/>
        <w:jc w:val="left"/>
        <w:rPr>
          <w:rFonts w:hint="eastAsia" w:ascii="宋体" w:hAnsi="宋体"/>
          <w:b/>
          <w:color w:val="auto"/>
          <w:sz w:val="28"/>
          <w:szCs w:val="28"/>
        </w:rPr>
      </w:pPr>
      <w:r>
        <w:rPr>
          <w:rFonts w:hint="eastAsia" w:ascii="宋体" w:hAnsi="宋体"/>
          <w:b/>
          <w:color w:val="auto"/>
          <w:sz w:val="28"/>
          <w:szCs w:val="28"/>
        </w:rPr>
        <w:t>日期：</w:t>
      </w:r>
      <w:r>
        <w:rPr>
          <w:rFonts w:hint="eastAsia" w:ascii="宋体" w:hAnsi="宋体"/>
          <w:b/>
          <w:color w:val="auto"/>
          <w:sz w:val="28"/>
          <w:szCs w:val="28"/>
          <w:u w:val="single"/>
        </w:rPr>
        <w:t xml:space="preserve">     </w:t>
      </w:r>
      <w:r>
        <w:rPr>
          <w:rFonts w:hint="eastAsia" w:ascii="宋体" w:hAnsi="宋体"/>
          <w:b/>
          <w:color w:val="auto"/>
          <w:sz w:val="28"/>
          <w:szCs w:val="28"/>
        </w:rPr>
        <w:t>年</w:t>
      </w:r>
      <w:r>
        <w:rPr>
          <w:rFonts w:hint="eastAsia" w:ascii="宋体" w:hAnsi="宋体"/>
          <w:b/>
          <w:color w:val="auto"/>
          <w:sz w:val="28"/>
          <w:szCs w:val="28"/>
          <w:u w:val="single"/>
        </w:rPr>
        <w:t xml:space="preserve">    </w:t>
      </w:r>
      <w:r>
        <w:rPr>
          <w:rFonts w:hint="eastAsia" w:ascii="宋体" w:hAnsi="宋体"/>
          <w:b/>
          <w:color w:val="auto"/>
          <w:sz w:val="28"/>
          <w:szCs w:val="28"/>
        </w:rPr>
        <w:t>月</w:t>
      </w:r>
      <w:r>
        <w:rPr>
          <w:rFonts w:hint="eastAsia" w:ascii="宋体" w:hAnsi="宋体"/>
          <w:b/>
          <w:color w:val="auto"/>
          <w:sz w:val="28"/>
          <w:szCs w:val="28"/>
          <w:u w:val="single"/>
        </w:rPr>
        <w:t xml:space="preserve">    </w:t>
      </w:r>
      <w:r>
        <w:rPr>
          <w:rFonts w:hint="eastAsia" w:ascii="宋体" w:hAnsi="宋体"/>
          <w:b/>
          <w:color w:val="auto"/>
          <w:sz w:val="28"/>
          <w:szCs w:val="28"/>
        </w:rPr>
        <w:t>日</w:t>
      </w:r>
    </w:p>
    <w:p w14:paraId="7CFB307A">
      <w:pPr>
        <w:jc w:val="center"/>
        <w:outlineLvl w:val="1"/>
        <w:rPr>
          <w:rFonts w:hint="eastAsia" w:ascii="宋体" w:hAnsi="宋体"/>
          <w:color w:val="auto"/>
        </w:rPr>
      </w:pPr>
      <w:r>
        <w:rPr>
          <w:rFonts w:hint="eastAsia" w:asciiTheme="minorEastAsia" w:hAnsiTheme="minorEastAsia" w:eastAsiaTheme="minorEastAsia" w:cstheme="minorEastAsia"/>
          <w:color w:val="auto"/>
          <w:szCs w:val="28"/>
        </w:rPr>
        <w:br w:type="page"/>
      </w:r>
      <w:bookmarkStart w:id="151" w:name="_Toc39"/>
      <w:bookmarkStart w:id="152" w:name="_Toc25400"/>
      <w:bookmarkStart w:id="153" w:name="_Toc31135"/>
      <w:bookmarkStart w:id="154" w:name="_Toc117716565"/>
      <w:bookmarkStart w:id="155" w:name="_Toc140445719"/>
      <w:bookmarkStart w:id="156" w:name="_Toc4450"/>
      <w:r>
        <w:rPr>
          <w:rStyle w:val="133"/>
          <w:rFonts w:hint="eastAsia" w:ascii="宋体" w:hAnsi="宋体" w:eastAsia="宋体" w:cs="宋体"/>
          <w:color w:val="auto"/>
        </w:rPr>
        <w:t>一、</w:t>
      </w:r>
      <w:bookmarkStart w:id="157" w:name="_Toc23275"/>
      <w:r>
        <w:rPr>
          <w:rStyle w:val="133"/>
          <w:rFonts w:hint="eastAsia" w:ascii="宋体" w:hAnsi="宋体" w:eastAsia="宋体" w:cs="宋体"/>
          <w:color w:val="auto"/>
        </w:rPr>
        <w:t>投标报价一览表</w:t>
      </w:r>
      <w:bookmarkEnd w:id="151"/>
      <w:bookmarkEnd w:id="152"/>
      <w:bookmarkEnd w:id="153"/>
      <w:bookmarkEnd w:id="157"/>
    </w:p>
    <w:p w14:paraId="4B7FBC7E">
      <w:pPr>
        <w:pStyle w:val="21"/>
        <w:spacing w:line="360" w:lineRule="auto"/>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项目名称：</w:t>
      </w:r>
      <w:r>
        <w:rPr>
          <w:rFonts w:hint="eastAsia" w:asciiTheme="minorEastAsia" w:hAnsiTheme="minorEastAsia" w:eastAsiaTheme="minorEastAsia" w:cstheme="minorEastAsia"/>
          <w:b/>
          <w:color w:val="auto"/>
          <w:sz w:val="24"/>
          <w:szCs w:val="24"/>
          <w:u w:val="single"/>
        </w:rPr>
        <w:t xml:space="preserve">                         </w:t>
      </w:r>
    </w:p>
    <w:p w14:paraId="7E6F177E">
      <w:pPr>
        <w:spacing w:line="360" w:lineRule="auto"/>
        <w:rPr>
          <w:rFonts w:hint="eastAsia" w:ascii="宋体" w:hAnsi="宋体"/>
          <w:color w:val="auto"/>
          <w:sz w:val="24"/>
        </w:rPr>
      </w:pPr>
      <w:r>
        <w:rPr>
          <w:rFonts w:hint="eastAsia" w:asciiTheme="minorEastAsia" w:hAnsiTheme="minorEastAsia" w:eastAsiaTheme="minorEastAsia" w:cstheme="minorEastAsia"/>
          <w:b/>
          <w:color w:val="auto"/>
          <w:sz w:val="24"/>
        </w:rPr>
        <w:t>项目编号：</w:t>
      </w:r>
      <w:r>
        <w:rPr>
          <w:rFonts w:hint="eastAsia" w:asciiTheme="minorEastAsia" w:hAnsiTheme="minorEastAsia" w:eastAsiaTheme="minorEastAsia" w:cstheme="minorEastAsia"/>
          <w:b/>
          <w:color w:val="auto"/>
          <w:sz w:val="24"/>
          <w:u w:val="single"/>
        </w:rPr>
        <w:t xml:space="preserve">                         </w:t>
      </w:r>
      <w:r>
        <w:rPr>
          <w:rFonts w:hint="eastAsia" w:asciiTheme="minorEastAsia" w:hAnsiTheme="minorEastAsia" w:eastAsiaTheme="minorEastAsia" w:cstheme="minorEastAsia"/>
          <w:b/>
          <w:color w:val="auto"/>
          <w:sz w:val="24"/>
        </w:rPr>
        <w:t xml:space="preserve">     </w:t>
      </w:r>
      <w:r>
        <w:rPr>
          <w:rFonts w:hint="eastAsia" w:asciiTheme="minorEastAsia" w:hAnsiTheme="minorEastAsia" w:eastAsiaTheme="minorEastAsia" w:cstheme="minorEastAsia"/>
          <w:bCs/>
          <w:color w:val="auto"/>
          <w:sz w:val="24"/>
        </w:rPr>
        <w:t xml:space="preserve">     </w:t>
      </w:r>
    </w:p>
    <w:tbl>
      <w:tblPr>
        <w:tblStyle w:val="41"/>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6461"/>
      </w:tblGrid>
      <w:tr w14:paraId="69EA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8" w:hRule="atLeast"/>
          <w:jc w:val="center"/>
        </w:trPr>
        <w:tc>
          <w:tcPr>
            <w:tcW w:w="1881" w:type="dxa"/>
            <w:vAlign w:val="center"/>
          </w:tcPr>
          <w:p w14:paraId="06E5484B">
            <w:pPr>
              <w:spacing w:line="360" w:lineRule="auto"/>
              <w:jc w:val="center"/>
              <w:rPr>
                <w:rFonts w:hint="eastAsia" w:ascii="宋体" w:hAnsi="宋体"/>
                <w:color w:val="auto"/>
                <w:sz w:val="24"/>
              </w:rPr>
            </w:pPr>
            <w:r>
              <w:rPr>
                <w:rFonts w:hint="eastAsia" w:ascii="宋体" w:hAnsi="宋体"/>
                <w:color w:val="auto"/>
                <w:sz w:val="24"/>
              </w:rPr>
              <w:t>项目名称</w:t>
            </w:r>
          </w:p>
        </w:tc>
        <w:tc>
          <w:tcPr>
            <w:tcW w:w="6461" w:type="dxa"/>
            <w:vAlign w:val="center"/>
          </w:tcPr>
          <w:p w14:paraId="2513211E">
            <w:pPr>
              <w:spacing w:line="360" w:lineRule="auto"/>
              <w:jc w:val="left"/>
              <w:rPr>
                <w:rFonts w:hint="eastAsia" w:ascii="宋体" w:hAnsi="宋体" w:eastAsia="宋体"/>
                <w:color w:val="auto"/>
                <w:sz w:val="24"/>
                <w:lang w:eastAsia="zh-CN"/>
              </w:rPr>
            </w:pPr>
            <w:r>
              <w:rPr>
                <w:rFonts w:hint="eastAsia" w:ascii="宋体" w:hAnsi="宋体"/>
                <w:color w:val="auto"/>
                <w:sz w:val="24"/>
                <w:lang w:eastAsia="zh-CN"/>
              </w:rPr>
              <w:t>云南省玉溪工业财贸学校信息通信网络运行管理实训室建设采购项目</w:t>
            </w:r>
          </w:p>
        </w:tc>
      </w:tr>
      <w:tr w14:paraId="6BFA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81" w:type="dxa"/>
            <w:vAlign w:val="center"/>
          </w:tcPr>
          <w:p w14:paraId="58E8DEE1">
            <w:pPr>
              <w:spacing w:line="360" w:lineRule="auto"/>
              <w:jc w:val="center"/>
              <w:rPr>
                <w:rFonts w:hint="eastAsia" w:ascii="宋体" w:hAnsi="宋体"/>
                <w:color w:val="auto"/>
                <w:sz w:val="24"/>
              </w:rPr>
            </w:pPr>
            <w:r>
              <w:rPr>
                <w:rFonts w:hint="eastAsia" w:ascii="宋体" w:hAnsi="宋体"/>
                <w:color w:val="auto"/>
                <w:sz w:val="24"/>
              </w:rPr>
              <w:t>投标总报价</w:t>
            </w:r>
          </w:p>
          <w:p w14:paraId="78BB55EC">
            <w:pPr>
              <w:spacing w:line="360" w:lineRule="auto"/>
              <w:jc w:val="center"/>
              <w:rPr>
                <w:rFonts w:hint="eastAsia" w:ascii="宋体" w:hAnsi="宋体"/>
                <w:color w:val="auto"/>
                <w:sz w:val="24"/>
              </w:rPr>
            </w:pPr>
            <w:r>
              <w:rPr>
                <w:rFonts w:hint="eastAsia" w:ascii="宋体" w:hAnsi="宋体"/>
                <w:color w:val="auto"/>
                <w:sz w:val="24"/>
              </w:rPr>
              <w:t>（元）</w:t>
            </w:r>
          </w:p>
        </w:tc>
        <w:tc>
          <w:tcPr>
            <w:tcW w:w="6461" w:type="dxa"/>
            <w:vAlign w:val="center"/>
          </w:tcPr>
          <w:p w14:paraId="45DC260F">
            <w:pPr>
              <w:spacing w:line="360" w:lineRule="auto"/>
              <w:rPr>
                <w:rFonts w:hint="eastAsia" w:ascii="宋体" w:hAnsi="宋体"/>
                <w:color w:val="auto"/>
                <w:sz w:val="24"/>
                <w:u w:val="single"/>
              </w:rPr>
            </w:pPr>
            <w:r>
              <w:rPr>
                <w:rFonts w:hint="eastAsia" w:ascii="宋体" w:hAnsi="宋体"/>
                <w:color w:val="auto"/>
                <w:sz w:val="24"/>
              </w:rPr>
              <w:t>小写：</w:t>
            </w:r>
            <w:r>
              <w:rPr>
                <w:rFonts w:hint="eastAsia" w:ascii="宋体" w:hAnsi="宋体"/>
                <w:color w:val="auto"/>
                <w:sz w:val="24"/>
                <w:u w:val="single"/>
              </w:rPr>
              <w:t xml:space="preserve">                      </w:t>
            </w:r>
          </w:p>
          <w:p w14:paraId="29ACF9DF">
            <w:pPr>
              <w:spacing w:line="360" w:lineRule="auto"/>
              <w:rPr>
                <w:rFonts w:hint="eastAsia" w:ascii="宋体" w:hAnsi="宋体"/>
                <w:color w:val="auto"/>
                <w:sz w:val="24"/>
              </w:rPr>
            </w:pPr>
            <w:r>
              <w:rPr>
                <w:rFonts w:hint="eastAsia" w:ascii="宋体" w:hAnsi="宋体"/>
                <w:color w:val="auto"/>
                <w:sz w:val="24"/>
              </w:rPr>
              <w:t>大写：</w:t>
            </w:r>
            <w:r>
              <w:rPr>
                <w:rFonts w:hint="eastAsia" w:ascii="宋体" w:hAnsi="宋体"/>
                <w:color w:val="auto"/>
                <w:sz w:val="24"/>
                <w:u w:val="single"/>
              </w:rPr>
              <w:t xml:space="preserve">                      </w:t>
            </w:r>
          </w:p>
        </w:tc>
      </w:tr>
      <w:tr w14:paraId="219F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81" w:type="dxa"/>
            <w:vAlign w:val="center"/>
          </w:tcPr>
          <w:p w14:paraId="0BC45CDD">
            <w:pPr>
              <w:tabs>
                <w:tab w:val="left" w:pos="480"/>
              </w:tabs>
              <w:autoSpaceDE w:val="0"/>
              <w:autoSpaceDN w:val="0"/>
              <w:adjustRightInd w:val="0"/>
              <w:spacing w:line="360" w:lineRule="auto"/>
              <w:jc w:val="center"/>
              <w:rPr>
                <w:rFonts w:hint="eastAsia" w:ascii="宋体" w:hAnsi="宋体"/>
                <w:color w:val="auto"/>
                <w:sz w:val="24"/>
              </w:rPr>
            </w:pPr>
            <w:r>
              <w:rPr>
                <w:rFonts w:hint="eastAsia" w:ascii="宋体" w:hAnsi="宋体"/>
                <w:color w:val="auto"/>
                <w:kern w:val="0"/>
                <w:sz w:val="24"/>
              </w:rPr>
              <w:t>合同履行期限</w:t>
            </w:r>
          </w:p>
        </w:tc>
        <w:tc>
          <w:tcPr>
            <w:tcW w:w="6461" w:type="dxa"/>
            <w:vAlign w:val="center"/>
          </w:tcPr>
          <w:p w14:paraId="072B4269">
            <w:pPr>
              <w:widowControl/>
              <w:adjustRightInd w:val="0"/>
              <w:snapToGrid w:val="0"/>
              <w:spacing w:line="400" w:lineRule="atLeast"/>
              <w:rPr>
                <w:rFonts w:hint="eastAsia" w:ascii="宋体" w:hAnsi="宋体"/>
                <w:color w:val="auto"/>
                <w:sz w:val="24"/>
              </w:rPr>
            </w:pPr>
          </w:p>
        </w:tc>
      </w:tr>
      <w:tr w14:paraId="5D4F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81" w:type="dxa"/>
            <w:vAlign w:val="center"/>
          </w:tcPr>
          <w:p w14:paraId="7BEBA732">
            <w:pPr>
              <w:spacing w:line="360" w:lineRule="auto"/>
              <w:jc w:val="center"/>
              <w:rPr>
                <w:rFonts w:hint="eastAsia" w:ascii="宋体" w:hAnsi="宋体"/>
                <w:color w:val="auto"/>
                <w:sz w:val="24"/>
              </w:rPr>
            </w:pPr>
            <w:r>
              <w:rPr>
                <w:rFonts w:hint="eastAsia" w:ascii="宋体" w:hAnsi="宋体" w:cs="宋体"/>
                <w:color w:val="auto"/>
                <w:sz w:val="24"/>
                <w:lang w:bidi="ar"/>
              </w:rPr>
              <w:t>质量标准</w:t>
            </w:r>
          </w:p>
        </w:tc>
        <w:tc>
          <w:tcPr>
            <w:tcW w:w="6461" w:type="dxa"/>
            <w:vAlign w:val="center"/>
          </w:tcPr>
          <w:p w14:paraId="1A7A34FC">
            <w:pPr>
              <w:spacing w:line="360" w:lineRule="auto"/>
              <w:jc w:val="left"/>
              <w:rPr>
                <w:rFonts w:hint="eastAsia" w:ascii="宋体" w:hAnsi="宋体"/>
                <w:color w:val="auto"/>
                <w:sz w:val="24"/>
              </w:rPr>
            </w:pPr>
          </w:p>
        </w:tc>
      </w:tr>
      <w:tr w14:paraId="196F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81" w:type="dxa"/>
            <w:vAlign w:val="center"/>
          </w:tcPr>
          <w:p w14:paraId="48134A79">
            <w:pPr>
              <w:spacing w:line="360" w:lineRule="auto"/>
              <w:jc w:val="center"/>
              <w:rPr>
                <w:rFonts w:hint="eastAsia" w:ascii="宋体" w:hAnsi="宋体"/>
                <w:color w:val="auto"/>
                <w:sz w:val="24"/>
              </w:rPr>
            </w:pPr>
            <w:r>
              <w:rPr>
                <w:rFonts w:hint="eastAsia" w:ascii="宋体" w:hAnsi="宋体"/>
                <w:color w:val="auto"/>
                <w:sz w:val="24"/>
              </w:rPr>
              <w:t>质保期</w:t>
            </w:r>
          </w:p>
        </w:tc>
        <w:tc>
          <w:tcPr>
            <w:tcW w:w="6461" w:type="dxa"/>
            <w:vAlign w:val="center"/>
          </w:tcPr>
          <w:p w14:paraId="271CDDA6">
            <w:pPr>
              <w:spacing w:line="360" w:lineRule="auto"/>
              <w:jc w:val="left"/>
              <w:rPr>
                <w:rFonts w:hint="eastAsia" w:ascii="宋体" w:hAnsi="宋体"/>
                <w:color w:val="auto"/>
                <w:sz w:val="24"/>
              </w:rPr>
            </w:pPr>
          </w:p>
        </w:tc>
      </w:tr>
      <w:tr w14:paraId="5E60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81" w:type="dxa"/>
            <w:vAlign w:val="center"/>
          </w:tcPr>
          <w:p w14:paraId="75E57A43">
            <w:pPr>
              <w:spacing w:line="360" w:lineRule="auto"/>
              <w:jc w:val="center"/>
              <w:rPr>
                <w:rFonts w:hint="eastAsia" w:ascii="宋体" w:hAnsi="宋体"/>
                <w:color w:val="auto"/>
                <w:sz w:val="24"/>
              </w:rPr>
            </w:pPr>
            <w:r>
              <w:rPr>
                <w:rFonts w:hint="eastAsia" w:ascii="宋体" w:hAnsi="宋体"/>
                <w:color w:val="auto"/>
                <w:sz w:val="24"/>
              </w:rPr>
              <w:t>其他承诺</w:t>
            </w:r>
          </w:p>
        </w:tc>
        <w:tc>
          <w:tcPr>
            <w:tcW w:w="6461" w:type="dxa"/>
            <w:vAlign w:val="center"/>
          </w:tcPr>
          <w:p w14:paraId="7F90502D">
            <w:pPr>
              <w:spacing w:line="360" w:lineRule="auto"/>
              <w:jc w:val="left"/>
              <w:rPr>
                <w:rFonts w:hint="eastAsia" w:ascii="宋体" w:hAnsi="宋体"/>
                <w:color w:val="auto"/>
                <w:sz w:val="24"/>
              </w:rPr>
            </w:pPr>
          </w:p>
        </w:tc>
      </w:tr>
    </w:tbl>
    <w:p w14:paraId="41D854DE">
      <w:pPr>
        <w:spacing w:line="360" w:lineRule="auto"/>
        <w:jc w:val="left"/>
        <w:rPr>
          <w:rFonts w:hint="eastAsia" w:ascii="宋体" w:hAnsi="宋体"/>
          <w:color w:val="auto"/>
          <w:sz w:val="24"/>
        </w:rPr>
      </w:pPr>
      <w:r>
        <w:rPr>
          <w:rFonts w:hint="eastAsia" w:ascii="宋体" w:hAnsi="宋体"/>
          <w:color w:val="auto"/>
          <w:sz w:val="24"/>
        </w:rPr>
        <w:t>注：1.表中报价应与 “投标函”中报价和“投标报价表”中报价一致。</w:t>
      </w:r>
    </w:p>
    <w:p w14:paraId="233CA483">
      <w:pPr>
        <w:spacing w:line="360" w:lineRule="auto"/>
        <w:jc w:val="left"/>
        <w:rPr>
          <w:rFonts w:hint="eastAsia" w:ascii="宋体" w:hAnsi="宋体"/>
          <w:color w:val="auto"/>
          <w:sz w:val="24"/>
        </w:rPr>
      </w:pPr>
      <w:r>
        <w:rPr>
          <w:rFonts w:hint="eastAsia" w:ascii="宋体" w:hAnsi="宋体"/>
          <w:color w:val="auto"/>
          <w:sz w:val="24"/>
        </w:rPr>
        <w:t>2.此表应放于投标文件封面后第一页。</w:t>
      </w:r>
    </w:p>
    <w:p w14:paraId="68800397">
      <w:pPr>
        <w:spacing w:line="360" w:lineRule="auto"/>
        <w:jc w:val="left"/>
        <w:rPr>
          <w:rFonts w:hint="eastAsia" w:ascii="宋体" w:hAnsi="宋体"/>
          <w:color w:val="auto"/>
          <w:sz w:val="24"/>
        </w:rPr>
      </w:pPr>
    </w:p>
    <w:p w14:paraId="12169512">
      <w:pPr>
        <w:spacing w:line="480" w:lineRule="auto"/>
        <w:jc w:val="left"/>
        <w:rPr>
          <w:rFonts w:hint="eastAsia" w:ascii="宋体" w:hAnsi="宋体"/>
          <w:bCs/>
          <w:color w:val="auto"/>
          <w:sz w:val="24"/>
          <w:u w:val="single"/>
        </w:rPr>
      </w:pPr>
      <w:bookmarkStart w:id="158" w:name="_Toc373137828"/>
      <w:bookmarkStart w:id="159" w:name="_Toc374876428"/>
      <w:bookmarkStart w:id="160" w:name="_Toc30353"/>
      <w:r>
        <w:rPr>
          <w:rFonts w:hint="eastAsia" w:ascii="宋体" w:hAnsi="宋体"/>
          <w:bCs/>
          <w:color w:val="auto"/>
          <w:sz w:val="24"/>
          <w:lang w:eastAsia="zh-CN"/>
        </w:rPr>
        <w:t>供应商</w:t>
      </w:r>
      <w:r>
        <w:rPr>
          <w:rFonts w:hint="eastAsia" w:ascii="宋体" w:hAnsi="宋体"/>
          <w:bCs/>
          <w:color w:val="auto"/>
          <w:sz w:val="24"/>
        </w:rPr>
        <w:t>：</w:t>
      </w:r>
      <w:r>
        <w:rPr>
          <w:rFonts w:hint="eastAsia" w:ascii="宋体" w:hAnsi="宋体"/>
          <w:bCs/>
          <w:color w:val="auto"/>
          <w:sz w:val="24"/>
          <w:u w:val="single"/>
        </w:rPr>
        <w:t xml:space="preserve">                             </w:t>
      </w:r>
      <w:r>
        <w:rPr>
          <w:rFonts w:hint="eastAsia" w:ascii="宋体" w:hAnsi="宋体"/>
          <w:bCs/>
          <w:color w:val="auto"/>
          <w:sz w:val="24"/>
        </w:rPr>
        <w:t xml:space="preserve">(电子签章) </w:t>
      </w:r>
    </w:p>
    <w:p w14:paraId="07618585">
      <w:pPr>
        <w:spacing w:line="480" w:lineRule="auto"/>
        <w:jc w:val="left"/>
        <w:rPr>
          <w:rFonts w:hint="eastAsia" w:ascii="宋体" w:hAnsi="宋体"/>
          <w:bCs/>
          <w:color w:val="auto"/>
          <w:sz w:val="24"/>
        </w:rPr>
      </w:pPr>
      <w:r>
        <w:rPr>
          <w:rFonts w:hint="eastAsia" w:ascii="宋体" w:hAnsi="宋体"/>
          <w:bCs/>
          <w:color w:val="auto"/>
          <w:sz w:val="24"/>
        </w:rPr>
        <w:t>法定代表人或其委托代理人：</w:t>
      </w:r>
      <w:r>
        <w:rPr>
          <w:rFonts w:hint="eastAsia" w:ascii="宋体" w:hAnsi="宋体"/>
          <w:bCs/>
          <w:color w:val="auto"/>
          <w:sz w:val="24"/>
          <w:u w:val="single"/>
        </w:rPr>
        <w:t xml:space="preserve">          </w:t>
      </w:r>
      <w:r>
        <w:rPr>
          <w:rFonts w:hint="eastAsia" w:ascii="宋体" w:hAnsi="宋体"/>
          <w:bCs/>
          <w:color w:val="auto"/>
          <w:sz w:val="24"/>
        </w:rPr>
        <w:t xml:space="preserve">(电子签章或签名) </w:t>
      </w:r>
    </w:p>
    <w:p w14:paraId="434BF8B6">
      <w:pPr>
        <w:spacing w:line="480" w:lineRule="auto"/>
        <w:jc w:val="left"/>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54913D33">
      <w:pPr>
        <w:pStyle w:val="4"/>
        <w:spacing w:before="0" w:line="240" w:lineRule="atLeast"/>
        <w:jc w:val="center"/>
        <w:rPr>
          <w:rFonts w:hint="eastAsia" w:ascii="宋体" w:hAnsi="宋体"/>
          <w:b/>
          <w:color w:val="auto"/>
          <w:sz w:val="28"/>
          <w:szCs w:val="28"/>
        </w:rPr>
      </w:pPr>
      <w:r>
        <w:rPr>
          <w:rFonts w:hint="eastAsia" w:ascii="宋体" w:hAnsi="宋体"/>
          <w:b/>
          <w:color w:val="auto"/>
          <w:sz w:val="28"/>
          <w:szCs w:val="28"/>
        </w:rPr>
        <w:br w:type="page"/>
      </w:r>
      <w:r>
        <w:rPr>
          <w:rFonts w:hint="eastAsia" w:asciiTheme="minorEastAsia" w:hAnsiTheme="minorEastAsia" w:eastAsiaTheme="minorEastAsia" w:cstheme="minorEastAsia"/>
          <w:color w:val="auto"/>
          <w:szCs w:val="28"/>
        </w:rPr>
        <w:t>附1：分项报价表</w:t>
      </w:r>
      <w:bookmarkEnd w:id="158"/>
      <w:bookmarkEnd w:id="159"/>
      <w:bookmarkEnd w:id="160"/>
    </w:p>
    <w:p w14:paraId="62E5BA9F">
      <w:pPr>
        <w:pStyle w:val="21"/>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项目名称：</w:t>
      </w:r>
      <w:r>
        <w:rPr>
          <w:rFonts w:hint="eastAsia" w:asciiTheme="minorEastAsia" w:hAnsiTheme="minorEastAsia" w:eastAsiaTheme="minorEastAsia" w:cstheme="minorEastAsia"/>
          <w:b/>
          <w:color w:val="auto"/>
          <w:sz w:val="24"/>
          <w:szCs w:val="24"/>
          <w:u w:val="single"/>
        </w:rPr>
        <w:t xml:space="preserve">                         </w:t>
      </w:r>
    </w:p>
    <w:p w14:paraId="22355196">
      <w:pPr>
        <w:adjustRightInd w:val="0"/>
        <w:snapToGrid w:val="0"/>
        <w:spacing w:line="360" w:lineRule="auto"/>
        <w:rPr>
          <w:rFonts w:hint="eastAsia" w:ascii="宋体" w:hAnsi="宋体"/>
          <w:color w:val="auto"/>
          <w:sz w:val="24"/>
        </w:rPr>
      </w:pPr>
      <w:r>
        <w:rPr>
          <w:rFonts w:hint="eastAsia" w:asciiTheme="minorEastAsia" w:hAnsiTheme="minorEastAsia" w:eastAsiaTheme="minorEastAsia" w:cstheme="minorEastAsia"/>
          <w:b/>
          <w:color w:val="auto"/>
          <w:sz w:val="24"/>
        </w:rPr>
        <w:t>项目编号：</w:t>
      </w:r>
      <w:r>
        <w:rPr>
          <w:rFonts w:hint="eastAsia" w:asciiTheme="minorEastAsia" w:hAnsiTheme="minorEastAsia" w:eastAsiaTheme="minorEastAsia" w:cstheme="minorEastAsia"/>
          <w:b/>
          <w:color w:val="auto"/>
          <w:sz w:val="24"/>
          <w:u w:val="single"/>
        </w:rPr>
        <w:t xml:space="preserve">                         </w:t>
      </w:r>
      <w:r>
        <w:rPr>
          <w:rFonts w:hint="eastAsia" w:asciiTheme="minorEastAsia" w:hAnsiTheme="minorEastAsia" w:eastAsiaTheme="minorEastAsia" w:cstheme="minorEastAsia"/>
          <w:b/>
          <w:color w:val="auto"/>
          <w:sz w:val="24"/>
        </w:rPr>
        <w:t xml:space="preserve">     </w:t>
      </w:r>
      <w:r>
        <w:rPr>
          <w:rFonts w:hint="eastAsia" w:asciiTheme="minorEastAsia" w:hAnsiTheme="minorEastAsia" w:eastAsiaTheme="minorEastAsia" w:cstheme="minorEastAsia"/>
          <w:bCs/>
          <w:color w:val="auto"/>
          <w:sz w:val="24"/>
        </w:rPr>
        <w:t xml:space="preserve">    </w:t>
      </w:r>
    </w:p>
    <w:tbl>
      <w:tblPr>
        <w:tblStyle w:val="41"/>
        <w:tblW w:w="10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59"/>
        <w:gridCol w:w="960"/>
        <w:gridCol w:w="810"/>
        <w:gridCol w:w="570"/>
        <w:gridCol w:w="495"/>
        <w:gridCol w:w="795"/>
        <w:gridCol w:w="780"/>
        <w:gridCol w:w="765"/>
        <w:gridCol w:w="825"/>
        <w:gridCol w:w="780"/>
        <w:gridCol w:w="765"/>
        <w:gridCol w:w="579"/>
        <w:gridCol w:w="574"/>
      </w:tblGrid>
      <w:tr w14:paraId="16B2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9" w:type="dxa"/>
            <w:vAlign w:val="center"/>
          </w:tcPr>
          <w:p w14:paraId="7287A994">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1559" w:type="dxa"/>
            <w:vAlign w:val="center"/>
          </w:tcPr>
          <w:p w14:paraId="5981748C">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货物名称</w:t>
            </w:r>
          </w:p>
        </w:tc>
        <w:tc>
          <w:tcPr>
            <w:tcW w:w="960" w:type="dxa"/>
            <w:vAlign w:val="center"/>
          </w:tcPr>
          <w:p w14:paraId="5660FA59">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规格</w:t>
            </w:r>
          </w:p>
          <w:p w14:paraId="462E1203">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型号</w:t>
            </w:r>
          </w:p>
        </w:tc>
        <w:tc>
          <w:tcPr>
            <w:tcW w:w="810" w:type="dxa"/>
            <w:vAlign w:val="center"/>
          </w:tcPr>
          <w:p w14:paraId="11E03EFE">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品牌</w:t>
            </w:r>
          </w:p>
        </w:tc>
        <w:tc>
          <w:tcPr>
            <w:tcW w:w="570" w:type="dxa"/>
            <w:vAlign w:val="center"/>
          </w:tcPr>
          <w:p w14:paraId="7075D38E">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数量</w:t>
            </w:r>
          </w:p>
        </w:tc>
        <w:tc>
          <w:tcPr>
            <w:tcW w:w="495" w:type="dxa"/>
            <w:vAlign w:val="center"/>
          </w:tcPr>
          <w:p w14:paraId="7341DFF3">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w:t>
            </w:r>
          </w:p>
        </w:tc>
        <w:tc>
          <w:tcPr>
            <w:tcW w:w="795" w:type="dxa"/>
            <w:vAlign w:val="center"/>
          </w:tcPr>
          <w:p w14:paraId="413966BD">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含税单价（元）</w:t>
            </w:r>
          </w:p>
        </w:tc>
        <w:tc>
          <w:tcPr>
            <w:tcW w:w="780" w:type="dxa"/>
            <w:vAlign w:val="center"/>
          </w:tcPr>
          <w:p w14:paraId="52272512">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含税总价（元）</w:t>
            </w:r>
          </w:p>
        </w:tc>
        <w:tc>
          <w:tcPr>
            <w:tcW w:w="765" w:type="dxa"/>
            <w:vAlign w:val="center"/>
          </w:tcPr>
          <w:p w14:paraId="42C5F729">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生产商名称</w:t>
            </w:r>
          </w:p>
        </w:tc>
        <w:tc>
          <w:tcPr>
            <w:tcW w:w="825" w:type="dxa"/>
            <w:vAlign w:val="center"/>
          </w:tcPr>
          <w:p w14:paraId="3FA7AEA5">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生产商规模</w:t>
            </w:r>
          </w:p>
        </w:tc>
        <w:tc>
          <w:tcPr>
            <w:tcW w:w="780" w:type="dxa"/>
            <w:vAlign w:val="center"/>
          </w:tcPr>
          <w:p w14:paraId="1EE3C61C">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生产商特殊属性</w:t>
            </w:r>
          </w:p>
        </w:tc>
        <w:tc>
          <w:tcPr>
            <w:tcW w:w="765" w:type="dxa"/>
            <w:vAlign w:val="center"/>
          </w:tcPr>
          <w:p w14:paraId="2333F5AB">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所属地</w:t>
            </w:r>
          </w:p>
        </w:tc>
        <w:tc>
          <w:tcPr>
            <w:tcW w:w="579" w:type="dxa"/>
            <w:vAlign w:val="center"/>
          </w:tcPr>
          <w:p w14:paraId="1B645E44">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产品属性</w:t>
            </w:r>
          </w:p>
        </w:tc>
        <w:tc>
          <w:tcPr>
            <w:tcW w:w="574" w:type="dxa"/>
            <w:vAlign w:val="center"/>
          </w:tcPr>
          <w:p w14:paraId="74811291">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是否为小微企业</w:t>
            </w:r>
          </w:p>
        </w:tc>
      </w:tr>
      <w:tr w14:paraId="4A44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9" w:type="dxa"/>
            <w:vAlign w:val="center"/>
          </w:tcPr>
          <w:p w14:paraId="0DB1F493">
            <w:pPr>
              <w:keepNext w:val="0"/>
              <w:keepLines w:val="0"/>
              <w:widowControl/>
              <w:suppressLineNumbers w:val="0"/>
              <w:jc w:val="center"/>
              <w:textAlignment w:val="center"/>
              <w:rPr>
                <w:rFonts w:hint="eastAsia" w:asciiTheme="minorEastAsia" w:hAnsiTheme="minorEastAsia" w:eastAsiaTheme="minorEastAsia" w:cstheme="minorEastAsia"/>
                <w:color w:val="auto"/>
                <w:sz w:val="24"/>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559" w:type="dxa"/>
            <w:vAlign w:val="center"/>
          </w:tcPr>
          <w:p w14:paraId="7F0071D5">
            <w:pPr>
              <w:keepNext w:val="0"/>
              <w:keepLines w:val="0"/>
              <w:widowControl/>
              <w:suppressLineNumbers w:val="0"/>
              <w:jc w:val="left"/>
              <w:textAlignment w:val="center"/>
              <w:rPr>
                <w:rFonts w:hint="eastAsia" w:asciiTheme="minorEastAsia" w:hAnsiTheme="minorEastAsia" w:eastAsiaTheme="minorEastAsia" w:cstheme="minorEastAsia"/>
                <w:color w:val="auto"/>
                <w:sz w:val="24"/>
              </w:rPr>
            </w:pPr>
          </w:p>
        </w:tc>
        <w:tc>
          <w:tcPr>
            <w:tcW w:w="960" w:type="dxa"/>
            <w:vAlign w:val="center"/>
          </w:tcPr>
          <w:p w14:paraId="4F1BEEB1">
            <w:pPr>
              <w:rPr>
                <w:rFonts w:hint="eastAsia" w:asciiTheme="minorEastAsia" w:hAnsiTheme="minorEastAsia" w:eastAsiaTheme="minorEastAsia" w:cstheme="minorEastAsia"/>
                <w:color w:val="auto"/>
                <w:sz w:val="24"/>
              </w:rPr>
            </w:pPr>
          </w:p>
        </w:tc>
        <w:tc>
          <w:tcPr>
            <w:tcW w:w="810" w:type="dxa"/>
            <w:vAlign w:val="center"/>
          </w:tcPr>
          <w:p w14:paraId="7DA0CEF1">
            <w:pPr>
              <w:rPr>
                <w:rFonts w:hint="eastAsia" w:asciiTheme="minorEastAsia" w:hAnsiTheme="minorEastAsia" w:eastAsiaTheme="minorEastAsia" w:cstheme="minorEastAsia"/>
                <w:color w:val="auto"/>
                <w:sz w:val="24"/>
              </w:rPr>
            </w:pPr>
          </w:p>
        </w:tc>
        <w:tc>
          <w:tcPr>
            <w:tcW w:w="570" w:type="dxa"/>
            <w:vAlign w:val="center"/>
          </w:tcPr>
          <w:p w14:paraId="05A4F79B">
            <w:pPr>
              <w:rPr>
                <w:rFonts w:hint="eastAsia" w:asciiTheme="minorEastAsia" w:hAnsiTheme="minorEastAsia" w:eastAsiaTheme="minorEastAsia" w:cstheme="minorEastAsia"/>
                <w:color w:val="auto"/>
                <w:sz w:val="24"/>
              </w:rPr>
            </w:pPr>
          </w:p>
        </w:tc>
        <w:tc>
          <w:tcPr>
            <w:tcW w:w="495" w:type="dxa"/>
            <w:vAlign w:val="center"/>
          </w:tcPr>
          <w:p w14:paraId="1D30012B">
            <w:pPr>
              <w:rPr>
                <w:rFonts w:hint="eastAsia" w:asciiTheme="minorEastAsia" w:hAnsiTheme="minorEastAsia" w:eastAsiaTheme="minorEastAsia" w:cstheme="minorEastAsia"/>
                <w:color w:val="auto"/>
                <w:sz w:val="24"/>
              </w:rPr>
            </w:pPr>
          </w:p>
        </w:tc>
        <w:tc>
          <w:tcPr>
            <w:tcW w:w="795" w:type="dxa"/>
            <w:vAlign w:val="center"/>
          </w:tcPr>
          <w:p w14:paraId="55A98DC9">
            <w:pPr>
              <w:rPr>
                <w:rFonts w:hint="eastAsia" w:asciiTheme="minorEastAsia" w:hAnsiTheme="minorEastAsia" w:eastAsiaTheme="minorEastAsia" w:cstheme="minorEastAsia"/>
                <w:color w:val="auto"/>
                <w:sz w:val="24"/>
              </w:rPr>
            </w:pPr>
          </w:p>
        </w:tc>
        <w:tc>
          <w:tcPr>
            <w:tcW w:w="780" w:type="dxa"/>
            <w:vAlign w:val="center"/>
          </w:tcPr>
          <w:p w14:paraId="64B13694">
            <w:pPr>
              <w:rPr>
                <w:rFonts w:hint="eastAsia" w:asciiTheme="minorEastAsia" w:hAnsiTheme="minorEastAsia" w:eastAsiaTheme="minorEastAsia" w:cstheme="minorEastAsia"/>
                <w:color w:val="auto"/>
                <w:sz w:val="24"/>
              </w:rPr>
            </w:pPr>
          </w:p>
        </w:tc>
        <w:tc>
          <w:tcPr>
            <w:tcW w:w="765" w:type="dxa"/>
            <w:vAlign w:val="center"/>
          </w:tcPr>
          <w:p w14:paraId="7D87AE71">
            <w:pPr>
              <w:rPr>
                <w:rFonts w:hint="eastAsia" w:asciiTheme="minorEastAsia" w:hAnsiTheme="minorEastAsia" w:eastAsiaTheme="minorEastAsia" w:cstheme="minorEastAsia"/>
                <w:color w:val="auto"/>
                <w:sz w:val="24"/>
              </w:rPr>
            </w:pPr>
          </w:p>
        </w:tc>
        <w:tc>
          <w:tcPr>
            <w:tcW w:w="825" w:type="dxa"/>
            <w:vAlign w:val="center"/>
          </w:tcPr>
          <w:p w14:paraId="593C2DB8">
            <w:pPr>
              <w:rPr>
                <w:rFonts w:hint="eastAsia" w:asciiTheme="minorEastAsia" w:hAnsiTheme="minorEastAsia" w:eastAsiaTheme="minorEastAsia" w:cstheme="minorEastAsia"/>
                <w:color w:val="auto"/>
                <w:sz w:val="24"/>
              </w:rPr>
            </w:pPr>
          </w:p>
        </w:tc>
        <w:tc>
          <w:tcPr>
            <w:tcW w:w="780" w:type="dxa"/>
            <w:vAlign w:val="center"/>
          </w:tcPr>
          <w:p w14:paraId="74B2D1AB">
            <w:pPr>
              <w:rPr>
                <w:rFonts w:hint="eastAsia" w:asciiTheme="minorEastAsia" w:hAnsiTheme="minorEastAsia" w:eastAsiaTheme="minorEastAsia" w:cstheme="minorEastAsia"/>
                <w:color w:val="auto"/>
                <w:sz w:val="24"/>
              </w:rPr>
            </w:pPr>
          </w:p>
        </w:tc>
        <w:tc>
          <w:tcPr>
            <w:tcW w:w="765" w:type="dxa"/>
            <w:vAlign w:val="center"/>
          </w:tcPr>
          <w:p w14:paraId="0B22878F">
            <w:pPr>
              <w:rPr>
                <w:rFonts w:hint="eastAsia" w:asciiTheme="minorEastAsia" w:hAnsiTheme="minorEastAsia" w:eastAsiaTheme="minorEastAsia" w:cstheme="minorEastAsia"/>
                <w:color w:val="auto"/>
                <w:sz w:val="24"/>
              </w:rPr>
            </w:pPr>
          </w:p>
        </w:tc>
        <w:tc>
          <w:tcPr>
            <w:tcW w:w="579" w:type="dxa"/>
            <w:vAlign w:val="center"/>
          </w:tcPr>
          <w:p w14:paraId="46B724EF">
            <w:pPr>
              <w:rPr>
                <w:rFonts w:hint="eastAsia" w:asciiTheme="minorEastAsia" w:hAnsiTheme="minorEastAsia" w:eastAsiaTheme="minorEastAsia" w:cstheme="minorEastAsia"/>
                <w:color w:val="auto"/>
                <w:sz w:val="24"/>
              </w:rPr>
            </w:pPr>
          </w:p>
        </w:tc>
        <w:tc>
          <w:tcPr>
            <w:tcW w:w="574" w:type="dxa"/>
            <w:vAlign w:val="center"/>
          </w:tcPr>
          <w:p w14:paraId="7B10B033">
            <w:pPr>
              <w:rPr>
                <w:rFonts w:hint="eastAsia" w:asciiTheme="minorEastAsia" w:hAnsiTheme="minorEastAsia" w:eastAsiaTheme="minorEastAsia" w:cstheme="minorEastAsia"/>
                <w:color w:val="auto"/>
                <w:sz w:val="24"/>
              </w:rPr>
            </w:pPr>
          </w:p>
        </w:tc>
      </w:tr>
      <w:tr w14:paraId="16C4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9" w:type="dxa"/>
            <w:vAlign w:val="center"/>
          </w:tcPr>
          <w:p w14:paraId="427DED87">
            <w:pPr>
              <w:keepNext w:val="0"/>
              <w:keepLines w:val="0"/>
              <w:widowControl/>
              <w:suppressLineNumbers w:val="0"/>
              <w:jc w:val="center"/>
              <w:textAlignment w:val="center"/>
              <w:rPr>
                <w:rFonts w:hint="eastAsia" w:asciiTheme="minorEastAsia" w:hAnsiTheme="minorEastAsia" w:eastAsiaTheme="minorEastAsia" w:cstheme="minorEastAsia"/>
                <w:color w:val="auto"/>
                <w:sz w:val="24"/>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1559" w:type="dxa"/>
            <w:vAlign w:val="center"/>
          </w:tcPr>
          <w:p w14:paraId="740E2DA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960" w:type="dxa"/>
            <w:vAlign w:val="center"/>
          </w:tcPr>
          <w:p w14:paraId="5EFA6929">
            <w:pPr>
              <w:rPr>
                <w:rFonts w:hint="eastAsia" w:asciiTheme="minorEastAsia" w:hAnsiTheme="minorEastAsia" w:eastAsiaTheme="minorEastAsia" w:cstheme="minorEastAsia"/>
                <w:color w:val="auto"/>
                <w:sz w:val="24"/>
              </w:rPr>
            </w:pPr>
          </w:p>
        </w:tc>
        <w:tc>
          <w:tcPr>
            <w:tcW w:w="810" w:type="dxa"/>
            <w:vAlign w:val="center"/>
          </w:tcPr>
          <w:p w14:paraId="47A12FB9">
            <w:pPr>
              <w:rPr>
                <w:rFonts w:hint="eastAsia" w:asciiTheme="minorEastAsia" w:hAnsiTheme="minorEastAsia" w:eastAsiaTheme="minorEastAsia" w:cstheme="minorEastAsia"/>
                <w:color w:val="auto"/>
                <w:sz w:val="24"/>
              </w:rPr>
            </w:pPr>
          </w:p>
        </w:tc>
        <w:tc>
          <w:tcPr>
            <w:tcW w:w="570" w:type="dxa"/>
            <w:vAlign w:val="center"/>
          </w:tcPr>
          <w:p w14:paraId="1C48EAF8">
            <w:pPr>
              <w:rPr>
                <w:rFonts w:hint="eastAsia" w:asciiTheme="minorEastAsia" w:hAnsiTheme="minorEastAsia" w:eastAsiaTheme="minorEastAsia" w:cstheme="minorEastAsia"/>
                <w:color w:val="auto"/>
                <w:sz w:val="24"/>
              </w:rPr>
            </w:pPr>
          </w:p>
        </w:tc>
        <w:tc>
          <w:tcPr>
            <w:tcW w:w="495" w:type="dxa"/>
            <w:vAlign w:val="center"/>
          </w:tcPr>
          <w:p w14:paraId="0DB0A048">
            <w:pPr>
              <w:rPr>
                <w:rFonts w:hint="eastAsia" w:asciiTheme="minorEastAsia" w:hAnsiTheme="minorEastAsia" w:eastAsiaTheme="minorEastAsia" w:cstheme="minorEastAsia"/>
                <w:color w:val="auto"/>
                <w:sz w:val="24"/>
              </w:rPr>
            </w:pPr>
          </w:p>
        </w:tc>
        <w:tc>
          <w:tcPr>
            <w:tcW w:w="795" w:type="dxa"/>
            <w:vAlign w:val="center"/>
          </w:tcPr>
          <w:p w14:paraId="4C0195FD">
            <w:pPr>
              <w:rPr>
                <w:rFonts w:hint="eastAsia" w:asciiTheme="minorEastAsia" w:hAnsiTheme="minorEastAsia" w:eastAsiaTheme="minorEastAsia" w:cstheme="minorEastAsia"/>
                <w:color w:val="auto"/>
                <w:sz w:val="24"/>
              </w:rPr>
            </w:pPr>
          </w:p>
        </w:tc>
        <w:tc>
          <w:tcPr>
            <w:tcW w:w="780" w:type="dxa"/>
            <w:vAlign w:val="center"/>
          </w:tcPr>
          <w:p w14:paraId="73E3EEB6">
            <w:pPr>
              <w:rPr>
                <w:rFonts w:hint="eastAsia" w:asciiTheme="minorEastAsia" w:hAnsiTheme="minorEastAsia" w:eastAsiaTheme="minorEastAsia" w:cstheme="minorEastAsia"/>
                <w:color w:val="auto"/>
                <w:sz w:val="24"/>
              </w:rPr>
            </w:pPr>
          </w:p>
        </w:tc>
        <w:tc>
          <w:tcPr>
            <w:tcW w:w="765" w:type="dxa"/>
            <w:vAlign w:val="center"/>
          </w:tcPr>
          <w:p w14:paraId="0A49BA3A">
            <w:pPr>
              <w:rPr>
                <w:rFonts w:hint="eastAsia" w:asciiTheme="minorEastAsia" w:hAnsiTheme="minorEastAsia" w:eastAsiaTheme="minorEastAsia" w:cstheme="minorEastAsia"/>
                <w:color w:val="auto"/>
                <w:sz w:val="24"/>
              </w:rPr>
            </w:pPr>
          </w:p>
        </w:tc>
        <w:tc>
          <w:tcPr>
            <w:tcW w:w="825" w:type="dxa"/>
            <w:vAlign w:val="center"/>
          </w:tcPr>
          <w:p w14:paraId="4979EB28">
            <w:pPr>
              <w:rPr>
                <w:rFonts w:hint="eastAsia" w:asciiTheme="minorEastAsia" w:hAnsiTheme="minorEastAsia" w:eastAsiaTheme="minorEastAsia" w:cstheme="minorEastAsia"/>
                <w:color w:val="auto"/>
                <w:sz w:val="24"/>
              </w:rPr>
            </w:pPr>
          </w:p>
        </w:tc>
        <w:tc>
          <w:tcPr>
            <w:tcW w:w="780" w:type="dxa"/>
            <w:vAlign w:val="center"/>
          </w:tcPr>
          <w:p w14:paraId="653F3E30">
            <w:pPr>
              <w:rPr>
                <w:rFonts w:hint="eastAsia" w:asciiTheme="minorEastAsia" w:hAnsiTheme="minorEastAsia" w:eastAsiaTheme="minorEastAsia" w:cstheme="minorEastAsia"/>
                <w:color w:val="auto"/>
                <w:sz w:val="24"/>
              </w:rPr>
            </w:pPr>
          </w:p>
        </w:tc>
        <w:tc>
          <w:tcPr>
            <w:tcW w:w="765" w:type="dxa"/>
            <w:vAlign w:val="center"/>
          </w:tcPr>
          <w:p w14:paraId="46419D6A">
            <w:pPr>
              <w:rPr>
                <w:rFonts w:hint="eastAsia" w:asciiTheme="minorEastAsia" w:hAnsiTheme="minorEastAsia" w:eastAsiaTheme="minorEastAsia" w:cstheme="minorEastAsia"/>
                <w:color w:val="auto"/>
                <w:sz w:val="24"/>
              </w:rPr>
            </w:pPr>
          </w:p>
        </w:tc>
        <w:tc>
          <w:tcPr>
            <w:tcW w:w="579" w:type="dxa"/>
            <w:vAlign w:val="center"/>
          </w:tcPr>
          <w:p w14:paraId="5E40CD83">
            <w:pPr>
              <w:rPr>
                <w:rFonts w:hint="eastAsia" w:asciiTheme="minorEastAsia" w:hAnsiTheme="minorEastAsia" w:eastAsiaTheme="minorEastAsia" w:cstheme="minorEastAsia"/>
                <w:color w:val="auto"/>
                <w:sz w:val="24"/>
              </w:rPr>
            </w:pPr>
          </w:p>
        </w:tc>
        <w:tc>
          <w:tcPr>
            <w:tcW w:w="574" w:type="dxa"/>
            <w:vAlign w:val="center"/>
          </w:tcPr>
          <w:p w14:paraId="77190AE8">
            <w:pPr>
              <w:rPr>
                <w:rFonts w:hint="eastAsia" w:asciiTheme="minorEastAsia" w:hAnsiTheme="minorEastAsia" w:eastAsiaTheme="minorEastAsia" w:cstheme="minorEastAsia"/>
                <w:color w:val="auto"/>
                <w:sz w:val="24"/>
              </w:rPr>
            </w:pPr>
          </w:p>
        </w:tc>
      </w:tr>
      <w:tr w14:paraId="1988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9" w:type="dxa"/>
            <w:vAlign w:val="center"/>
          </w:tcPr>
          <w:p w14:paraId="0377C498">
            <w:pPr>
              <w:keepNext w:val="0"/>
              <w:keepLines w:val="0"/>
              <w:widowControl/>
              <w:suppressLineNumbers w:val="0"/>
              <w:jc w:val="center"/>
              <w:textAlignment w:val="center"/>
              <w:rPr>
                <w:rFonts w:hint="eastAsia" w:asciiTheme="minorEastAsia" w:hAnsiTheme="minorEastAsia" w:eastAsiaTheme="minorEastAsia" w:cstheme="minorEastAsia"/>
                <w:color w:val="auto"/>
                <w:sz w:val="24"/>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1559" w:type="dxa"/>
            <w:vAlign w:val="center"/>
          </w:tcPr>
          <w:p w14:paraId="24BDAE5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960" w:type="dxa"/>
            <w:vAlign w:val="center"/>
          </w:tcPr>
          <w:p w14:paraId="1BD554FC">
            <w:pPr>
              <w:rPr>
                <w:rFonts w:hint="eastAsia" w:asciiTheme="minorEastAsia" w:hAnsiTheme="minorEastAsia" w:eastAsiaTheme="minorEastAsia" w:cstheme="minorEastAsia"/>
                <w:color w:val="auto"/>
                <w:sz w:val="24"/>
              </w:rPr>
            </w:pPr>
          </w:p>
        </w:tc>
        <w:tc>
          <w:tcPr>
            <w:tcW w:w="810" w:type="dxa"/>
            <w:vAlign w:val="center"/>
          </w:tcPr>
          <w:p w14:paraId="622A0F2D">
            <w:pPr>
              <w:rPr>
                <w:rFonts w:hint="eastAsia" w:asciiTheme="minorEastAsia" w:hAnsiTheme="minorEastAsia" w:eastAsiaTheme="minorEastAsia" w:cstheme="minorEastAsia"/>
                <w:color w:val="auto"/>
                <w:sz w:val="24"/>
              </w:rPr>
            </w:pPr>
          </w:p>
        </w:tc>
        <w:tc>
          <w:tcPr>
            <w:tcW w:w="570" w:type="dxa"/>
            <w:vAlign w:val="center"/>
          </w:tcPr>
          <w:p w14:paraId="2EFADDF4">
            <w:pPr>
              <w:rPr>
                <w:rFonts w:hint="eastAsia" w:asciiTheme="minorEastAsia" w:hAnsiTheme="minorEastAsia" w:eastAsiaTheme="minorEastAsia" w:cstheme="minorEastAsia"/>
                <w:color w:val="auto"/>
                <w:sz w:val="24"/>
              </w:rPr>
            </w:pPr>
          </w:p>
        </w:tc>
        <w:tc>
          <w:tcPr>
            <w:tcW w:w="495" w:type="dxa"/>
            <w:vAlign w:val="center"/>
          </w:tcPr>
          <w:p w14:paraId="02952411">
            <w:pPr>
              <w:rPr>
                <w:rFonts w:hint="eastAsia" w:asciiTheme="minorEastAsia" w:hAnsiTheme="minorEastAsia" w:eastAsiaTheme="minorEastAsia" w:cstheme="minorEastAsia"/>
                <w:color w:val="auto"/>
                <w:sz w:val="24"/>
              </w:rPr>
            </w:pPr>
          </w:p>
        </w:tc>
        <w:tc>
          <w:tcPr>
            <w:tcW w:w="795" w:type="dxa"/>
            <w:vAlign w:val="center"/>
          </w:tcPr>
          <w:p w14:paraId="2E95572D">
            <w:pPr>
              <w:rPr>
                <w:rFonts w:hint="eastAsia" w:asciiTheme="minorEastAsia" w:hAnsiTheme="minorEastAsia" w:eastAsiaTheme="minorEastAsia" w:cstheme="minorEastAsia"/>
                <w:color w:val="auto"/>
                <w:sz w:val="24"/>
              </w:rPr>
            </w:pPr>
          </w:p>
        </w:tc>
        <w:tc>
          <w:tcPr>
            <w:tcW w:w="780" w:type="dxa"/>
            <w:vAlign w:val="center"/>
          </w:tcPr>
          <w:p w14:paraId="323E1944">
            <w:pPr>
              <w:rPr>
                <w:rFonts w:hint="eastAsia" w:asciiTheme="minorEastAsia" w:hAnsiTheme="minorEastAsia" w:eastAsiaTheme="minorEastAsia" w:cstheme="minorEastAsia"/>
                <w:color w:val="auto"/>
                <w:sz w:val="24"/>
              </w:rPr>
            </w:pPr>
          </w:p>
        </w:tc>
        <w:tc>
          <w:tcPr>
            <w:tcW w:w="765" w:type="dxa"/>
            <w:vAlign w:val="center"/>
          </w:tcPr>
          <w:p w14:paraId="135C0DDD">
            <w:pPr>
              <w:rPr>
                <w:rFonts w:hint="eastAsia" w:asciiTheme="minorEastAsia" w:hAnsiTheme="minorEastAsia" w:eastAsiaTheme="minorEastAsia" w:cstheme="minorEastAsia"/>
                <w:color w:val="auto"/>
                <w:sz w:val="24"/>
              </w:rPr>
            </w:pPr>
          </w:p>
        </w:tc>
        <w:tc>
          <w:tcPr>
            <w:tcW w:w="825" w:type="dxa"/>
            <w:vAlign w:val="center"/>
          </w:tcPr>
          <w:p w14:paraId="4D8C87B0">
            <w:pPr>
              <w:rPr>
                <w:rFonts w:hint="eastAsia" w:asciiTheme="minorEastAsia" w:hAnsiTheme="minorEastAsia" w:eastAsiaTheme="minorEastAsia" w:cstheme="minorEastAsia"/>
                <w:color w:val="auto"/>
                <w:sz w:val="24"/>
              </w:rPr>
            </w:pPr>
          </w:p>
        </w:tc>
        <w:tc>
          <w:tcPr>
            <w:tcW w:w="780" w:type="dxa"/>
            <w:vAlign w:val="center"/>
          </w:tcPr>
          <w:p w14:paraId="233E51D1">
            <w:pPr>
              <w:rPr>
                <w:rFonts w:hint="eastAsia" w:asciiTheme="minorEastAsia" w:hAnsiTheme="minorEastAsia" w:eastAsiaTheme="minorEastAsia" w:cstheme="minorEastAsia"/>
                <w:color w:val="auto"/>
                <w:sz w:val="24"/>
              </w:rPr>
            </w:pPr>
          </w:p>
        </w:tc>
        <w:tc>
          <w:tcPr>
            <w:tcW w:w="765" w:type="dxa"/>
            <w:vAlign w:val="center"/>
          </w:tcPr>
          <w:p w14:paraId="28D58177">
            <w:pPr>
              <w:rPr>
                <w:rFonts w:hint="eastAsia" w:asciiTheme="minorEastAsia" w:hAnsiTheme="minorEastAsia" w:eastAsiaTheme="minorEastAsia" w:cstheme="minorEastAsia"/>
                <w:color w:val="auto"/>
                <w:sz w:val="24"/>
              </w:rPr>
            </w:pPr>
          </w:p>
        </w:tc>
        <w:tc>
          <w:tcPr>
            <w:tcW w:w="579" w:type="dxa"/>
            <w:vAlign w:val="center"/>
          </w:tcPr>
          <w:p w14:paraId="21D47119">
            <w:pPr>
              <w:rPr>
                <w:rFonts w:hint="eastAsia" w:asciiTheme="minorEastAsia" w:hAnsiTheme="minorEastAsia" w:eastAsiaTheme="minorEastAsia" w:cstheme="minorEastAsia"/>
                <w:color w:val="auto"/>
                <w:sz w:val="24"/>
              </w:rPr>
            </w:pPr>
          </w:p>
        </w:tc>
        <w:tc>
          <w:tcPr>
            <w:tcW w:w="574" w:type="dxa"/>
            <w:vAlign w:val="center"/>
          </w:tcPr>
          <w:p w14:paraId="6E038EC4">
            <w:pPr>
              <w:rPr>
                <w:rFonts w:hint="eastAsia" w:asciiTheme="minorEastAsia" w:hAnsiTheme="minorEastAsia" w:eastAsiaTheme="minorEastAsia" w:cstheme="minorEastAsia"/>
                <w:color w:val="auto"/>
                <w:sz w:val="24"/>
              </w:rPr>
            </w:pPr>
          </w:p>
        </w:tc>
      </w:tr>
      <w:tr w14:paraId="3D48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9" w:type="dxa"/>
            <w:vAlign w:val="center"/>
          </w:tcPr>
          <w:p w14:paraId="1385B996">
            <w:pPr>
              <w:keepNext w:val="0"/>
              <w:keepLines w:val="0"/>
              <w:widowControl/>
              <w:suppressLineNumbers w:val="0"/>
              <w:jc w:val="center"/>
              <w:textAlignment w:val="center"/>
              <w:rPr>
                <w:rFonts w:hint="eastAsia" w:asciiTheme="minorEastAsia" w:hAnsiTheme="minorEastAsia" w:eastAsiaTheme="minorEastAsia" w:cstheme="minorEastAsia"/>
                <w:color w:val="auto"/>
                <w:sz w:val="24"/>
                <w:lang w:val="en-US" w:eastAsia="zh-CN"/>
              </w:rPr>
            </w:pPr>
            <w:r>
              <w:rPr>
                <w:rFonts w:hint="eastAsia" w:ascii="宋体" w:hAnsi="宋体" w:cs="宋体"/>
                <w:i w:val="0"/>
                <w:iCs w:val="0"/>
                <w:color w:val="auto"/>
                <w:kern w:val="0"/>
                <w:sz w:val="24"/>
                <w:szCs w:val="24"/>
                <w:u w:val="none"/>
                <w:lang w:val="en-US" w:eastAsia="zh-CN" w:bidi="ar"/>
              </w:rPr>
              <w:t>4</w:t>
            </w:r>
          </w:p>
        </w:tc>
        <w:tc>
          <w:tcPr>
            <w:tcW w:w="1559" w:type="dxa"/>
            <w:vAlign w:val="center"/>
          </w:tcPr>
          <w:p w14:paraId="0C2D65D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960" w:type="dxa"/>
            <w:vAlign w:val="center"/>
          </w:tcPr>
          <w:p w14:paraId="44A7D0DA">
            <w:pPr>
              <w:rPr>
                <w:rFonts w:hint="eastAsia" w:asciiTheme="minorEastAsia" w:hAnsiTheme="minorEastAsia" w:eastAsiaTheme="minorEastAsia" w:cstheme="minorEastAsia"/>
                <w:color w:val="auto"/>
                <w:sz w:val="24"/>
              </w:rPr>
            </w:pPr>
          </w:p>
        </w:tc>
        <w:tc>
          <w:tcPr>
            <w:tcW w:w="810" w:type="dxa"/>
            <w:vAlign w:val="center"/>
          </w:tcPr>
          <w:p w14:paraId="7504116F">
            <w:pPr>
              <w:rPr>
                <w:rFonts w:hint="eastAsia" w:asciiTheme="minorEastAsia" w:hAnsiTheme="minorEastAsia" w:eastAsiaTheme="minorEastAsia" w:cstheme="minorEastAsia"/>
                <w:color w:val="auto"/>
                <w:sz w:val="24"/>
              </w:rPr>
            </w:pPr>
          </w:p>
        </w:tc>
        <w:tc>
          <w:tcPr>
            <w:tcW w:w="570" w:type="dxa"/>
            <w:vAlign w:val="center"/>
          </w:tcPr>
          <w:p w14:paraId="7C86D98F">
            <w:pPr>
              <w:rPr>
                <w:rFonts w:hint="eastAsia" w:asciiTheme="minorEastAsia" w:hAnsiTheme="minorEastAsia" w:eastAsiaTheme="minorEastAsia" w:cstheme="minorEastAsia"/>
                <w:color w:val="auto"/>
                <w:sz w:val="24"/>
              </w:rPr>
            </w:pPr>
          </w:p>
        </w:tc>
        <w:tc>
          <w:tcPr>
            <w:tcW w:w="495" w:type="dxa"/>
            <w:vAlign w:val="center"/>
          </w:tcPr>
          <w:p w14:paraId="381DD226">
            <w:pPr>
              <w:rPr>
                <w:rFonts w:hint="eastAsia" w:asciiTheme="minorEastAsia" w:hAnsiTheme="minorEastAsia" w:eastAsiaTheme="minorEastAsia" w:cstheme="minorEastAsia"/>
                <w:color w:val="auto"/>
                <w:sz w:val="24"/>
              </w:rPr>
            </w:pPr>
          </w:p>
        </w:tc>
        <w:tc>
          <w:tcPr>
            <w:tcW w:w="795" w:type="dxa"/>
            <w:vAlign w:val="center"/>
          </w:tcPr>
          <w:p w14:paraId="6B13DB56">
            <w:pPr>
              <w:rPr>
                <w:rFonts w:hint="eastAsia" w:asciiTheme="minorEastAsia" w:hAnsiTheme="minorEastAsia" w:eastAsiaTheme="minorEastAsia" w:cstheme="minorEastAsia"/>
                <w:color w:val="auto"/>
                <w:sz w:val="24"/>
              </w:rPr>
            </w:pPr>
          </w:p>
        </w:tc>
        <w:tc>
          <w:tcPr>
            <w:tcW w:w="780" w:type="dxa"/>
            <w:vAlign w:val="center"/>
          </w:tcPr>
          <w:p w14:paraId="73D262C8">
            <w:pPr>
              <w:rPr>
                <w:rFonts w:hint="eastAsia" w:asciiTheme="minorEastAsia" w:hAnsiTheme="minorEastAsia" w:eastAsiaTheme="minorEastAsia" w:cstheme="minorEastAsia"/>
                <w:color w:val="auto"/>
                <w:sz w:val="24"/>
              </w:rPr>
            </w:pPr>
          </w:p>
        </w:tc>
        <w:tc>
          <w:tcPr>
            <w:tcW w:w="765" w:type="dxa"/>
            <w:vAlign w:val="center"/>
          </w:tcPr>
          <w:p w14:paraId="69248C43">
            <w:pPr>
              <w:rPr>
                <w:rFonts w:hint="eastAsia" w:asciiTheme="minorEastAsia" w:hAnsiTheme="minorEastAsia" w:eastAsiaTheme="minorEastAsia" w:cstheme="minorEastAsia"/>
                <w:color w:val="auto"/>
                <w:sz w:val="24"/>
              </w:rPr>
            </w:pPr>
          </w:p>
        </w:tc>
        <w:tc>
          <w:tcPr>
            <w:tcW w:w="825" w:type="dxa"/>
            <w:vAlign w:val="center"/>
          </w:tcPr>
          <w:p w14:paraId="3A25DF0D">
            <w:pPr>
              <w:rPr>
                <w:rFonts w:hint="eastAsia" w:asciiTheme="minorEastAsia" w:hAnsiTheme="minorEastAsia" w:eastAsiaTheme="minorEastAsia" w:cstheme="minorEastAsia"/>
                <w:color w:val="auto"/>
                <w:sz w:val="24"/>
              </w:rPr>
            </w:pPr>
          </w:p>
        </w:tc>
        <w:tc>
          <w:tcPr>
            <w:tcW w:w="780" w:type="dxa"/>
            <w:vAlign w:val="center"/>
          </w:tcPr>
          <w:p w14:paraId="59EAC119">
            <w:pPr>
              <w:rPr>
                <w:rFonts w:hint="eastAsia" w:asciiTheme="minorEastAsia" w:hAnsiTheme="minorEastAsia" w:eastAsiaTheme="minorEastAsia" w:cstheme="minorEastAsia"/>
                <w:color w:val="auto"/>
                <w:sz w:val="24"/>
              </w:rPr>
            </w:pPr>
          </w:p>
        </w:tc>
        <w:tc>
          <w:tcPr>
            <w:tcW w:w="765" w:type="dxa"/>
            <w:vAlign w:val="center"/>
          </w:tcPr>
          <w:p w14:paraId="1DFED1F2">
            <w:pPr>
              <w:rPr>
                <w:rFonts w:hint="eastAsia" w:asciiTheme="minorEastAsia" w:hAnsiTheme="minorEastAsia" w:eastAsiaTheme="minorEastAsia" w:cstheme="minorEastAsia"/>
                <w:color w:val="auto"/>
                <w:sz w:val="24"/>
              </w:rPr>
            </w:pPr>
          </w:p>
        </w:tc>
        <w:tc>
          <w:tcPr>
            <w:tcW w:w="579" w:type="dxa"/>
            <w:vAlign w:val="center"/>
          </w:tcPr>
          <w:p w14:paraId="53C9000A">
            <w:pPr>
              <w:rPr>
                <w:rFonts w:hint="eastAsia" w:asciiTheme="minorEastAsia" w:hAnsiTheme="minorEastAsia" w:eastAsiaTheme="minorEastAsia" w:cstheme="minorEastAsia"/>
                <w:color w:val="auto"/>
                <w:sz w:val="24"/>
              </w:rPr>
            </w:pPr>
          </w:p>
        </w:tc>
        <w:tc>
          <w:tcPr>
            <w:tcW w:w="574" w:type="dxa"/>
            <w:vAlign w:val="center"/>
          </w:tcPr>
          <w:p w14:paraId="61135247">
            <w:pPr>
              <w:rPr>
                <w:rFonts w:hint="eastAsia" w:asciiTheme="minorEastAsia" w:hAnsiTheme="minorEastAsia" w:eastAsiaTheme="minorEastAsia" w:cstheme="minorEastAsia"/>
                <w:color w:val="auto"/>
                <w:sz w:val="24"/>
              </w:rPr>
            </w:pPr>
          </w:p>
        </w:tc>
      </w:tr>
      <w:tr w14:paraId="35D3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9" w:type="dxa"/>
            <w:vAlign w:val="center"/>
          </w:tcPr>
          <w:p w14:paraId="6362B7A7">
            <w:pPr>
              <w:keepNext w:val="0"/>
              <w:keepLines w:val="0"/>
              <w:widowControl/>
              <w:suppressLineNumbers w:val="0"/>
              <w:jc w:val="center"/>
              <w:textAlignment w:val="center"/>
              <w:rPr>
                <w:rFonts w:hint="default" w:asciiTheme="minorEastAsia" w:hAnsiTheme="minorEastAsia" w:eastAsiaTheme="minorEastAsia" w:cstheme="minorEastAsia"/>
                <w:color w:val="auto"/>
                <w:sz w:val="24"/>
                <w:lang w:val="en-US" w:eastAsia="zh-CN"/>
              </w:rPr>
            </w:pPr>
            <w:r>
              <w:rPr>
                <w:rFonts w:hint="eastAsia" w:ascii="宋体" w:hAnsi="宋体" w:cs="宋体"/>
                <w:i w:val="0"/>
                <w:iCs w:val="0"/>
                <w:color w:val="auto"/>
                <w:kern w:val="0"/>
                <w:sz w:val="24"/>
                <w:szCs w:val="24"/>
                <w:u w:val="none"/>
                <w:lang w:val="en-US" w:eastAsia="zh-CN" w:bidi="ar"/>
              </w:rPr>
              <w:t>5</w:t>
            </w:r>
          </w:p>
        </w:tc>
        <w:tc>
          <w:tcPr>
            <w:tcW w:w="1559" w:type="dxa"/>
            <w:vAlign w:val="center"/>
          </w:tcPr>
          <w:p w14:paraId="039C0CD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960" w:type="dxa"/>
            <w:vAlign w:val="center"/>
          </w:tcPr>
          <w:p w14:paraId="419FBCC2">
            <w:pPr>
              <w:rPr>
                <w:rFonts w:hint="eastAsia" w:asciiTheme="minorEastAsia" w:hAnsiTheme="minorEastAsia" w:eastAsiaTheme="minorEastAsia" w:cstheme="minorEastAsia"/>
                <w:color w:val="auto"/>
                <w:sz w:val="24"/>
              </w:rPr>
            </w:pPr>
          </w:p>
        </w:tc>
        <w:tc>
          <w:tcPr>
            <w:tcW w:w="810" w:type="dxa"/>
            <w:vAlign w:val="center"/>
          </w:tcPr>
          <w:p w14:paraId="7041ECF8">
            <w:pPr>
              <w:rPr>
                <w:rFonts w:hint="eastAsia" w:asciiTheme="minorEastAsia" w:hAnsiTheme="minorEastAsia" w:eastAsiaTheme="minorEastAsia" w:cstheme="minorEastAsia"/>
                <w:color w:val="auto"/>
                <w:sz w:val="24"/>
              </w:rPr>
            </w:pPr>
          </w:p>
        </w:tc>
        <w:tc>
          <w:tcPr>
            <w:tcW w:w="570" w:type="dxa"/>
            <w:vAlign w:val="center"/>
          </w:tcPr>
          <w:p w14:paraId="1C2E62FB">
            <w:pPr>
              <w:rPr>
                <w:rFonts w:hint="eastAsia" w:asciiTheme="minorEastAsia" w:hAnsiTheme="minorEastAsia" w:eastAsiaTheme="minorEastAsia" w:cstheme="minorEastAsia"/>
                <w:color w:val="auto"/>
                <w:sz w:val="24"/>
              </w:rPr>
            </w:pPr>
          </w:p>
        </w:tc>
        <w:tc>
          <w:tcPr>
            <w:tcW w:w="495" w:type="dxa"/>
            <w:vAlign w:val="center"/>
          </w:tcPr>
          <w:p w14:paraId="6E782D40">
            <w:pPr>
              <w:rPr>
                <w:rFonts w:hint="eastAsia" w:asciiTheme="minorEastAsia" w:hAnsiTheme="minorEastAsia" w:eastAsiaTheme="minorEastAsia" w:cstheme="minorEastAsia"/>
                <w:color w:val="auto"/>
                <w:sz w:val="24"/>
              </w:rPr>
            </w:pPr>
          </w:p>
        </w:tc>
        <w:tc>
          <w:tcPr>
            <w:tcW w:w="795" w:type="dxa"/>
            <w:vAlign w:val="center"/>
          </w:tcPr>
          <w:p w14:paraId="486E1C2F">
            <w:pPr>
              <w:rPr>
                <w:rFonts w:hint="eastAsia" w:asciiTheme="minorEastAsia" w:hAnsiTheme="minorEastAsia" w:eastAsiaTheme="minorEastAsia" w:cstheme="minorEastAsia"/>
                <w:color w:val="auto"/>
                <w:sz w:val="24"/>
              </w:rPr>
            </w:pPr>
          </w:p>
        </w:tc>
        <w:tc>
          <w:tcPr>
            <w:tcW w:w="780" w:type="dxa"/>
            <w:vAlign w:val="center"/>
          </w:tcPr>
          <w:p w14:paraId="0A1C0503">
            <w:pPr>
              <w:rPr>
                <w:rFonts w:hint="eastAsia" w:asciiTheme="minorEastAsia" w:hAnsiTheme="minorEastAsia" w:eastAsiaTheme="minorEastAsia" w:cstheme="minorEastAsia"/>
                <w:color w:val="auto"/>
                <w:sz w:val="24"/>
              </w:rPr>
            </w:pPr>
          </w:p>
        </w:tc>
        <w:tc>
          <w:tcPr>
            <w:tcW w:w="765" w:type="dxa"/>
            <w:vAlign w:val="center"/>
          </w:tcPr>
          <w:p w14:paraId="1FB3B66E">
            <w:pPr>
              <w:rPr>
                <w:rFonts w:hint="eastAsia" w:asciiTheme="minorEastAsia" w:hAnsiTheme="minorEastAsia" w:eastAsiaTheme="minorEastAsia" w:cstheme="minorEastAsia"/>
                <w:color w:val="auto"/>
                <w:sz w:val="24"/>
              </w:rPr>
            </w:pPr>
          </w:p>
        </w:tc>
        <w:tc>
          <w:tcPr>
            <w:tcW w:w="825" w:type="dxa"/>
            <w:vAlign w:val="center"/>
          </w:tcPr>
          <w:p w14:paraId="1A499BBD">
            <w:pPr>
              <w:rPr>
                <w:rFonts w:hint="eastAsia" w:asciiTheme="minorEastAsia" w:hAnsiTheme="minorEastAsia" w:eastAsiaTheme="minorEastAsia" w:cstheme="minorEastAsia"/>
                <w:color w:val="auto"/>
                <w:sz w:val="24"/>
              </w:rPr>
            </w:pPr>
          </w:p>
        </w:tc>
        <w:tc>
          <w:tcPr>
            <w:tcW w:w="780" w:type="dxa"/>
            <w:vAlign w:val="center"/>
          </w:tcPr>
          <w:p w14:paraId="59FEF409">
            <w:pPr>
              <w:rPr>
                <w:rFonts w:hint="eastAsia" w:asciiTheme="minorEastAsia" w:hAnsiTheme="minorEastAsia" w:eastAsiaTheme="minorEastAsia" w:cstheme="minorEastAsia"/>
                <w:color w:val="auto"/>
                <w:sz w:val="24"/>
              </w:rPr>
            </w:pPr>
          </w:p>
        </w:tc>
        <w:tc>
          <w:tcPr>
            <w:tcW w:w="765" w:type="dxa"/>
            <w:vAlign w:val="center"/>
          </w:tcPr>
          <w:p w14:paraId="31BD2EB7">
            <w:pPr>
              <w:rPr>
                <w:rFonts w:hint="eastAsia" w:asciiTheme="minorEastAsia" w:hAnsiTheme="minorEastAsia" w:eastAsiaTheme="minorEastAsia" w:cstheme="minorEastAsia"/>
                <w:color w:val="auto"/>
                <w:sz w:val="24"/>
              </w:rPr>
            </w:pPr>
          </w:p>
        </w:tc>
        <w:tc>
          <w:tcPr>
            <w:tcW w:w="579" w:type="dxa"/>
            <w:vAlign w:val="center"/>
          </w:tcPr>
          <w:p w14:paraId="5BAC2A61">
            <w:pPr>
              <w:rPr>
                <w:rFonts w:hint="eastAsia" w:asciiTheme="minorEastAsia" w:hAnsiTheme="minorEastAsia" w:eastAsiaTheme="minorEastAsia" w:cstheme="minorEastAsia"/>
                <w:color w:val="auto"/>
                <w:sz w:val="24"/>
              </w:rPr>
            </w:pPr>
          </w:p>
        </w:tc>
        <w:tc>
          <w:tcPr>
            <w:tcW w:w="574" w:type="dxa"/>
            <w:vAlign w:val="center"/>
          </w:tcPr>
          <w:p w14:paraId="5345B4C5">
            <w:pPr>
              <w:rPr>
                <w:rFonts w:hint="eastAsia" w:asciiTheme="minorEastAsia" w:hAnsiTheme="minorEastAsia" w:eastAsiaTheme="minorEastAsia" w:cstheme="minorEastAsia"/>
                <w:color w:val="auto"/>
                <w:sz w:val="24"/>
              </w:rPr>
            </w:pPr>
          </w:p>
        </w:tc>
      </w:tr>
      <w:tr w14:paraId="6DF1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9" w:type="dxa"/>
            <w:vAlign w:val="center"/>
          </w:tcPr>
          <w:p w14:paraId="13AE1ADA">
            <w:pPr>
              <w:keepNext w:val="0"/>
              <w:keepLines w:val="0"/>
              <w:widowControl/>
              <w:suppressLineNumbers w:val="0"/>
              <w:jc w:val="center"/>
              <w:textAlignment w:val="center"/>
              <w:rPr>
                <w:rFonts w:hint="default" w:asciiTheme="minorEastAsia" w:hAnsiTheme="minorEastAsia" w:eastAsiaTheme="minorEastAsia" w:cstheme="minorEastAsia"/>
                <w:color w:val="auto"/>
                <w:sz w:val="24"/>
                <w:lang w:val="en-US" w:eastAsia="zh-CN"/>
              </w:rPr>
            </w:pPr>
            <w:r>
              <w:rPr>
                <w:rFonts w:hint="eastAsia" w:ascii="宋体" w:hAnsi="宋体" w:cs="宋体"/>
                <w:i w:val="0"/>
                <w:iCs w:val="0"/>
                <w:color w:val="auto"/>
                <w:kern w:val="0"/>
                <w:sz w:val="24"/>
                <w:szCs w:val="24"/>
                <w:u w:val="none"/>
                <w:lang w:val="en-US" w:eastAsia="zh-CN" w:bidi="ar"/>
              </w:rPr>
              <w:t>6</w:t>
            </w:r>
          </w:p>
        </w:tc>
        <w:tc>
          <w:tcPr>
            <w:tcW w:w="1559" w:type="dxa"/>
            <w:vAlign w:val="center"/>
          </w:tcPr>
          <w:p w14:paraId="0BC24BC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960" w:type="dxa"/>
            <w:vAlign w:val="center"/>
          </w:tcPr>
          <w:p w14:paraId="6CD5A7CC">
            <w:pPr>
              <w:rPr>
                <w:rFonts w:hint="eastAsia" w:asciiTheme="minorEastAsia" w:hAnsiTheme="minorEastAsia" w:eastAsiaTheme="minorEastAsia" w:cstheme="minorEastAsia"/>
                <w:color w:val="auto"/>
                <w:sz w:val="24"/>
              </w:rPr>
            </w:pPr>
          </w:p>
        </w:tc>
        <w:tc>
          <w:tcPr>
            <w:tcW w:w="810" w:type="dxa"/>
            <w:vAlign w:val="center"/>
          </w:tcPr>
          <w:p w14:paraId="05C3C486">
            <w:pPr>
              <w:rPr>
                <w:rFonts w:hint="eastAsia" w:asciiTheme="minorEastAsia" w:hAnsiTheme="minorEastAsia" w:eastAsiaTheme="minorEastAsia" w:cstheme="minorEastAsia"/>
                <w:color w:val="auto"/>
                <w:sz w:val="24"/>
              </w:rPr>
            </w:pPr>
          </w:p>
        </w:tc>
        <w:tc>
          <w:tcPr>
            <w:tcW w:w="570" w:type="dxa"/>
            <w:vAlign w:val="center"/>
          </w:tcPr>
          <w:p w14:paraId="46CC606D">
            <w:pPr>
              <w:rPr>
                <w:rFonts w:hint="eastAsia" w:asciiTheme="minorEastAsia" w:hAnsiTheme="minorEastAsia" w:eastAsiaTheme="minorEastAsia" w:cstheme="minorEastAsia"/>
                <w:color w:val="auto"/>
                <w:sz w:val="24"/>
              </w:rPr>
            </w:pPr>
          </w:p>
        </w:tc>
        <w:tc>
          <w:tcPr>
            <w:tcW w:w="495" w:type="dxa"/>
            <w:vAlign w:val="center"/>
          </w:tcPr>
          <w:p w14:paraId="4F000132">
            <w:pPr>
              <w:rPr>
                <w:rFonts w:hint="eastAsia" w:asciiTheme="minorEastAsia" w:hAnsiTheme="minorEastAsia" w:eastAsiaTheme="minorEastAsia" w:cstheme="minorEastAsia"/>
                <w:color w:val="auto"/>
                <w:sz w:val="24"/>
              </w:rPr>
            </w:pPr>
          </w:p>
        </w:tc>
        <w:tc>
          <w:tcPr>
            <w:tcW w:w="795" w:type="dxa"/>
            <w:vAlign w:val="center"/>
          </w:tcPr>
          <w:p w14:paraId="48CCDFEB">
            <w:pPr>
              <w:rPr>
                <w:rFonts w:hint="eastAsia" w:asciiTheme="minorEastAsia" w:hAnsiTheme="minorEastAsia" w:eastAsiaTheme="minorEastAsia" w:cstheme="minorEastAsia"/>
                <w:color w:val="auto"/>
                <w:sz w:val="24"/>
              </w:rPr>
            </w:pPr>
          </w:p>
        </w:tc>
        <w:tc>
          <w:tcPr>
            <w:tcW w:w="780" w:type="dxa"/>
            <w:vAlign w:val="center"/>
          </w:tcPr>
          <w:p w14:paraId="44A02A1C">
            <w:pPr>
              <w:rPr>
                <w:rFonts w:hint="eastAsia" w:asciiTheme="minorEastAsia" w:hAnsiTheme="minorEastAsia" w:eastAsiaTheme="minorEastAsia" w:cstheme="minorEastAsia"/>
                <w:color w:val="auto"/>
                <w:sz w:val="24"/>
              </w:rPr>
            </w:pPr>
          </w:p>
        </w:tc>
        <w:tc>
          <w:tcPr>
            <w:tcW w:w="765" w:type="dxa"/>
            <w:vAlign w:val="center"/>
          </w:tcPr>
          <w:p w14:paraId="3DEF0A17">
            <w:pPr>
              <w:rPr>
                <w:rFonts w:hint="eastAsia" w:asciiTheme="minorEastAsia" w:hAnsiTheme="minorEastAsia" w:eastAsiaTheme="minorEastAsia" w:cstheme="minorEastAsia"/>
                <w:color w:val="auto"/>
                <w:sz w:val="24"/>
              </w:rPr>
            </w:pPr>
          </w:p>
        </w:tc>
        <w:tc>
          <w:tcPr>
            <w:tcW w:w="825" w:type="dxa"/>
            <w:vAlign w:val="center"/>
          </w:tcPr>
          <w:p w14:paraId="3D06EAAB">
            <w:pPr>
              <w:rPr>
                <w:rFonts w:hint="eastAsia" w:asciiTheme="minorEastAsia" w:hAnsiTheme="minorEastAsia" w:eastAsiaTheme="minorEastAsia" w:cstheme="minorEastAsia"/>
                <w:color w:val="auto"/>
                <w:sz w:val="24"/>
              </w:rPr>
            </w:pPr>
          </w:p>
        </w:tc>
        <w:tc>
          <w:tcPr>
            <w:tcW w:w="780" w:type="dxa"/>
            <w:vAlign w:val="center"/>
          </w:tcPr>
          <w:p w14:paraId="1801BC69">
            <w:pPr>
              <w:rPr>
                <w:rFonts w:hint="eastAsia" w:asciiTheme="minorEastAsia" w:hAnsiTheme="minorEastAsia" w:eastAsiaTheme="minorEastAsia" w:cstheme="minorEastAsia"/>
                <w:color w:val="auto"/>
                <w:sz w:val="24"/>
              </w:rPr>
            </w:pPr>
          </w:p>
        </w:tc>
        <w:tc>
          <w:tcPr>
            <w:tcW w:w="765" w:type="dxa"/>
            <w:vAlign w:val="center"/>
          </w:tcPr>
          <w:p w14:paraId="2E6A4214">
            <w:pPr>
              <w:rPr>
                <w:rFonts w:hint="eastAsia" w:asciiTheme="minorEastAsia" w:hAnsiTheme="minorEastAsia" w:eastAsiaTheme="minorEastAsia" w:cstheme="minorEastAsia"/>
                <w:color w:val="auto"/>
                <w:sz w:val="24"/>
              </w:rPr>
            </w:pPr>
          </w:p>
        </w:tc>
        <w:tc>
          <w:tcPr>
            <w:tcW w:w="579" w:type="dxa"/>
            <w:vAlign w:val="center"/>
          </w:tcPr>
          <w:p w14:paraId="5CACF2BC">
            <w:pPr>
              <w:rPr>
                <w:rFonts w:hint="eastAsia" w:asciiTheme="minorEastAsia" w:hAnsiTheme="minorEastAsia" w:eastAsiaTheme="minorEastAsia" w:cstheme="minorEastAsia"/>
                <w:color w:val="auto"/>
                <w:sz w:val="24"/>
              </w:rPr>
            </w:pPr>
          </w:p>
        </w:tc>
        <w:tc>
          <w:tcPr>
            <w:tcW w:w="574" w:type="dxa"/>
            <w:vAlign w:val="center"/>
          </w:tcPr>
          <w:p w14:paraId="30B20E1A">
            <w:pPr>
              <w:rPr>
                <w:rFonts w:hint="eastAsia" w:asciiTheme="minorEastAsia" w:hAnsiTheme="minorEastAsia" w:eastAsiaTheme="minorEastAsia" w:cstheme="minorEastAsia"/>
                <w:color w:val="auto"/>
                <w:sz w:val="24"/>
              </w:rPr>
            </w:pPr>
          </w:p>
        </w:tc>
      </w:tr>
      <w:tr w14:paraId="60FC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9" w:type="dxa"/>
            <w:vAlign w:val="center"/>
          </w:tcPr>
          <w:p w14:paraId="1B7C410F">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w:t>
            </w:r>
          </w:p>
        </w:tc>
        <w:tc>
          <w:tcPr>
            <w:tcW w:w="1559" w:type="dxa"/>
            <w:vAlign w:val="center"/>
          </w:tcPr>
          <w:p w14:paraId="0EFFC0E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960" w:type="dxa"/>
            <w:vAlign w:val="center"/>
          </w:tcPr>
          <w:p w14:paraId="4C8841A0">
            <w:pPr>
              <w:rPr>
                <w:rFonts w:hint="eastAsia" w:asciiTheme="minorEastAsia" w:hAnsiTheme="minorEastAsia" w:eastAsiaTheme="minorEastAsia" w:cstheme="minorEastAsia"/>
                <w:color w:val="auto"/>
                <w:sz w:val="24"/>
              </w:rPr>
            </w:pPr>
          </w:p>
        </w:tc>
        <w:tc>
          <w:tcPr>
            <w:tcW w:w="810" w:type="dxa"/>
            <w:vAlign w:val="center"/>
          </w:tcPr>
          <w:p w14:paraId="4EE81D8F">
            <w:pPr>
              <w:rPr>
                <w:rFonts w:hint="eastAsia" w:asciiTheme="minorEastAsia" w:hAnsiTheme="minorEastAsia" w:eastAsiaTheme="minorEastAsia" w:cstheme="minorEastAsia"/>
                <w:color w:val="auto"/>
                <w:sz w:val="24"/>
              </w:rPr>
            </w:pPr>
          </w:p>
        </w:tc>
        <w:tc>
          <w:tcPr>
            <w:tcW w:w="570" w:type="dxa"/>
            <w:vAlign w:val="center"/>
          </w:tcPr>
          <w:p w14:paraId="25DB2BAB">
            <w:pPr>
              <w:rPr>
                <w:rFonts w:hint="eastAsia" w:asciiTheme="minorEastAsia" w:hAnsiTheme="minorEastAsia" w:eastAsiaTheme="minorEastAsia" w:cstheme="minorEastAsia"/>
                <w:color w:val="auto"/>
                <w:sz w:val="24"/>
              </w:rPr>
            </w:pPr>
          </w:p>
        </w:tc>
        <w:tc>
          <w:tcPr>
            <w:tcW w:w="495" w:type="dxa"/>
            <w:vAlign w:val="center"/>
          </w:tcPr>
          <w:p w14:paraId="2581BA56">
            <w:pPr>
              <w:rPr>
                <w:rFonts w:hint="eastAsia" w:asciiTheme="minorEastAsia" w:hAnsiTheme="minorEastAsia" w:eastAsiaTheme="minorEastAsia" w:cstheme="minorEastAsia"/>
                <w:color w:val="auto"/>
                <w:sz w:val="24"/>
              </w:rPr>
            </w:pPr>
          </w:p>
        </w:tc>
        <w:tc>
          <w:tcPr>
            <w:tcW w:w="795" w:type="dxa"/>
            <w:vAlign w:val="center"/>
          </w:tcPr>
          <w:p w14:paraId="51F62F48">
            <w:pPr>
              <w:rPr>
                <w:rFonts w:hint="eastAsia" w:asciiTheme="minorEastAsia" w:hAnsiTheme="minorEastAsia" w:eastAsiaTheme="minorEastAsia" w:cstheme="minorEastAsia"/>
                <w:color w:val="auto"/>
                <w:sz w:val="24"/>
              </w:rPr>
            </w:pPr>
          </w:p>
        </w:tc>
        <w:tc>
          <w:tcPr>
            <w:tcW w:w="780" w:type="dxa"/>
            <w:vAlign w:val="center"/>
          </w:tcPr>
          <w:p w14:paraId="60DFC70E">
            <w:pPr>
              <w:rPr>
                <w:rFonts w:hint="eastAsia" w:asciiTheme="minorEastAsia" w:hAnsiTheme="minorEastAsia" w:eastAsiaTheme="minorEastAsia" w:cstheme="minorEastAsia"/>
                <w:color w:val="auto"/>
                <w:sz w:val="24"/>
              </w:rPr>
            </w:pPr>
          </w:p>
        </w:tc>
        <w:tc>
          <w:tcPr>
            <w:tcW w:w="765" w:type="dxa"/>
            <w:vAlign w:val="center"/>
          </w:tcPr>
          <w:p w14:paraId="164F39FF">
            <w:pPr>
              <w:rPr>
                <w:rFonts w:hint="eastAsia" w:asciiTheme="minorEastAsia" w:hAnsiTheme="minorEastAsia" w:eastAsiaTheme="minorEastAsia" w:cstheme="minorEastAsia"/>
                <w:color w:val="auto"/>
                <w:sz w:val="24"/>
              </w:rPr>
            </w:pPr>
          </w:p>
        </w:tc>
        <w:tc>
          <w:tcPr>
            <w:tcW w:w="825" w:type="dxa"/>
            <w:vAlign w:val="center"/>
          </w:tcPr>
          <w:p w14:paraId="3EC827F8">
            <w:pPr>
              <w:rPr>
                <w:rFonts w:hint="eastAsia" w:asciiTheme="minorEastAsia" w:hAnsiTheme="minorEastAsia" w:eastAsiaTheme="minorEastAsia" w:cstheme="minorEastAsia"/>
                <w:color w:val="auto"/>
                <w:sz w:val="24"/>
              </w:rPr>
            </w:pPr>
          </w:p>
        </w:tc>
        <w:tc>
          <w:tcPr>
            <w:tcW w:w="780" w:type="dxa"/>
            <w:vAlign w:val="center"/>
          </w:tcPr>
          <w:p w14:paraId="313AC835">
            <w:pPr>
              <w:rPr>
                <w:rFonts w:hint="eastAsia" w:asciiTheme="minorEastAsia" w:hAnsiTheme="minorEastAsia" w:eastAsiaTheme="minorEastAsia" w:cstheme="minorEastAsia"/>
                <w:color w:val="auto"/>
                <w:sz w:val="24"/>
              </w:rPr>
            </w:pPr>
          </w:p>
        </w:tc>
        <w:tc>
          <w:tcPr>
            <w:tcW w:w="765" w:type="dxa"/>
            <w:vAlign w:val="center"/>
          </w:tcPr>
          <w:p w14:paraId="6978E0BF">
            <w:pPr>
              <w:rPr>
                <w:rFonts w:hint="eastAsia" w:asciiTheme="minorEastAsia" w:hAnsiTheme="minorEastAsia" w:eastAsiaTheme="minorEastAsia" w:cstheme="minorEastAsia"/>
                <w:color w:val="auto"/>
                <w:sz w:val="24"/>
              </w:rPr>
            </w:pPr>
          </w:p>
        </w:tc>
        <w:tc>
          <w:tcPr>
            <w:tcW w:w="579" w:type="dxa"/>
            <w:vAlign w:val="center"/>
          </w:tcPr>
          <w:p w14:paraId="1402F2AC">
            <w:pPr>
              <w:rPr>
                <w:rFonts w:hint="eastAsia" w:asciiTheme="minorEastAsia" w:hAnsiTheme="minorEastAsia" w:eastAsiaTheme="minorEastAsia" w:cstheme="minorEastAsia"/>
                <w:color w:val="auto"/>
                <w:sz w:val="24"/>
              </w:rPr>
            </w:pPr>
          </w:p>
        </w:tc>
        <w:tc>
          <w:tcPr>
            <w:tcW w:w="574" w:type="dxa"/>
            <w:vAlign w:val="center"/>
          </w:tcPr>
          <w:p w14:paraId="33909798">
            <w:pPr>
              <w:rPr>
                <w:rFonts w:hint="eastAsia" w:asciiTheme="minorEastAsia" w:hAnsiTheme="minorEastAsia" w:eastAsiaTheme="minorEastAsia" w:cstheme="minorEastAsia"/>
                <w:color w:val="auto"/>
                <w:sz w:val="24"/>
              </w:rPr>
            </w:pPr>
          </w:p>
        </w:tc>
      </w:tr>
      <w:tr w14:paraId="716F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3" w:type="dxa"/>
            <w:gridSpan w:val="6"/>
            <w:vAlign w:val="center"/>
          </w:tcPr>
          <w:p w14:paraId="1AF36C60">
            <w:pP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总报价</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元）</w:t>
            </w:r>
          </w:p>
        </w:tc>
        <w:tc>
          <w:tcPr>
            <w:tcW w:w="5863" w:type="dxa"/>
            <w:gridSpan w:val="8"/>
            <w:vAlign w:val="center"/>
          </w:tcPr>
          <w:p w14:paraId="07916F80">
            <w:pPr>
              <w:rPr>
                <w:rFonts w:hint="eastAsia" w:asciiTheme="minorEastAsia" w:hAnsiTheme="minorEastAsia" w:eastAsiaTheme="minorEastAsia" w:cstheme="minorEastAsia"/>
                <w:color w:val="auto"/>
                <w:sz w:val="24"/>
              </w:rPr>
            </w:pPr>
          </w:p>
        </w:tc>
      </w:tr>
    </w:tbl>
    <w:p w14:paraId="54DF8F01">
      <w:pPr>
        <w:adjustRightInd w:val="0"/>
        <w:snapToGrid w:val="0"/>
        <w:spacing w:line="360" w:lineRule="auto"/>
        <w:jc w:val="left"/>
        <w:rPr>
          <w:rFonts w:hint="eastAsia" w:ascii="宋体" w:hAnsi="宋体"/>
          <w:b/>
          <w:bCs/>
          <w:color w:val="auto"/>
          <w:szCs w:val="21"/>
        </w:rPr>
      </w:pPr>
      <w:r>
        <w:rPr>
          <w:rFonts w:hint="eastAsia" w:ascii="宋体" w:hAnsi="宋体"/>
          <w:b/>
          <w:bCs/>
          <w:color w:val="auto"/>
          <w:szCs w:val="21"/>
        </w:rPr>
        <w:t>注：1.生产商规模（微型企业、小型企业、中型企业、大型企业）；生产商特殊属性（监狱企业、残疾人福利性单位、其他）；产品属性（节能  节水  环保  其他）。</w:t>
      </w:r>
    </w:p>
    <w:p w14:paraId="1F7E0663">
      <w:pPr>
        <w:adjustRightInd w:val="0"/>
        <w:snapToGrid w:val="0"/>
        <w:spacing w:line="360" w:lineRule="auto"/>
        <w:jc w:val="left"/>
        <w:rPr>
          <w:rFonts w:hint="eastAsia" w:ascii="宋体" w:hAnsi="宋体"/>
          <w:b/>
          <w:bCs/>
          <w:color w:val="auto"/>
          <w:szCs w:val="21"/>
        </w:rPr>
      </w:pPr>
      <w:r>
        <w:rPr>
          <w:rFonts w:hint="eastAsia" w:ascii="宋体" w:hAnsi="宋体"/>
          <w:b/>
          <w:bCs/>
          <w:color w:val="auto"/>
          <w:szCs w:val="21"/>
        </w:rPr>
        <w:t>2.此表中的内容请各供应商根据招标文件的第五章采购内容和技术要求内容顺序填写。</w:t>
      </w:r>
    </w:p>
    <w:p w14:paraId="40C7C275">
      <w:pPr>
        <w:adjustRightInd w:val="0"/>
        <w:snapToGrid w:val="0"/>
        <w:spacing w:line="360" w:lineRule="auto"/>
        <w:jc w:val="left"/>
        <w:rPr>
          <w:rFonts w:hint="eastAsia" w:ascii="宋体" w:hAnsi="宋体"/>
          <w:b/>
          <w:bCs/>
          <w:color w:val="auto"/>
          <w:szCs w:val="21"/>
        </w:rPr>
      </w:pPr>
      <w:r>
        <w:rPr>
          <w:rFonts w:hint="eastAsia" w:ascii="宋体" w:hAnsi="宋体"/>
          <w:b/>
          <w:bCs/>
          <w:color w:val="auto"/>
          <w:szCs w:val="21"/>
        </w:rPr>
        <w:t>3.投标总报价应等于所有分项报价之和，并且必须与投标（报价）一览表中投标总报价一致。</w:t>
      </w:r>
    </w:p>
    <w:p w14:paraId="4A7BC8B6">
      <w:pPr>
        <w:adjustRightInd w:val="0"/>
        <w:snapToGrid w:val="0"/>
        <w:spacing w:line="360" w:lineRule="auto"/>
        <w:jc w:val="left"/>
        <w:rPr>
          <w:rFonts w:hint="eastAsia" w:ascii="宋体" w:hAnsi="宋体"/>
          <w:b/>
          <w:bCs/>
          <w:color w:val="auto"/>
          <w:szCs w:val="21"/>
        </w:rPr>
      </w:pPr>
      <w:r>
        <w:rPr>
          <w:rFonts w:hint="eastAsia" w:ascii="宋体" w:hAnsi="宋体"/>
          <w:b/>
          <w:bCs/>
          <w:color w:val="auto"/>
          <w:szCs w:val="21"/>
        </w:rPr>
        <w:t>4.所有价格均系用人民币表示，单位为元。</w:t>
      </w:r>
    </w:p>
    <w:p w14:paraId="09CFCF87">
      <w:pPr>
        <w:adjustRightInd w:val="0"/>
        <w:snapToGrid w:val="0"/>
        <w:spacing w:line="360" w:lineRule="auto"/>
        <w:jc w:val="left"/>
        <w:rPr>
          <w:rFonts w:hint="eastAsia" w:ascii="宋体" w:hAnsi="宋体"/>
          <w:b/>
          <w:bCs/>
          <w:color w:val="auto"/>
          <w:szCs w:val="21"/>
        </w:rPr>
      </w:pPr>
      <w:r>
        <w:rPr>
          <w:rFonts w:hint="eastAsia" w:ascii="宋体" w:hAnsi="宋体"/>
          <w:b/>
          <w:bCs/>
          <w:color w:val="auto"/>
          <w:szCs w:val="21"/>
        </w:rPr>
        <w:t>5.如制造商为小型或微型企业的，应在此表中予以明确并提供《中小企业声明函》。</w:t>
      </w:r>
    </w:p>
    <w:p w14:paraId="0459269E">
      <w:pPr>
        <w:adjustRightInd w:val="0"/>
        <w:snapToGrid w:val="0"/>
        <w:spacing w:line="360" w:lineRule="auto"/>
        <w:jc w:val="left"/>
        <w:rPr>
          <w:rFonts w:hint="eastAsia" w:ascii="宋体" w:hAnsi="宋体"/>
          <w:b/>
          <w:bCs/>
          <w:color w:val="auto"/>
          <w:szCs w:val="21"/>
        </w:rPr>
      </w:pPr>
      <w:r>
        <w:rPr>
          <w:rFonts w:hint="eastAsia" w:ascii="宋体" w:hAnsi="宋体"/>
          <w:b/>
          <w:bCs/>
          <w:color w:val="auto"/>
          <w:szCs w:val="21"/>
        </w:rPr>
        <w:t>6.</w:t>
      </w:r>
      <w:r>
        <w:rPr>
          <w:rFonts w:hint="eastAsia" w:ascii="宋体" w:hAnsi="宋体"/>
          <w:b/>
          <w:bCs/>
          <w:color w:val="auto"/>
          <w:szCs w:val="21"/>
          <w:lang w:eastAsia="zh-CN"/>
        </w:rPr>
        <w:t>供应商</w:t>
      </w:r>
      <w:r>
        <w:rPr>
          <w:rFonts w:hint="eastAsia" w:ascii="宋体" w:hAnsi="宋体"/>
          <w:b/>
          <w:bCs/>
          <w:color w:val="auto"/>
          <w:szCs w:val="21"/>
        </w:rPr>
        <w:t>可自行对报价内容补充完善，格式可自行扩展。</w:t>
      </w:r>
    </w:p>
    <w:p w14:paraId="6B2B3431">
      <w:pPr>
        <w:ind w:right="210"/>
        <w:jc w:val="left"/>
        <w:rPr>
          <w:rFonts w:hint="eastAsia" w:ascii="宋体" w:hAnsi="宋体"/>
          <w:color w:val="auto"/>
          <w:sz w:val="24"/>
        </w:rPr>
      </w:pPr>
    </w:p>
    <w:p w14:paraId="737E2FDD">
      <w:pPr>
        <w:ind w:right="210"/>
        <w:jc w:val="left"/>
        <w:rPr>
          <w:rFonts w:hint="eastAsia" w:ascii="宋体" w:hAnsi="宋体"/>
          <w:color w:val="auto"/>
          <w:sz w:val="24"/>
        </w:rPr>
      </w:pPr>
    </w:p>
    <w:p w14:paraId="4AFF190F">
      <w:pPr>
        <w:spacing w:line="480" w:lineRule="auto"/>
        <w:jc w:val="left"/>
        <w:rPr>
          <w:rFonts w:hint="eastAsia" w:ascii="宋体" w:hAnsi="宋体"/>
          <w:bCs/>
          <w:color w:val="auto"/>
          <w:sz w:val="24"/>
          <w:u w:val="single"/>
        </w:rPr>
      </w:pPr>
      <w:r>
        <w:rPr>
          <w:rFonts w:hint="eastAsia" w:ascii="宋体" w:hAnsi="宋体"/>
          <w:bCs/>
          <w:color w:val="auto"/>
          <w:sz w:val="24"/>
          <w:lang w:eastAsia="zh-CN"/>
        </w:rPr>
        <w:t>供应商</w:t>
      </w:r>
      <w:r>
        <w:rPr>
          <w:rFonts w:hint="eastAsia" w:ascii="宋体" w:hAnsi="宋体"/>
          <w:bCs/>
          <w:color w:val="auto"/>
          <w:sz w:val="24"/>
        </w:rPr>
        <w:t>：</w:t>
      </w:r>
      <w:r>
        <w:rPr>
          <w:rFonts w:hint="eastAsia" w:ascii="宋体" w:hAnsi="宋体"/>
          <w:bCs/>
          <w:color w:val="auto"/>
          <w:sz w:val="24"/>
          <w:u w:val="single"/>
        </w:rPr>
        <w:t xml:space="preserve">                             </w:t>
      </w:r>
      <w:r>
        <w:rPr>
          <w:rFonts w:hint="eastAsia" w:ascii="宋体" w:hAnsi="宋体"/>
          <w:bCs/>
          <w:color w:val="auto"/>
          <w:sz w:val="24"/>
        </w:rPr>
        <w:t xml:space="preserve">(电子签章) </w:t>
      </w:r>
    </w:p>
    <w:p w14:paraId="37714451">
      <w:pPr>
        <w:spacing w:line="480" w:lineRule="auto"/>
        <w:jc w:val="left"/>
        <w:rPr>
          <w:rFonts w:hint="eastAsia" w:ascii="宋体" w:hAnsi="宋体"/>
          <w:bCs/>
          <w:color w:val="auto"/>
          <w:sz w:val="24"/>
        </w:rPr>
      </w:pPr>
      <w:r>
        <w:rPr>
          <w:rFonts w:hint="eastAsia" w:ascii="宋体" w:hAnsi="宋体"/>
          <w:bCs/>
          <w:color w:val="auto"/>
          <w:sz w:val="24"/>
        </w:rPr>
        <w:t>法定代表人或其委托代理人：</w:t>
      </w:r>
      <w:r>
        <w:rPr>
          <w:rFonts w:hint="eastAsia" w:ascii="宋体" w:hAnsi="宋体"/>
          <w:bCs/>
          <w:color w:val="auto"/>
          <w:sz w:val="24"/>
          <w:u w:val="single"/>
        </w:rPr>
        <w:t xml:space="preserve">          </w:t>
      </w:r>
      <w:r>
        <w:rPr>
          <w:rFonts w:hint="eastAsia" w:ascii="宋体" w:hAnsi="宋体"/>
          <w:bCs/>
          <w:color w:val="auto"/>
          <w:sz w:val="24"/>
        </w:rPr>
        <w:t xml:space="preserve">(电子签章或签名) </w:t>
      </w:r>
    </w:p>
    <w:p w14:paraId="0F56B889">
      <w:pPr>
        <w:spacing w:line="480" w:lineRule="auto"/>
        <w:jc w:val="left"/>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51C1EFE6">
      <w:pPr>
        <w:rPr>
          <w:rFonts w:hint="eastAsia" w:ascii="黑体" w:hAnsi="黑体" w:eastAsia="黑体" w:cs="黑体"/>
          <w:bCs/>
          <w:color w:val="auto"/>
          <w:sz w:val="36"/>
          <w:szCs w:val="36"/>
          <w:lang w:val="zh-CN"/>
        </w:rPr>
      </w:pPr>
      <w:r>
        <w:rPr>
          <w:rFonts w:hint="eastAsia" w:ascii="黑体" w:hAnsi="黑体" w:eastAsia="黑体" w:cs="黑体"/>
          <w:bCs/>
          <w:color w:val="auto"/>
          <w:sz w:val="36"/>
          <w:szCs w:val="36"/>
          <w:lang w:val="zh-CN"/>
        </w:rPr>
        <w:br w:type="page"/>
      </w:r>
    </w:p>
    <w:p w14:paraId="66C05E6C">
      <w:pPr>
        <w:pStyle w:val="4"/>
        <w:spacing w:before="0" w:line="240" w:lineRule="atLeast"/>
        <w:jc w:val="center"/>
        <w:rPr>
          <w:rFonts w:hint="eastAsia"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lang w:val="en-US" w:eastAsia="zh-CN"/>
        </w:rPr>
        <w:t>附2：</w:t>
      </w:r>
      <w:r>
        <w:rPr>
          <w:rFonts w:hint="eastAsia" w:asciiTheme="minorEastAsia" w:hAnsiTheme="minorEastAsia" w:eastAsiaTheme="minorEastAsia" w:cstheme="minorEastAsia"/>
          <w:color w:val="auto"/>
          <w:szCs w:val="28"/>
          <w:lang w:val="zh-CN"/>
        </w:rPr>
        <w:t>易损易耗件清单</w:t>
      </w:r>
    </w:p>
    <w:p w14:paraId="3E0B0FFD">
      <w:pPr>
        <w:pStyle w:val="21"/>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项目名称：</w:t>
      </w:r>
      <w:r>
        <w:rPr>
          <w:rFonts w:hint="eastAsia" w:asciiTheme="minorEastAsia" w:hAnsiTheme="minorEastAsia" w:eastAsiaTheme="minorEastAsia" w:cstheme="minorEastAsia"/>
          <w:b/>
          <w:color w:val="auto"/>
          <w:sz w:val="24"/>
          <w:szCs w:val="24"/>
          <w:u w:val="single"/>
        </w:rPr>
        <w:t xml:space="preserve">                         </w:t>
      </w:r>
    </w:p>
    <w:p w14:paraId="543A5DE2">
      <w:pPr>
        <w:spacing w:line="360" w:lineRule="auto"/>
        <w:rPr>
          <w:bCs/>
          <w:color w:val="auto"/>
          <w:sz w:val="28"/>
          <w:szCs w:val="28"/>
        </w:rPr>
      </w:pPr>
      <w:r>
        <w:rPr>
          <w:rFonts w:hint="eastAsia" w:asciiTheme="minorEastAsia" w:hAnsiTheme="minorEastAsia" w:eastAsiaTheme="minorEastAsia" w:cstheme="minorEastAsia"/>
          <w:b/>
          <w:color w:val="auto"/>
          <w:sz w:val="24"/>
        </w:rPr>
        <w:t>项目编号：</w:t>
      </w:r>
      <w:r>
        <w:rPr>
          <w:rFonts w:hint="eastAsia" w:asciiTheme="minorEastAsia" w:hAnsiTheme="minorEastAsia" w:eastAsiaTheme="minorEastAsia" w:cstheme="minorEastAsia"/>
          <w:b/>
          <w:color w:val="auto"/>
          <w:sz w:val="24"/>
          <w:u w:val="single"/>
        </w:rPr>
        <w:t xml:space="preserve">                         </w:t>
      </w:r>
    </w:p>
    <w:tbl>
      <w:tblPr>
        <w:tblStyle w:val="41"/>
        <w:tblW w:w="94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599"/>
        <w:gridCol w:w="851"/>
        <w:gridCol w:w="850"/>
        <w:gridCol w:w="1134"/>
        <w:gridCol w:w="1276"/>
        <w:gridCol w:w="1021"/>
      </w:tblGrid>
      <w:tr w14:paraId="127D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noWrap w:val="0"/>
            <w:vAlign w:val="center"/>
          </w:tcPr>
          <w:p w14:paraId="42468067">
            <w:pPr>
              <w:widowControl/>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6FD01AA2">
            <w:pPr>
              <w:widowControl/>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易损易耗件名称</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64FAC281">
            <w:pPr>
              <w:widowControl/>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规格型号</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ABD780D">
            <w:pPr>
              <w:widowControl/>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品牌</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A9984A2">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2F5D3B">
            <w:pPr>
              <w:widowControl/>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单价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80D975">
            <w:pPr>
              <w:widowControl/>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原产地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833DFDB">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r>
      <w:tr w14:paraId="2442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noWrap w:val="0"/>
            <w:vAlign w:val="top"/>
          </w:tcPr>
          <w:p w14:paraId="42E5CC48">
            <w:pPr>
              <w:rPr>
                <w:rFonts w:hint="eastAsia" w:ascii="宋体" w:hAnsi="宋体" w:eastAsia="宋体" w:cs="宋体"/>
                <w:bCs/>
                <w:color w:val="auto"/>
                <w:sz w:val="24"/>
                <w:szCs w:val="24"/>
              </w:rPr>
            </w:pPr>
          </w:p>
        </w:tc>
        <w:tc>
          <w:tcPr>
            <w:tcW w:w="1946" w:type="dxa"/>
            <w:tcBorders>
              <w:top w:val="single" w:color="auto" w:sz="4" w:space="0"/>
              <w:left w:val="single" w:color="auto" w:sz="4" w:space="0"/>
              <w:bottom w:val="single" w:color="auto" w:sz="4" w:space="0"/>
              <w:right w:val="single" w:color="auto" w:sz="4" w:space="0"/>
            </w:tcBorders>
            <w:noWrap w:val="0"/>
            <w:vAlign w:val="top"/>
          </w:tcPr>
          <w:p w14:paraId="53F7F809">
            <w:pPr>
              <w:rPr>
                <w:rFonts w:hint="eastAsia" w:ascii="宋体" w:hAnsi="宋体" w:eastAsia="宋体" w:cs="宋体"/>
                <w:bCs/>
                <w:color w:val="auto"/>
                <w:sz w:val="24"/>
                <w:szCs w:val="24"/>
              </w:rPr>
            </w:pPr>
          </w:p>
        </w:tc>
        <w:tc>
          <w:tcPr>
            <w:tcW w:w="1599" w:type="dxa"/>
            <w:tcBorders>
              <w:top w:val="single" w:color="auto" w:sz="4" w:space="0"/>
              <w:left w:val="single" w:color="auto" w:sz="4" w:space="0"/>
              <w:bottom w:val="single" w:color="auto" w:sz="4" w:space="0"/>
              <w:right w:val="single" w:color="auto" w:sz="4" w:space="0"/>
            </w:tcBorders>
            <w:noWrap w:val="0"/>
            <w:vAlign w:val="top"/>
          </w:tcPr>
          <w:p w14:paraId="64139679">
            <w:pPr>
              <w:rPr>
                <w:rFonts w:hint="eastAsia" w:ascii="宋体" w:hAnsi="宋体" w:eastAsia="宋体" w:cs="宋体"/>
                <w:bCs/>
                <w:color w:val="auto"/>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53DEFEC">
            <w:pPr>
              <w:rPr>
                <w:rFonts w:hint="eastAsia" w:ascii="宋体" w:hAnsi="宋体" w:eastAsia="宋体" w:cs="宋体"/>
                <w:bCs/>
                <w:color w:val="auto"/>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AFC1D00">
            <w:pPr>
              <w:rPr>
                <w:rFonts w:hint="eastAsia" w:ascii="宋体" w:hAnsi="宋体" w:eastAsia="宋体" w:cs="宋体"/>
                <w:bCs/>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A56830A">
            <w:pPr>
              <w:rPr>
                <w:rFonts w:hint="eastAsia" w:ascii="宋体" w:hAnsi="宋体" w:eastAsia="宋体" w:cs="宋体"/>
                <w:bCs/>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3ECFB4">
            <w:pPr>
              <w:rPr>
                <w:rFonts w:hint="eastAsia" w:ascii="宋体" w:hAnsi="宋体" w:eastAsia="宋体" w:cs="宋体"/>
                <w:bCs/>
                <w:color w:val="auto"/>
                <w:sz w:val="24"/>
                <w:szCs w:val="24"/>
              </w:rPr>
            </w:pPr>
          </w:p>
        </w:tc>
        <w:tc>
          <w:tcPr>
            <w:tcW w:w="1021" w:type="dxa"/>
            <w:tcBorders>
              <w:top w:val="single" w:color="auto" w:sz="4" w:space="0"/>
              <w:left w:val="single" w:color="auto" w:sz="4" w:space="0"/>
              <w:bottom w:val="single" w:color="auto" w:sz="4" w:space="0"/>
              <w:right w:val="single" w:color="auto" w:sz="4" w:space="0"/>
            </w:tcBorders>
            <w:noWrap w:val="0"/>
            <w:vAlign w:val="top"/>
          </w:tcPr>
          <w:p w14:paraId="7339DBA6">
            <w:pPr>
              <w:rPr>
                <w:rFonts w:hint="eastAsia" w:ascii="宋体" w:hAnsi="宋体" w:eastAsia="宋体" w:cs="宋体"/>
                <w:bCs/>
                <w:color w:val="auto"/>
                <w:sz w:val="24"/>
                <w:szCs w:val="24"/>
              </w:rPr>
            </w:pPr>
          </w:p>
        </w:tc>
      </w:tr>
      <w:tr w14:paraId="28E1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noWrap w:val="0"/>
            <w:vAlign w:val="top"/>
          </w:tcPr>
          <w:p w14:paraId="2AF1B708">
            <w:pPr>
              <w:rPr>
                <w:rFonts w:hint="eastAsia" w:ascii="宋体" w:hAnsi="宋体" w:eastAsia="宋体" w:cs="宋体"/>
                <w:bCs/>
                <w:color w:val="auto"/>
                <w:sz w:val="24"/>
                <w:szCs w:val="24"/>
              </w:rPr>
            </w:pPr>
          </w:p>
        </w:tc>
        <w:tc>
          <w:tcPr>
            <w:tcW w:w="1946" w:type="dxa"/>
            <w:tcBorders>
              <w:top w:val="single" w:color="auto" w:sz="4" w:space="0"/>
              <w:left w:val="single" w:color="auto" w:sz="4" w:space="0"/>
              <w:bottom w:val="single" w:color="auto" w:sz="4" w:space="0"/>
              <w:right w:val="single" w:color="auto" w:sz="4" w:space="0"/>
            </w:tcBorders>
            <w:noWrap w:val="0"/>
            <w:vAlign w:val="top"/>
          </w:tcPr>
          <w:p w14:paraId="7DEB288A">
            <w:pPr>
              <w:rPr>
                <w:rFonts w:hint="eastAsia" w:ascii="宋体" w:hAnsi="宋体" w:eastAsia="宋体" w:cs="宋体"/>
                <w:bCs/>
                <w:color w:val="auto"/>
                <w:sz w:val="24"/>
                <w:szCs w:val="24"/>
              </w:rPr>
            </w:pPr>
          </w:p>
        </w:tc>
        <w:tc>
          <w:tcPr>
            <w:tcW w:w="1599" w:type="dxa"/>
            <w:tcBorders>
              <w:top w:val="single" w:color="auto" w:sz="4" w:space="0"/>
              <w:left w:val="single" w:color="auto" w:sz="4" w:space="0"/>
              <w:bottom w:val="single" w:color="auto" w:sz="4" w:space="0"/>
              <w:right w:val="single" w:color="auto" w:sz="4" w:space="0"/>
            </w:tcBorders>
            <w:noWrap w:val="0"/>
            <w:vAlign w:val="top"/>
          </w:tcPr>
          <w:p w14:paraId="74330D3A">
            <w:pPr>
              <w:rPr>
                <w:rFonts w:hint="eastAsia" w:ascii="宋体" w:hAnsi="宋体" w:eastAsia="宋体" w:cs="宋体"/>
                <w:bCs/>
                <w:color w:val="auto"/>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34DDB8">
            <w:pPr>
              <w:rPr>
                <w:rFonts w:hint="eastAsia" w:ascii="宋体" w:hAnsi="宋体" w:eastAsia="宋体" w:cs="宋体"/>
                <w:bCs/>
                <w:color w:val="auto"/>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F9F6A3F">
            <w:pPr>
              <w:rPr>
                <w:rFonts w:hint="eastAsia" w:ascii="宋体" w:hAnsi="宋体" w:eastAsia="宋体" w:cs="宋体"/>
                <w:bCs/>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9BEACA3">
            <w:pPr>
              <w:rPr>
                <w:rFonts w:hint="eastAsia" w:ascii="宋体" w:hAnsi="宋体" w:eastAsia="宋体" w:cs="宋体"/>
                <w:bCs/>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29C71D">
            <w:pPr>
              <w:rPr>
                <w:rFonts w:hint="eastAsia" w:ascii="宋体" w:hAnsi="宋体" w:eastAsia="宋体" w:cs="宋体"/>
                <w:bCs/>
                <w:color w:val="auto"/>
                <w:sz w:val="24"/>
                <w:szCs w:val="24"/>
              </w:rPr>
            </w:pPr>
          </w:p>
        </w:tc>
        <w:tc>
          <w:tcPr>
            <w:tcW w:w="1021" w:type="dxa"/>
            <w:tcBorders>
              <w:top w:val="single" w:color="auto" w:sz="4" w:space="0"/>
              <w:left w:val="single" w:color="auto" w:sz="4" w:space="0"/>
              <w:bottom w:val="single" w:color="auto" w:sz="4" w:space="0"/>
              <w:right w:val="single" w:color="auto" w:sz="4" w:space="0"/>
            </w:tcBorders>
            <w:noWrap w:val="0"/>
            <w:vAlign w:val="top"/>
          </w:tcPr>
          <w:p w14:paraId="4554D7B5">
            <w:pPr>
              <w:rPr>
                <w:rFonts w:hint="eastAsia" w:ascii="宋体" w:hAnsi="宋体" w:eastAsia="宋体" w:cs="宋体"/>
                <w:bCs/>
                <w:color w:val="auto"/>
                <w:sz w:val="24"/>
                <w:szCs w:val="24"/>
              </w:rPr>
            </w:pPr>
          </w:p>
        </w:tc>
      </w:tr>
      <w:tr w14:paraId="6281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noWrap w:val="0"/>
            <w:vAlign w:val="top"/>
          </w:tcPr>
          <w:p w14:paraId="26682B56">
            <w:pPr>
              <w:rPr>
                <w:rFonts w:hint="eastAsia" w:ascii="宋体" w:hAnsi="宋体" w:eastAsia="宋体" w:cs="宋体"/>
                <w:bCs/>
                <w:color w:val="auto"/>
                <w:sz w:val="24"/>
                <w:szCs w:val="24"/>
              </w:rPr>
            </w:pPr>
          </w:p>
        </w:tc>
        <w:tc>
          <w:tcPr>
            <w:tcW w:w="1946" w:type="dxa"/>
            <w:tcBorders>
              <w:top w:val="single" w:color="auto" w:sz="4" w:space="0"/>
              <w:left w:val="single" w:color="auto" w:sz="4" w:space="0"/>
              <w:bottom w:val="single" w:color="auto" w:sz="4" w:space="0"/>
              <w:right w:val="single" w:color="auto" w:sz="4" w:space="0"/>
            </w:tcBorders>
            <w:noWrap w:val="0"/>
            <w:vAlign w:val="top"/>
          </w:tcPr>
          <w:p w14:paraId="7EED6ABD">
            <w:pPr>
              <w:rPr>
                <w:rFonts w:hint="eastAsia" w:ascii="宋体" w:hAnsi="宋体" w:eastAsia="宋体" w:cs="宋体"/>
                <w:bCs/>
                <w:color w:val="auto"/>
                <w:sz w:val="24"/>
                <w:szCs w:val="24"/>
              </w:rPr>
            </w:pPr>
          </w:p>
        </w:tc>
        <w:tc>
          <w:tcPr>
            <w:tcW w:w="1599" w:type="dxa"/>
            <w:tcBorders>
              <w:top w:val="single" w:color="auto" w:sz="4" w:space="0"/>
              <w:left w:val="single" w:color="auto" w:sz="4" w:space="0"/>
              <w:bottom w:val="single" w:color="auto" w:sz="4" w:space="0"/>
              <w:right w:val="single" w:color="auto" w:sz="4" w:space="0"/>
            </w:tcBorders>
            <w:noWrap w:val="0"/>
            <w:vAlign w:val="top"/>
          </w:tcPr>
          <w:p w14:paraId="56D60DA2">
            <w:pPr>
              <w:rPr>
                <w:rFonts w:hint="eastAsia" w:ascii="宋体" w:hAnsi="宋体" w:eastAsia="宋体" w:cs="宋体"/>
                <w:bCs/>
                <w:color w:val="auto"/>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69ECA46">
            <w:pPr>
              <w:rPr>
                <w:rFonts w:hint="eastAsia" w:ascii="宋体" w:hAnsi="宋体" w:eastAsia="宋体" w:cs="宋体"/>
                <w:bCs/>
                <w:color w:val="auto"/>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6ECF496">
            <w:pPr>
              <w:rPr>
                <w:rFonts w:hint="eastAsia" w:ascii="宋体" w:hAnsi="宋体" w:eastAsia="宋体" w:cs="宋体"/>
                <w:bCs/>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8D7EAE8">
            <w:pPr>
              <w:rPr>
                <w:rFonts w:hint="eastAsia" w:ascii="宋体" w:hAnsi="宋体" w:eastAsia="宋体" w:cs="宋体"/>
                <w:bCs/>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1D6162">
            <w:pPr>
              <w:rPr>
                <w:rFonts w:hint="eastAsia" w:ascii="宋体" w:hAnsi="宋体" w:eastAsia="宋体" w:cs="宋体"/>
                <w:bCs/>
                <w:color w:val="auto"/>
                <w:sz w:val="24"/>
                <w:szCs w:val="24"/>
              </w:rPr>
            </w:pPr>
          </w:p>
        </w:tc>
        <w:tc>
          <w:tcPr>
            <w:tcW w:w="1021" w:type="dxa"/>
            <w:tcBorders>
              <w:top w:val="single" w:color="auto" w:sz="4" w:space="0"/>
              <w:left w:val="single" w:color="auto" w:sz="4" w:space="0"/>
              <w:bottom w:val="single" w:color="auto" w:sz="4" w:space="0"/>
              <w:right w:val="single" w:color="auto" w:sz="4" w:space="0"/>
            </w:tcBorders>
            <w:noWrap w:val="0"/>
            <w:vAlign w:val="top"/>
          </w:tcPr>
          <w:p w14:paraId="098734FA">
            <w:pPr>
              <w:rPr>
                <w:rFonts w:hint="eastAsia" w:ascii="宋体" w:hAnsi="宋体" w:eastAsia="宋体" w:cs="宋体"/>
                <w:bCs/>
                <w:color w:val="auto"/>
                <w:sz w:val="24"/>
                <w:szCs w:val="24"/>
              </w:rPr>
            </w:pPr>
          </w:p>
        </w:tc>
      </w:tr>
      <w:tr w14:paraId="42CF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noWrap w:val="0"/>
            <w:vAlign w:val="top"/>
          </w:tcPr>
          <w:p w14:paraId="61B3032C">
            <w:pPr>
              <w:rPr>
                <w:rFonts w:hint="eastAsia" w:ascii="宋体" w:hAnsi="宋体" w:eastAsia="宋体" w:cs="宋体"/>
                <w:bCs/>
                <w:color w:val="auto"/>
                <w:sz w:val="24"/>
                <w:szCs w:val="24"/>
              </w:rPr>
            </w:pPr>
          </w:p>
        </w:tc>
        <w:tc>
          <w:tcPr>
            <w:tcW w:w="1946" w:type="dxa"/>
            <w:tcBorders>
              <w:top w:val="single" w:color="auto" w:sz="4" w:space="0"/>
              <w:left w:val="single" w:color="auto" w:sz="4" w:space="0"/>
              <w:bottom w:val="single" w:color="auto" w:sz="4" w:space="0"/>
              <w:right w:val="single" w:color="auto" w:sz="4" w:space="0"/>
            </w:tcBorders>
            <w:noWrap w:val="0"/>
            <w:vAlign w:val="top"/>
          </w:tcPr>
          <w:p w14:paraId="47F87A02">
            <w:pPr>
              <w:rPr>
                <w:rFonts w:hint="eastAsia" w:ascii="宋体" w:hAnsi="宋体" w:eastAsia="宋体" w:cs="宋体"/>
                <w:bCs/>
                <w:color w:val="auto"/>
                <w:sz w:val="24"/>
                <w:szCs w:val="24"/>
              </w:rPr>
            </w:pPr>
          </w:p>
        </w:tc>
        <w:tc>
          <w:tcPr>
            <w:tcW w:w="1599" w:type="dxa"/>
            <w:tcBorders>
              <w:top w:val="single" w:color="auto" w:sz="4" w:space="0"/>
              <w:left w:val="single" w:color="auto" w:sz="4" w:space="0"/>
              <w:bottom w:val="single" w:color="auto" w:sz="4" w:space="0"/>
              <w:right w:val="single" w:color="auto" w:sz="4" w:space="0"/>
            </w:tcBorders>
            <w:noWrap w:val="0"/>
            <w:vAlign w:val="top"/>
          </w:tcPr>
          <w:p w14:paraId="623B33B8">
            <w:pPr>
              <w:rPr>
                <w:rFonts w:hint="eastAsia" w:ascii="宋体" w:hAnsi="宋体" w:eastAsia="宋体" w:cs="宋体"/>
                <w:bCs/>
                <w:color w:val="auto"/>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5AA8602">
            <w:pPr>
              <w:rPr>
                <w:rFonts w:hint="eastAsia" w:ascii="宋体" w:hAnsi="宋体" w:eastAsia="宋体" w:cs="宋体"/>
                <w:bCs/>
                <w:color w:val="auto"/>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31F3D87">
            <w:pPr>
              <w:rPr>
                <w:rFonts w:hint="eastAsia" w:ascii="宋体" w:hAnsi="宋体" w:eastAsia="宋体" w:cs="宋体"/>
                <w:bCs/>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DCD403B">
            <w:pPr>
              <w:rPr>
                <w:rFonts w:hint="eastAsia" w:ascii="宋体" w:hAnsi="宋体" w:eastAsia="宋体" w:cs="宋体"/>
                <w:bCs/>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6A5BA9A">
            <w:pPr>
              <w:rPr>
                <w:rFonts w:hint="eastAsia" w:ascii="宋体" w:hAnsi="宋体" w:eastAsia="宋体" w:cs="宋体"/>
                <w:bCs/>
                <w:color w:val="auto"/>
                <w:sz w:val="24"/>
                <w:szCs w:val="24"/>
              </w:rPr>
            </w:pPr>
          </w:p>
        </w:tc>
        <w:tc>
          <w:tcPr>
            <w:tcW w:w="1021" w:type="dxa"/>
            <w:tcBorders>
              <w:top w:val="single" w:color="auto" w:sz="4" w:space="0"/>
              <w:left w:val="single" w:color="auto" w:sz="4" w:space="0"/>
              <w:bottom w:val="single" w:color="auto" w:sz="4" w:space="0"/>
              <w:right w:val="single" w:color="auto" w:sz="4" w:space="0"/>
            </w:tcBorders>
            <w:noWrap w:val="0"/>
            <w:vAlign w:val="top"/>
          </w:tcPr>
          <w:p w14:paraId="4D22914B">
            <w:pPr>
              <w:rPr>
                <w:rFonts w:hint="eastAsia" w:ascii="宋体" w:hAnsi="宋体" w:eastAsia="宋体" w:cs="宋体"/>
                <w:bCs/>
                <w:color w:val="auto"/>
                <w:sz w:val="24"/>
                <w:szCs w:val="24"/>
              </w:rPr>
            </w:pPr>
          </w:p>
        </w:tc>
      </w:tr>
      <w:tr w14:paraId="50BA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noWrap w:val="0"/>
            <w:vAlign w:val="top"/>
          </w:tcPr>
          <w:p w14:paraId="7B80D415">
            <w:pPr>
              <w:rPr>
                <w:rFonts w:hint="eastAsia" w:ascii="宋体" w:hAnsi="宋体" w:eastAsia="宋体" w:cs="宋体"/>
                <w:bCs/>
                <w:color w:val="auto"/>
                <w:sz w:val="24"/>
                <w:szCs w:val="24"/>
              </w:rPr>
            </w:pPr>
          </w:p>
        </w:tc>
        <w:tc>
          <w:tcPr>
            <w:tcW w:w="1946" w:type="dxa"/>
            <w:tcBorders>
              <w:top w:val="single" w:color="auto" w:sz="4" w:space="0"/>
              <w:left w:val="single" w:color="auto" w:sz="4" w:space="0"/>
              <w:bottom w:val="single" w:color="auto" w:sz="4" w:space="0"/>
              <w:right w:val="single" w:color="auto" w:sz="4" w:space="0"/>
            </w:tcBorders>
            <w:noWrap w:val="0"/>
            <w:vAlign w:val="top"/>
          </w:tcPr>
          <w:p w14:paraId="506960B9">
            <w:pPr>
              <w:rPr>
                <w:rFonts w:hint="eastAsia" w:ascii="宋体" w:hAnsi="宋体" w:eastAsia="宋体" w:cs="宋体"/>
                <w:bCs/>
                <w:color w:val="auto"/>
                <w:sz w:val="24"/>
                <w:szCs w:val="24"/>
              </w:rPr>
            </w:pPr>
          </w:p>
        </w:tc>
        <w:tc>
          <w:tcPr>
            <w:tcW w:w="1599" w:type="dxa"/>
            <w:tcBorders>
              <w:top w:val="single" w:color="auto" w:sz="4" w:space="0"/>
              <w:left w:val="single" w:color="auto" w:sz="4" w:space="0"/>
              <w:bottom w:val="single" w:color="auto" w:sz="4" w:space="0"/>
              <w:right w:val="single" w:color="auto" w:sz="4" w:space="0"/>
            </w:tcBorders>
            <w:noWrap w:val="0"/>
            <w:vAlign w:val="top"/>
          </w:tcPr>
          <w:p w14:paraId="1A50C0B1">
            <w:pPr>
              <w:rPr>
                <w:rFonts w:hint="eastAsia" w:ascii="宋体" w:hAnsi="宋体" w:eastAsia="宋体" w:cs="宋体"/>
                <w:bCs/>
                <w:color w:val="auto"/>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37EBF73">
            <w:pPr>
              <w:rPr>
                <w:rFonts w:hint="eastAsia" w:ascii="宋体" w:hAnsi="宋体" w:eastAsia="宋体" w:cs="宋体"/>
                <w:bCs/>
                <w:color w:val="auto"/>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E24BDD8">
            <w:pPr>
              <w:rPr>
                <w:rFonts w:hint="eastAsia" w:ascii="宋体" w:hAnsi="宋体" w:eastAsia="宋体" w:cs="宋体"/>
                <w:bCs/>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C595FD">
            <w:pPr>
              <w:rPr>
                <w:rFonts w:hint="eastAsia" w:ascii="宋体" w:hAnsi="宋体" w:eastAsia="宋体" w:cs="宋体"/>
                <w:bCs/>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5D9976">
            <w:pPr>
              <w:rPr>
                <w:rFonts w:hint="eastAsia" w:ascii="宋体" w:hAnsi="宋体" w:eastAsia="宋体" w:cs="宋体"/>
                <w:bCs/>
                <w:color w:val="auto"/>
                <w:sz w:val="24"/>
                <w:szCs w:val="24"/>
              </w:rPr>
            </w:pPr>
          </w:p>
        </w:tc>
        <w:tc>
          <w:tcPr>
            <w:tcW w:w="1021" w:type="dxa"/>
            <w:tcBorders>
              <w:top w:val="single" w:color="auto" w:sz="4" w:space="0"/>
              <w:left w:val="single" w:color="auto" w:sz="4" w:space="0"/>
              <w:bottom w:val="single" w:color="auto" w:sz="4" w:space="0"/>
              <w:right w:val="single" w:color="auto" w:sz="4" w:space="0"/>
            </w:tcBorders>
            <w:noWrap w:val="0"/>
            <w:vAlign w:val="top"/>
          </w:tcPr>
          <w:p w14:paraId="44E78C55">
            <w:pPr>
              <w:rPr>
                <w:rFonts w:hint="eastAsia" w:ascii="宋体" w:hAnsi="宋体" w:eastAsia="宋体" w:cs="宋体"/>
                <w:bCs/>
                <w:color w:val="auto"/>
                <w:sz w:val="24"/>
                <w:szCs w:val="24"/>
              </w:rPr>
            </w:pPr>
          </w:p>
        </w:tc>
      </w:tr>
      <w:tr w14:paraId="54E0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noWrap w:val="0"/>
            <w:vAlign w:val="top"/>
          </w:tcPr>
          <w:p w14:paraId="790920A2">
            <w:pPr>
              <w:rPr>
                <w:rFonts w:hint="eastAsia" w:ascii="宋体" w:hAnsi="宋体" w:eastAsia="宋体" w:cs="宋体"/>
                <w:bCs/>
                <w:color w:val="auto"/>
                <w:sz w:val="24"/>
                <w:szCs w:val="24"/>
              </w:rPr>
            </w:pPr>
          </w:p>
        </w:tc>
        <w:tc>
          <w:tcPr>
            <w:tcW w:w="1946" w:type="dxa"/>
            <w:tcBorders>
              <w:top w:val="single" w:color="auto" w:sz="4" w:space="0"/>
              <w:left w:val="single" w:color="auto" w:sz="4" w:space="0"/>
              <w:bottom w:val="single" w:color="auto" w:sz="4" w:space="0"/>
              <w:right w:val="single" w:color="auto" w:sz="4" w:space="0"/>
            </w:tcBorders>
            <w:noWrap w:val="0"/>
            <w:vAlign w:val="top"/>
          </w:tcPr>
          <w:p w14:paraId="27E2B8C2">
            <w:pPr>
              <w:rPr>
                <w:rFonts w:hint="eastAsia" w:ascii="宋体" w:hAnsi="宋体" w:eastAsia="宋体" w:cs="宋体"/>
                <w:bCs/>
                <w:color w:val="auto"/>
                <w:sz w:val="24"/>
                <w:szCs w:val="24"/>
              </w:rPr>
            </w:pPr>
          </w:p>
        </w:tc>
        <w:tc>
          <w:tcPr>
            <w:tcW w:w="1599" w:type="dxa"/>
            <w:tcBorders>
              <w:top w:val="single" w:color="auto" w:sz="4" w:space="0"/>
              <w:left w:val="single" w:color="auto" w:sz="4" w:space="0"/>
              <w:bottom w:val="single" w:color="auto" w:sz="4" w:space="0"/>
              <w:right w:val="single" w:color="auto" w:sz="4" w:space="0"/>
            </w:tcBorders>
            <w:noWrap w:val="0"/>
            <w:vAlign w:val="top"/>
          </w:tcPr>
          <w:p w14:paraId="725C56DC">
            <w:pPr>
              <w:rPr>
                <w:rFonts w:hint="eastAsia" w:ascii="宋体" w:hAnsi="宋体" w:eastAsia="宋体" w:cs="宋体"/>
                <w:bCs/>
                <w:color w:val="auto"/>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0689A17">
            <w:pPr>
              <w:rPr>
                <w:rFonts w:hint="eastAsia" w:ascii="宋体" w:hAnsi="宋体" w:eastAsia="宋体" w:cs="宋体"/>
                <w:bCs/>
                <w:color w:val="auto"/>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79BF252">
            <w:pPr>
              <w:rPr>
                <w:rFonts w:hint="eastAsia" w:ascii="宋体" w:hAnsi="宋体" w:eastAsia="宋体" w:cs="宋体"/>
                <w:bCs/>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E41D691">
            <w:pPr>
              <w:rPr>
                <w:rFonts w:hint="eastAsia" w:ascii="宋体" w:hAnsi="宋体" w:eastAsia="宋体" w:cs="宋体"/>
                <w:bCs/>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168089">
            <w:pPr>
              <w:rPr>
                <w:rFonts w:hint="eastAsia" w:ascii="宋体" w:hAnsi="宋体" w:eastAsia="宋体" w:cs="宋体"/>
                <w:bCs/>
                <w:color w:val="auto"/>
                <w:sz w:val="24"/>
                <w:szCs w:val="24"/>
              </w:rPr>
            </w:pPr>
          </w:p>
        </w:tc>
        <w:tc>
          <w:tcPr>
            <w:tcW w:w="1021" w:type="dxa"/>
            <w:tcBorders>
              <w:top w:val="single" w:color="auto" w:sz="4" w:space="0"/>
              <w:left w:val="single" w:color="auto" w:sz="4" w:space="0"/>
              <w:bottom w:val="single" w:color="auto" w:sz="4" w:space="0"/>
              <w:right w:val="single" w:color="auto" w:sz="4" w:space="0"/>
            </w:tcBorders>
            <w:noWrap w:val="0"/>
            <w:vAlign w:val="top"/>
          </w:tcPr>
          <w:p w14:paraId="66177E54">
            <w:pPr>
              <w:rPr>
                <w:rFonts w:hint="eastAsia" w:ascii="宋体" w:hAnsi="宋体" w:eastAsia="宋体" w:cs="宋体"/>
                <w:bCs/>
                <w:color w:val="auto"/>
                <w:sz w:val="24"/>
                <w:szCs w:val="24"/>
              </w:rPr>
            </w:pPr>
          </w:p>
        </w:tc>
      </w:tr>
      <w:tr w14:paraId="0883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noWrap w:val="0"/>
            <w:vAlign w:val="top"/>
          </w:tcPr>
          <w:p w14:paraId="74C3A8E6">
            <w:pPr>
              <w:rPr>
                <w:rFonts w:hint="eastAsia" w:ascii="宋体" w:hAnsi="宋体" w:eastAsia="宋体" w:cs="宋体"/>
                <w:bCs/>
                <w:color w:val="auto"/>
                <w:sz w:val="24"/>
                <w:szCs w:val="24"/>
              </w:rPr>
            </w:pPr>
          </w:p>
        </w:tc>
        <w:tc>
          <w:tcPr>
            <w:tcW w:w="1946" w:type="dxa"/>
            <w:tcBorders>
              <w:top w:val="single" w:color="auto" w:sz="4" w:space="0"/>
              <w:left w:val="single" w:color="auto" w:sz="4" w:space="0"/>
              <w:bottom w:val="single" w:color="auto" w:sz="4" w:space="0"/>
              <w:right w:val="single" w:color="auto" w:sz="4" w:space="0"/>
            </w:tcBorders>
            <w:noWrap w:val="0"/>
            <w:vAlign w:val="top"/>
          </w:tcPr>
          <w:p w14:paraId="6AE1C142">
            <w:pPr>
              <w:rPr>
                <w:rFonts w:hint="eastAsia" w:ascii="宋体" w:hAnsi="宋体" w:eastAsia="宋体" w:cs="宋体"/>
                <w:bCs/>
                <w:color w:val="auto"/>
                <w:sz w:val="24"/>
                <w:szCs w:val="24"/>
              </w:rPr>
            </w:pPr>
          </w:p>
        </w:tc>
        <w:tc>
          <w:tcPr>
            <w:tcW w:w="1599" w:type="dxa"/>
            <w:tcBorders>
              <w:top w:val="single" w:color="auto" w:sz="4" w:space="0"/>
              <w:left w:val="single" w:color="auto" w:sz="4" w:space="0"/>
              <w:bottom w:val="single" w:color="auto" w:sz="4" w:space="0"/>
              <w:right w:val="single" w:color="auto" w:sz="4" w:space="0"/>
            </w:tcBorders>
            <w:noWrap w:val="0"/>
            <w:vAlign w:val="top"/>
          </w:tcPr>
          <w:p w14:paraId="56416126">
            <w:pPr>
              <w:rPr>
                <w:rFonts w:hint="eastAsia" w:ascii="宋体" w:hAnsi="宋体" w:eastAsia="宋体" w:cs="宋体"/>
                <w:bCs/>
                <w:color w:val="auto"/>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9775C46">
            <w:pPr>
              <w:rPr>
                <w:rFonts w:hint="eastAsia" w:ascii="宋体" w:hAnsi="宋体" w:eastAsia="宋体" w:cs="宋体"/>
                <w:bCs/>
                <w:color w:val="auto"/>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EAB38E3">
            <w:pPr>
              <w:rPr>
                <w:rFonts w:hint="eastAsia" w:ascii="宋体" w:hAnsi="宋体" w:eastAsia="宋体" w:cs="宋体"/>
                <w:bCs/>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0DAEB35">
            <w:pPr>
              <w:rPr>
                <w:rFonts w:hint="eastAsia" w:ascii="宋体" w:hAnsi="宋体" w:eastAsia="宋体" w:cs="宋体"/>
                <w:bCs/>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F45139">
            <w:pPr>
              <w:rPr>
                <w:rFonts w:hint="eastAsia" w:ascii="宋体" w:hAnsi="宋体" w:eastAsia="宋体" w:cs="宋体"/>
                <w:bCs/>
                <w:color w:val="auto"/>
                <w:sz w:val="24"/>
                <w:szCs w:val="24"/>
              </w:rPr>
            </w:pPr>
          </w:p>
        </w:tc>
        <w:tc>
          <w:tcPr>
            <w:tcW w:w="1021" w:type="dxa"/>
            <w:tcBorders>
              <w:top w:val="single" w:color="auto" w:sz="4" w:space="0"/>
              <w:left w:val="single" w:color="auto" w:sz="4" w:space="0"/>
              <w:bottom w:val="single" w:color="auto" w:sz="4" w:space="0"/>
              <w:right w:val="single" w:color="auto" w:sz="4" w:space="0"/>
            </w:tcBorders>
            <w:noWrap w:val="0"/>
            <w:vAlign w:val="top"/>
          </w:tcPr>
          <w:p w14:paraId="29051352">
            <w:pPr>
              <w:rPr>
                <w:rFonts w:hint="eastAsia" w:ascii="宋体" w:hAnsi="宋体" w:eastAsia="宋体" w:cs="宋体"/>
                <w:bCs/>
                <w:color w:val="auto"/>
                <w:sz w:val="24"/>
                <w:szCs w:val="24"/>
              </w:rPr>
            </w:pPr>
          </w:p>
        </w:tc>
      </w:tr>
      <w:tr w14:paraId="42FC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noWrap w:val="0"/>
            <w:vAlign w:val="top"/>
          </w:tcPr>
          <w:p w14:paraId="677EE722">
            <w:pPr>
              <w:rPr>
                <w:rFonts w:hint="eastAsia" w:ascii="宋体" w:hAnsi="宋体" w:eastAsia="宋体" w:cs="宋体"/>
                <w:bCs/>
                <w:color w:val="auto"/>
                <w:sz w:val="24"/>
                <w:szCs w:val="24"/>
              </w:rPr>
            </w:pPr>
          </w:p>
        </w:tc>
        <w:tc>
          <w:tcPr>
            <w:tcW w:w="1946" w:type="dxa"/>
            <w:tcBorders>
              <w:top w:val="single" w:color="auto" w:sz="4" w:space="0"/>
              <w:left w:val="single" w:color="auto" w:sz="4" w:space="0"/>
              <w:bottom w:val="single" w:color="auto" w:sz="4" w:space="0"/>
              <w:right w:val="single" w:color="auto" w:sz="4" w:space="0"/>
            </w:tcBorders>
            <w:noWrap w:val="0"/>
            <w:vAlign w:val="top"/>
          </w:tcPr>
          <w:p w14:paraId="31BC52E7">
            <w:pPr>
              <w:rPr>
                <w:rFonts w:hint="eastAsia" w:ascii="宋体" w:hAnsi="宋体" w:eastAsia="宋体" w:cs="宋体"/>
                <w:bCs/>
                <w:color w:val="auto"/>
                <w:sz w:val="24"/>
                <w:szCs w:val="24"/>
              </w:rPr>
            </w:pPr>
          </w:p>
        </w:tc>
        <w:tc>
          <w:tcPr>
            <w:tcW w:w="1599" w:type="dxa"/>
            <w:tcBorders>
              <w:top w:val="single" w:color="auto" w:sz="4" w:space="0"/>
              <w:left w:val="single" w:color="auto" w:sz="4" w:space="0"/>
              <w:bottom w:val="single" w:color="auto" w:sz="4" w:space="0"/>
              <w:right w:val="single" w:color="auto" w:sz="4" w:space="0"/>
            </w:tcBorders>
            <w:noWrap w:val="0"/>
            <w:vAlign w:val="top"/>
          </w:tcPr>
          <w:p w14:paraId="186126C9">
            <w:pPr>
              <w:rPr>
                <w:rFonts w:hint="eastAsia" w:ascii="宋体" w:hAnsi="宋体" w:eastAsia="宋体" w:cs="宋体"/>
                <w:bCs/>
                <w:color w:val="auto"/>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99CF74A">
            <w:pPr>
              <w:rPr>
                <w:rFonts w:hint="eastAsia" w:ascii="宋体" w:hAnsi="宋体" w:eastAsia="宋体" w:cs="宋体"/>
                <w:bCs/>
                <w:color w:val="auto"/>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FF96CED">
            <w:pPr>
              <w:rPr>
                <w:rFonts w:hint="eastAsia" w:ascii="宋体" w:hAnsi="宋体" w:eastAsia="宋体" w:cs="宋体"/>
                <w:bCs/>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2B9FC42">
            <w:pPr>
              <w:rPr>
                <w:rFonts w:hint="eastAsia" w:ascii="宋体" w:hAnsi="宋体" w:eastAsia="宋体" w:cs="宋体"/>
                <w:bCs/>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1FD6E7">
            <w:pPr>
              <w:rPr>
                <w:rFonts w:hint="eastAsia" w:ascii="宋体" w:hAnsi="宋体" w:eastAsia="宋体" w:cs="宋体"/>
                <w:bCs/>
                <w:color w:val="auto"/>
                <w:sz w:val="24"/>
                <w:szCs w:val="24"/>
              </w:rPr>
            </w:pPr>
          </w:p>
        </w:tc>
        <w:tc>
          <w:tcPr>
            <w:tcW w:w="1021" w:type="dxa"/>
            <w:tcBorders>
              <w:top w:val="single" w:color="auto" w:sz="4" w:space="0"/>
              <w:left w:val="single" w:color="auto" w:sz="4" w:space="0"/>
              <w:bottom w:val="single" w:color="auto" w:sz="4" w:space="0"/>
              <w:right w:val="single" w:color="auto" w:sz="4" w:space="0"/>
            </w:tcBorders>
            <w:noWrap w:val="0"/>
            <w:vAlign w:val="top"/>
          </w:tcPr>
          <w:p w14:paraId="7243FC30">
            <w:pPr>
              <w:rPr>
                <w:rFonts w:hint="eastAsia" w:ascii="宋体" w:hAnsi="宋体" w:eastAsia="宋体" w:cs="宋体"/>
                <w:bCs/>
                <w:color w:val="auto"/>
                <w:sz w:val="24"/>
                <w:szCs w:val="24"/>
              </w:rPr>
            </w:pPr>
          </w:p>
        </w:tc>
      </w:tr>
      <w:tr w14:paraId="03CB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5994" w:type="dxa"/>
            <w:gridSpan w:val="5"/>
            <w:tcBorders>
              <w:top w:val="single" w:color="auto" w:sz="4" w:space="0"/>
              <w:left w:val="single" w:color="auto" w:sz="4" w:space="0"/>
              <w:bottom w:val="single" w:color="auto" w:sz="4" w:space="0"/>
              <w:right w:val="single" w:color="auto" w:sz="4" w:space="0"/>
            </w:tcBorders>
            <w:noWrap w:val="0"/>
            <w:vAlign w:val="center"/>
          </w:tcPr>
          <w:p w14:paraId="437C2E78">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合计</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9E9D58">
            <w:pPr>
              <w:jc w:val="center"/>
              <w:rPr>
                <w:rFonts w:hint="eastAsia" w:ascii="宋体" w:hAnsi="宋体" w:eastAsia="宋体" w:cs="宋体"/>
                <w:bCs/>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01EACD">
            <w:pPr>
              <w:jc w:val="center"/>
              <w:rPr>
                <w:rFonts w:hint="eastAsia" w:ascii="宋体" w:hAnsi="宋体" w:eastAsia="宋体" w:cs="宋体"/>
                <w:bCs/>
                <w:color w:val="auto"/>
                <w:sz w:val="24"/>
                <w:szCs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5BBD51E">
            <w:pPr>
              <w:jc w:val="center"/>
              <w:rPr>
                <w:rFonts w:hint="eastAsia" w:ascii="宋体" w:hAnsi="宋体" w:eastAsia="宋体" w:cs="宋体"/>
                <w:bCs/>
                <w:color w:val="auto"/>
                <w:sz w:val="24"/>
                <w:szCs w:val="24"/>
              </w:rPr>
            </w:pPr>
          </w:p>
        </w:tc>
      </w:tr>
    </w:tbl>
    <w:p w14:paraId="594B597A">
      <w:pPr>
        <w:spacing w:line="480" w:lineRule="auto"/>
        <w:jc w:val="left"/>
        <w:rPr>
          <w:rFonts w:hint="eastAsia" w:ascii="宋体" w:hAnsi="宋体"/>
          <w:bCs/>
          <w:color w:val="auto"/>
          <w:sz w:val="24"/>
        </w:rPr>
      </w:pPr>
    </w:p>
    <w:p w14:paraId="0F3B45D5">
      <w:pPr>
        <w:spacing w:line="480" w:lineRule="auto"/>
        <w:jc w:val="left"/>
        <w:rPr>
          <w:rFonts w:hint="eastAsia" w:ascii="宋体" w:hAnsi="宋体"/>
          <w:bCs/>
          <w:color w:val="auto"/>
          <w:sz w:val="24"/>
        </w:rPr>
      </w:pPr>
    </w:p>
    <w:p w14:paraId="32A14E3E">
      <w:pPr>
        <w:spacing w:line="480" w:lineRule="auto"/>
        <w:jc w:val="left"/>
        <w:rPr>
          <w:rFonts w:hint="eastAsia" w:ascii="宋体" w:hAnsi="宋体"/>
          <w:bCs/>
          <w:color w:val="auto"/>
          <w:sz w:val="24"/>
          <w:u w:val="single"/>
        </w:rPr>
      </w:pPr>
      <w:r>
        <w:rPr>
          <w:rFonts w:hint="eastAsia" w:ascii="宋体" w:hAnsi="宋体"/>
          <w:bCs/>
          <w:color w:val="auto"/>
          <w:sz w:val="24"/>
          <w:lang w:eastAsia="zh-CN"/>
        </w:rPr>
        <w:t>供应商</w:t>
      </w:r>
      <w:r>
        <w:rPr>
          <w:rFonts w:hint="eastAsia" w:ascii="宋体" w:hAnsi="宋体"/>
          <w:bCs/>
          <w:color w:val="auto"/>
          <w:sz w:val="24"/>
        </w:rPr>
        <w:t>：</w:t>
      </w:r>
      <w:r>
        <w:rPr>
          <w:rFonts w:hint="eastAsia" w:ascii="宋体" w:hAnsi="宋体"/>
          <w:bCs/>
          <w:color w:val="auto"/>
          <w:sz w:val="24"/>
          <w:u w:val="single"/>
        </w:rPr>
        <w:t xml:space="preserve">                             </w:t>
      </w:r>
      <w:r>
        <w:rPr>
          <w:rFonts w:hint="eastAsia" w:ascii="宋体" w:hAnsi="宋体"/>
          <w:bCs/>
          <w:color w:val="auto"/>
          <w:sz w:val="24"/>
        </w:rPr>
        <w:t xml:space="preserve">(电子签章) </w:t>
      </w:r>
    </w:p>
    <w:p w14:paraId="54D71104">
      <w:pPr>
        <w:spacing w:line="480" w:lineRule="auto"/>
        <w:jc w:val="left"/>
        <w:rPr>
          <w:rFonts w:hint="eastAsia" w:ascii="宋体" w:hAnsi="宋体"/>
          <w:bCs/>
          <w:color w:val="auto"/>
          <w:sz w:val="24"/>
        </w:rPr>
      </w:pPr>
      <w:r>
        <w:rPr>
          <w:rFonts w:hint="eastAsia" w:ascii="宋体" w:hAnsi="宋体"/>
          <w:bCs/>
          <w:color w:val="auto"/>
          <w:sz w:val="24"/>
        </w:rPr>
        <w:t>法定代表人或其委托代理人：</w:t>
      </w:r>
      <w:r>
        <w:rPr>
          <w:rFonts w:hint="eastAsia" w:ascii="宋体" w:hAnsi="宋体"/>
          <w:bCs/>
          <w:color w:val="auto"/>
          <w:sz w:val="24"/>
          <w:u w:val="single"/>
        </w:rPr>
        <w:t xml:space="preserve">          </w:t>
      </w:r>
      <w:r>
        <w:rPr>
          <w:rFonts w:hint="eastAsia" w:ascii="宋体" w:hAnsi="宋体"/>
          <w:bCs/>
          <w:color w:val="auto"/>
          <w:sz w:val="24"/>
        </w:rPr>
        <w:t xml:space="preserve">(电子签章或签名) </w:t>
      </w:r>
    </w:p>
    <w:p w14:paraId="347A6124">
      <w:pPr>
        <w:spacing w:line="480" w:lineRule="auto"/>
        <w:jc w:val="left"/>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2BF308E6">
      <w:pPr>
        <w:ind w:firstLine="560" w:firstLineChars="200"/>
        <w:rPr>
          <w:bCs/>
          <w:color w:val="auto"/>
          <w:sz w:val="28"/>
          <w:szCs w:val="28"/>
        </w:rPr>
      </w:pPr>
    </w:p>
    <w:p w14:paraId="0CF222D5">
      <w:pPr>
        <w:spacing w:line="240" w:lineRule="atLeast"/>
        <w:jc w:val="center"/>
        <w:outlineLvl w:val="1"/>
        <w:rPr>
          <w:rStyle w:val="133"/>
          <w:rFonts w:hint="eastAsia" w:ascii="宋体" w:hAnsi="宋体" w:eastAsia="宋体" w:cs="宋体"/>
          <w:color w:val="auto"/>
        </w:rPr>
      </w:pPr>
      <w:r>
        <w:rPr>
          <w:rStyle w:val="132"/>
          <w:rFonts w:hint="eastAsia" w:ascii="宋体" w:hAnsi="宋体" w:eastAsia="宋体" w:cs="宋体"/>
          <w:color w:val="auto"/>
          <w:sz w:val="36"/>
          <w:szCs w:val="22"/>
        </w:rPr>
        <w:br w:type="page"/>
      </w:r>
      <w:bookmarkStart w:id="161" w:name="_Toc17535"/>
      <w:bookmarkStart w:id="162" w:name="_Toc24848"/>
      <w:bookmarkStart w:id="163" w:name="_Toc16500"/>
      <w:r>
        <w:rPr>
          <w:rStyle w:val="133"/>
          <w:rFonts w:hint="eastAsia" w:ascii="宋体" w:hAnsi="宋体" w:eastAsia="宋体" w:cs="宋体"/>
          <w:color w:val="auto"/>
        </w:rPr>
        <w:t>二、投标文件商务部分格式</w:t>
      </w:r>
      <w:bookmarkEnd w:id="161"/>
      <w:bookmarkEnd w:id="162"/>
      <w:bookmarkEnd w:id="163"/>
    </w:p>
    <w:p w14:paraId="402F0EA9">
      <w:pPr>
        <w:pStyle w:val="4"/>
        <w:spacing w:before="0" w:line="240" w:lineRule="atLeast"/>
        <w:jc w:val="center"/>
        <w:rPr>
          <w:rFonts w:hint="eastAsia" w:asciiTheme="minorEastAsia" w:hAnsiTheme="minorEastAsia" w:eastAsiaTheme="minorEastAsia" w:cstheme="minorEastAsia"/>
          <w:color w:val="auto"/>
          <w:szCs w:val="28"/>
        </w:rPr>
      </w:pPr>
      <w:bookmarkStart w:id="164" w:name="_Toc5851"/>
      <w:bookmarkStart w:id="165" w:name="_Toc27956"/>
      <w:r>
        <w:rPr>
          <w:rFonts w:hint="eastAsia" w:asciiTheme="minorEastAsia" w:hAnsiTheme="minorEastAsia" w:eastAsiaTheme="minorEastAsia" w:cstheme="minorEastAsia"/>
          <w:color w:val="auto"/>
          <w:szCs w:val="28"/>
        </w:rPr>
        <w:t>（一）投标函</w:t>
      </w:r>
      <w:bookmarkEnd w:id="164"/>
      <w:bookmarkEnd w:id="165"/>
    </w:p>
    <w:p w14:paraId="68523598">
      <w:pPr>
        <w:pStyle w:val="21"/>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 xml:space="preserve">                 （采购人名称）</w:t>
      </w:r>
    </w:p>
    <w:p w14:paraId="34DEFE02">
      <w:pPr>
        <w:pStyle w:val="21"/>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我方仔细研究了</w:t>
      </w:r>
      <w:r>
        <w:rPr>
          <w:rFonts w:hint="eastAsia" w:asciiTheme="minorEastAsia" w:hAnsiTheme="minorEastAsia" w:eastAsiaTheme="minorEastAsia" w:cstheme="minorEastAsia"/>
          <w:color w:val="auto"/>
          <w:sz w:val="24"/>
          <w:szCs w:val="24"/>
          <w:u w:val="single"/>
        </w:rPr>
        <w:t>（采购项目名称）</w:t>
      </w: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）项目招标文件的全部内容，正式授权下述签字人 </w:t>
      </w:r>
      <w:r>
        <w:rPr>
          <w:rFonts w:hint="eastAsia" w:asciiTheme="minorEastAsia" w:hAnsiTheme="minorEastAsia" w:eastAsiaTheme="minorEastAsia" w:cstheme="minorEastAsia"/>
          <w:color w:val="auto"/>
          <w:sz w:val="24"/>
          <w:szCs w:val="24"/>
          <w:u w:val="single"/>
        </w:rPr>
        <w:t xml:space="preserve">（姓名和职务） </w:t>
      </w:r>
      <w:r>
        <w:rPr>
          <w:rFonts w:hint="eastAsia" w:asciiTheme="minorEastAsia" w:hAnsiTheme="minorEastAsia" w:eastAsiaTheme="minorEastAsia" w:cstheme="minorEastAsia"/>
          <w:color w:val="auto"/>
          <w:sz w:val="24"/>
          <w:szCs w:val="24"/>
        </w:rPr>
        <w:t>全权代表</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供应商</w:t>
      </w:r>
      <w:r>
        <w:rPr>
          <w:rFonts w:hint="eastAsia" w:asciiTheme="minorEastAsia" w:hAnsiTheme="minorEastAsia" w:eastAsiaTheme="minorEastAsia" w:cstheme="minorEastAsia"/>
          <w:color w:val="auto"/>
          <w:sz w:val="24"/>
          <w:szCs w:val="24"/>
          <w:u w:val="single"/>
        </w:rPr>
        <w:t xml:space="preserve">全称）    </w:t>
      </w:r>
      <w:r>
        <w:rPr>
          <w:rFonts w:hint="eastAsia" w:asciiTheme="minorEastAsia" w:hAnsiTheme="minorEastAsia" w:eastAsiaTheme="minorEastAsia" w:cstheme="minorEastAsia"/>
          <w:color w:val="auto"/>
          <w:sz w:val="24"/>
          <w:szCs w:val="24"/>
        </w:rPr>
        <w:t>参加投标，并提交投标文件。</w:t>
      </w:r>
    </w:p>
    <w:p w14:paraId="69C35AE1">
      <w:pPr>
        <w:pStyle w:val="21"/>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1.按招标文件采购需求，</w:t>
      </w:r>
      <w:r>
        <w:rPr>
          <w:rFonts w:hint="eastAsia" w:ascii="Times New Roman"/>
          <w:color w:val="auto"/>
          <w:sz w:val="24"/>
          <w:szCs w:val="24"/>
        </w:rPr>
        <w:t>对本项目投标总报价为</w:t>
      </w:r>
      <w:r>
        <w:rPr>
          <w:rFonts w:hint="eastAsia" w:hAnsi="宋体" w:cs="宋体"/>
          <w:color w:val="auto"/>
          <w:sz w:val="24"/>
          <w:szCs w:val="24"/>
        </w:rPr>
        <w:t>：</w:t>
      </w:r>
      <w:r>
        <w:rPr>
          <w:rFonts w:hint="eastAsia"/>
          <w:color w:val="auto"/>
          <w:sz w:val="24"/>
          <w:szCs w:val="24"/>
        </w:rPr>
        <w:t>小写：</w:t>
      </w:r>
      <w:r>
        <w:rPr>
          <w:rFonts w:hint="eastAsia"/>
          <w:color w:val="auto"/>
          <w:sz w:val="24"/>
          <w:szCs w:val="24"/>
          <w:u w:val="single"/>
        </w:rPr>
        <w:t xml:space="preserve">      </w:t>
      </w:r>
      <w:r>
        <w:rPr>
          <w:rFonts w:hint="eastAsia"/>
          <w:color w:val="auto"/>
          <w:sz w:val="24"/>
          <w:szCs w:val="24"/>
          <w:u w:val="none"/>
          <w:lang w:eastAsia="zh-CN"/>
        </w:rPr>
        <w:t>；</w:t>
      </w:r>
      <w:r>
        <w:rPr>
          <w:rFonts w:hint="eastAsia"/>
          <w:color w:val="auto"/>
          <w:sz w:val="24"/>
          <w:szCs w:val="24"/>
        </w:rPr>
        <w:t>大写：</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068266DF">
      <w:pPr>
        <w:pStyle w:val="21"/>
        <w:spacing w:line="360" w:lineRule="auto"/>
        <w:ind w:firstLine="480" w:firstLineChars="200"/>
        <w:rPr>
          <w:rFonts w:hint="eastAsia" w:asciiTheme="minorEastAsia" w:hAnsiTheme="minorEastAsia" w:eastAsiaTheme="minorEastAsia" w:cstheme="minorEastAsia"/>
          <w:color w:val="auto"/>
          <w:spacing w:val="-10"/>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pacing w:val="-10"/>
          <w:sz w:val="24"/>
          <w:szCs w:val="24"/>
        </w:rPr>
        <w:t>方已详细审查全部招标文件，包括</w:t>
      </w:r>
      <w:r>
        <w:rPr>
          <w:rFonts w:hint="eastAsia" w:asciiTheme="minorEastAsia" w:hAnsiTheme="minorEastAsia" w:eastAsiaTheme="minorEastAsia" w:cstheme="minorEastAsia"/>
          <w:iCs/>
          <w:color w:val="auto"/>
          <w:spacing w:val="-10"/>
          <w:sz w:val="24"/>
          <w:szCs w:val="24"/>
          <w:u w:val="single"/>
        </w:rPr>
        <w:t>（澄清文件）</w:t>
      </w:r>
      <w:r>
        <w:rPr>
          <w:rFonts w:hint="eastAsia" w:asciiTheme="minorEastAsia" w:hAnsiTheme="minorEastAsia" w:eastAsiaTheme="minorEastAsia" w:cstheme="minorEastAsia"/>
          <w:color w:val="auto"/>
          <w:spacing w:val="-10"/>
          <w:sz w:val="24"/>
          <w:szCs w:val="24"/>
          <w:u w:val="single"/>
        </w:rPr>
        <w:t>(如果有的话)</w:t>
      </w:r>
      <w:r>
        <w:rPr>
          <w:rFonts w:hint="eastAsia" w:asciiTheme="minorEastAsia" w:hAnsiTheme="minorEastAsia" w:eastAsiaTheme="minorEastAsia" w:cstheme="minorEastAsia"/>
          <w:color w:val="auto"/>
          <w:spacing w:val="-10"/>
          <w:sz w:val="24"/>
          <w:szCs w:val="24"/>
        </w:rPr>
        <w:t>。我方完全理解相关文件要求，并承担对这方面有不明及误解的后果。</w:t>
      </w:r>
    </w:p>
    <w:p w14:paraId="53B1398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3.在</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须知规定的开标日期起遵循本投标文件，并在</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须知规定的投标文件有效期满之前均具有约束力。</w:t>
      </w:r>
    </w:p>
    <w:p w14:paraId="50F8B294">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4.同意应贵方要求提供与本投标有关的任何数据或资料，并保证数据和资料的完整性和真实性。</w:t>
      </w:r>
    </w:p>
    <w:p w14:paraId="6FE7BCFE">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5.完全理解贵方不一定要接受最低报价的</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为中标人的行为。</w:t>
      </w:r>
    </w:p>
    <w:p w14:paraId="284A4553">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6．如我方中标：</w:t>
      </w:r>
    </w:p>
    <w:p w14:paraId="44524E1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（1）我方承诺在收到中标通知书后，在中标通知书规定的期限内与你方签订合同，并履行相应的合同责任和义务。</w:t>
      </w:r>
    </w:p>
    <w:p w14:paraId="248B2A31">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（2）我方承诺按照招标文件规定向你方递交履约担保。</w:t>
      </w:r>
    </w:p>
    <w:p w14:paraId="09DE5F1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（3）我方承诺将承担售后服务及保修责任。</w:t>
      </w:r>
    </w:p>
    <w:p w14:paraId="32F38FB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7．我方在此声明，所递交的投标文件及有关资料内容完整、真实和准确。</w:t>
      </w:r>
    </w:p>
    <w:p w14:paraId="44DC1699">
      <w:pPr>
        <w:spacing w:line="360" w:lineRule="auto"/>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sz w:val="24"/>
        </w:rPr>
        <w:t>8.（其他补充说明）。</w:t>
      </w:r>
    </w:p>
    <w:p w14:paraId="4A5BC63F">
      <w:pPr>
        <w:spacing w:line="360" w:lineRule="auto"/>
        <w:ind w:firstLine="480" w:firstLineChars="200"/>
        <w:rPr>
          <w:rFonts w:hint="eastAsia" w:asciiTheme="minorEastAsia" w:hAnsiTheme="minorEastAsia" w:eastAsiaTheme="minorEastAsia" w:cstheme="minorEastAsia"/>
          <w:color w:val="auto"/>
          <w:kern w:val="1"/>
          <w:sz w:val="24"/>
          <w:u w:val="single"/>
        </w:rPr>
      </w:pPr>
      <w:r>
        <w:rPr>
          <w:rFonts w:hint="eastAsia" w:asciiTheme="minorEastAsia" w:hAnsiTheme="minorEastAsia" w:eastAsiaTheme="minorEastAsia" w:cstheme="minorEastAsia"/>
          <w:color w:val="auto"/>
          <w:kern w:val="1"/>
          <w:sz w:val="24"/>
        </w:rPr>
        <w:t>与本投标有关的正式通讯地址为：</w:t>
      </w:r>
    </w:p>
    <w:p w14:paraId="3DD1307C">
      <w:pPr>
        <w:spacing w:line="360" w:lineRule="auto"/>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地址：</w:t>
      </w:r>
      <w:r>
        <w:rPr>
          <w:rFonts w:hint="eastAsia" w:asciiTheme="minorEastAsia" w:hAnsiTheme="minorEastAsia" w:eastAsiaTheme="minorEastAsia" w:cstheme="minorEastAsia"/>
          <w:color w:val="auto"/>
          <w:kern w:val="1"/>
          <w:sz w:val="24"/>
          <w:u w:val="single"/>
        </w:rPr>
        <w:t xml:space="preserve">        </w:t>
      </w:r>
      <w:r>
        <w:rPr>
          <w:rFonts w:hint="eastAsia" w:asciiTheme="minorEastAsia" w:hAnsiTheme="minorEastAsia" w:eastAsiaTheme="minorEastAsia" w:cstheme="minorEastAsia"/>
          <w:color w:val="auto"/>
          <w:kern w:val="1"/>
          <w:sz w:val="24"/>
        </w:rPr>
        <w:t>邮政编码：</w:t>
      </w:r>
      <w:r>
        <w:rPr>
          <w:rFonts w:hint="eastAsia" w:asciiTheme="minorEastAsia" w:hAnsiTheme="minorEastAsia" w:eastAsiaTheme="minorEastAsia" w:cstheme="minorEastAsia"/>
          <w:color w:val="auto"/>
          <w:kern w:val="1"/>
          <w:sz w:val="24"/>
          <w:u w:val="single"/>
        </w:rPr>
        <w:t xml:space="preserve">       </w:t>
      </w:r>
      <w:r>
        <w:rPr>
          <w:rFonts w:hint="eastAsia" w:asciiTheme="minorEastAsia" w:hAnsiTheme="minorEastAsia" w:eastAsiaTheme="minorEastAsia" w:cstheme="minorEastAsia"/>
          <w:color w:val="auto"/>
          <w:kern w:val="1"/>
          <w:sz w:val="24"/>
        </w:rPr>
        <w:t>电话：</w:t>
      </w:r>
      <w:r>
        <w:rPr>
          <w:rFonts w:hint="eastAsia" w:asciiTheme="minorEastAsia" w:hAnsiTheme="minorEastAsia" w:eastAsiaTheme="minorEastAsia" w:cstheme="minorEastAsia"/>
          <w:color w:val="auto"/>
          <w:kern w:val="1"/>
          <w:sz w:val="24"/>
          <w:u w:val="single"/>
        </w:rPr>
        <w:t xml:space="preserve">        </w:t>
      </w:r>
      <w:r>
        <w:rPr>
          <w:rFonts w:hint="eastAsia" w:asciiTheme="minorEastAsia" w:hAnsiTheme="minorEastAsia" w:eastAsiaTheme="minorEastAsia" w:cstheme="minorEastAsia"/>
          <w:color w:val="auto"/>
          <w:kern w:val="1"/>
          <w:sz w:val="24"/>
        </w:rPr>
        <w:t>传真：</w:t>
      </w:r>
      <w:r>
        <w:rPr>
          <w:rFonts w:hint="eastAsia" w:asciiTheme="minorEastAsia" w:hAnsiTheme="minorEastAsia" w:eastAsiaTheme="minorEastAsia" w:cstheme="minorEastAsia"/>
          <w:color w:val="auto"/>
          <w:kern w:val="1"/>
          <w:sz w:val="24"/>
          <w:u w:val="single"/>
        </w:rPr>
        <w:tab/>
      </w:r>
      <w:r>
        <w:rPr>
          <w:rFonts w:hint="eastAsia" w:asciiTheme="minorEastAsia" w:hAnsiTheme="minorEastAsia" w:eastAsiaTheme="minorEastAsia" w:cstheme="minorEastAsia"/>
          <w:color w:val="auto"/>
          <w:kern w:val="1"/>
          <w:sz w:val="24"/>
          <w:u w:val="single"/>
        </w:rPr>
        <w:t xml:space="preserve">      </w:t>
      </w:r>
    </w:p>
    <w:p w14:paraId="1D3DD778">
      <w:pPr>
        <w:spacing w:line="360" w:lineRule="auto"/>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开户名称：</w:t>
      </w:r>
      <w:r>
        <w:rPr>
          <w:rFonts w:hint="eastAsia" w:asciiTheme="minorEastAsia" w:hAnsiTheme="minorEastAsia" w:eastAsiaTheme="minorEastAsia" w:cstheme="minorEastAsia"/>
          <w:color w:val="auto"/>
          <w:kern w:val="1"/>
          <w:sz w:val="24"/>
          <w:u w:val="single"/>
        </w:rPr>
        <w:t xml:space="preserve">               </w:t>
      </w:r>
      <w:r>
        <w:rPr>
          <w:rFonts w:hint="eastAsia" w:asciiTheme="minorEastAsia" w:hAnsiTheme="minorEastAsia" w:eastAsiaTheme="minorEastAsia" w:cstheme="minorEastAsia"/>
          <w:color w:val="auto"/>
          <w:kern w:val="1"/>
          <w:sz w:val="24"/>
        </w:rPr>
        <w:t>开户银行：</w:t>
      </w:r>
      <w:r>
        <w:rPr>
          <w:rFonts w:hint="eastAsia" w:asciiTheme="minorEastAsia" w:hAnsiTheme="minorEastAsia" w:eastAsiaTheme="minorEastAsia" w:cstheme="minorEastAsia"/>
          <w:color w:val="auto"/>
          <w:kern w:val="1"/>
          <w:sz w:val="24"/>
          <w:u w:val="single"/>
        </w:rPr>
        <w:t xml:space="preserve">                     </w:t>
      </w:r>
    </w:p>
    <w:p w14:paraId="687FE8F0">
      <w:pPr>
        <w:spacing w:line="360" w:lineRule="auto"/>
        <w:ind w:firstLine="480" w:firstLineChars="200"/>
        <w:rPr>
          <w:rFonts w:hint="eastAsia" w:asciiTheme="minorEastAsia" w:hAnsiTheme="minorEastAsia" w:eastAsiaTheme="minorEastAsia" w:cstheme="minorEastAsia"/>
          <w:color w:val="auto"/>
          <w:kern w:val="1"/>
          <w:sz w:val="24"/>
          <w:u w:val="single"/>
        </w:rPr>
      </w:pPr>
      <w:r>
        <w:rPr>
          <w:rFonts w:hint="eastAsia" w:asciiTheme="minorEastAsia" w:hAnsiTheme="minorEastAsia" w:eastAsiaTheme="minorEastAsia" w:cstheme="minorEastAsia"/>
          <w:color w:val="auto"/>
          <w:kern w:val="1"/>
          <w:sz w:val="24"/>
        </w:rPr>
        <w:t>帐</w:t>
      </w:r>
      <w:r>
        <w:rPr>
          <w:rFonts w:hint="eastAsia" w:asciiTheme="minorEastAsia" w:hAnsiTheme="minorEastAsia" w:eastAsiaTheme="minorEastAsia" w:cstheme="minorEastAsia"/>
          <w:color w:val="auto"/>
          <w:kern w:val="1"/>
          <w:sz w:val="24"/>
        </w:rPr>
        <w:tab/>
      </w:r>
      <w:r>
        <w:rPr>
          <w:rFonts w:hint="eastAsia" w:asciiTheme="minorEastAsia" w:hAnsiTheme="minorEastAsia" w:eastAsiaTheme="minorEastAsia" w:cstheme="minorEastAsia"/>
          <w:color w:val="auto"/>
          <w:kern w:val="1"/>
          <w:sz w:val="24"/>
        </w:rPr>
        <w:t xml:space="preserve">号： </w:t>
      </w:r>
      <w:r>
        <w:rPr>
          <w:rFonts w:hint="eastAsia" w:asciiTheme="minorEastAsia" w:hAnsiTheme="minorEastAsia" w:eastAsiaTheme="minorEastAsia" w:cstheme="minorEastAsia"/>
          <w:color w:val="auto"/>
          <w:kern w:val="1"/>
          <w:sz w:val="24"/>
          <w:u w:val="single"/>
        </w:rPr>
        <w:t xml:space="preserve">                          </w:t>
      </w:r>
    </w:p>
    <w:p w14:paraId="0E1830EF">
      <w:pPr>
        <w:spacing w:line="360" w:lineRule="auto"/>
        <w:ind w:firstLine="480" w:firstLineChars="200"/>
        <w:jc w:val="left"/>
        <w:rPr>
          <w:rFonts w:hint="eastAsia" w:ascii="宋体" w:hAnsi="宋体"/>
          <w:bCs/>
          <w:color w:val="auto"/>
          <w:sz w:val="24"/>
          <w:u w:val="single"/>
        </w:rPr>
      </w:pPr>
      <w:bookmarkStart w:id="166" w:name="_Toc8168205"/>
      <w:bookmarkStart w:id="167" w:name="_Toc11545"/>
      <w:r>
        <w:rPr>
          <w:rFonts w:hint="eastAsia" w:ascii="宋体" w:hAnsi="宋体"/>
          <w:bCs/>
          <w:color w:val="auto"/>
          <w:sz w:val="24"/>
          <w:lang w:eastAsia="zh-CN"/>
        </w:rPr>
        <w:t>供应商</w:t>
      </w:r>
      <w:r>
        <w:rPr>
          <w:rFonts w:hint="eastAsia" w:ascii="宋体" w:hAnsi="宋体"/>
          <w:bCs/>
          <w:color w:val="auto"/>
          <w:sz w:val="24"/>
        </w:rPr>
        <w:t>：</w:t>
      </w:r>
      <w:r>
        <w:rPr>
          <w:rFonts w:hint="eastAsia" w:ascii="宋体" w:hAnsi="宋体"/>
          <w:bCs/>
          <w:color w:val="auto"/>
          <w:sz w:val="24"/>
          <w:u w:val="single"/>
        </w:rPr>
        <w:t xml:space="preserve">                             </w:t>
      </w:r>
      <w:r>
        <w:rPr>
          <w:rFonts w:hint="eastAsia" w:ascii="宋体" w:hAnsi="宋体"/>
          <w:bCs/>
          <w:color w:val="auto"/>
          <w:sz w:val="24"/>
        </w:rPr>
        <w:t xml:space="preserve">(电子签章) </w:t>
      </w:r>
    </w:p>
    <w:p w14:paraId="5119E9F6">
      <w:pPr>
        <w:spacing w:line="360" w:lineRule="auto"/>
        <w:ind w:firstLine="480" w:firstLineChars="200"/>
        <w:jc w:val="left"/>
        <w:rPr>
          <w:rFonts w:hint="eastAsia" w:ascii="宋体" w:hAnsi="宋体"/>
          <w:bCs/>
          <w:color w:val="auto"/>
          <w:sz w:val="24"/>
        </w:rPr>
      </w:pPr>
      <w:r>
        <w:rPr>
          <w:rFonts w:hint="eastAsia" w:ascii="宋体" w:hAnsi="宋体"/>
          <w:bCs/>
          <w:color w:val="auto"/>
          <w:sz w:val="24"/>
        </w:rPr>
        <w:t>法定代表人或其委托代理人：</w:t>
      </w:r>
      <w:r>
        <w:rPr>
          <w:rFonts w:hint="eastAsia" w:ascii="宋体" w:hAnsi="宋体"/>
          <w:bCs/>
          <w:color w:val="auto"/>
          <w:sz w:val="24"/>
          <w:u w:val="single"/>
        </w:rPr>
        <w:t xml:space="preserve">          </w:t>
      </w:r>
      <w:r>
        <w:rPr>
          <w:rFonts w:hint="eastAsia" w:ascii="宋体" w:hAnsi="宋体"/>
          <w:bCs/>
          <w:color w:val="auto"/>
          <w:sz w:val="24"/>
        </w:rPr>
        <w:t xml:space="preserve">(电子签章或签名) </w:t>
      </w:r>
    </w:p>
    <w:p w14:paraId="6A31517D">
      <w:pPr>
        <w:spacing w:line="360" w:lineRule="auto"/>
        <w:ind w:firstLine="480" w:firstLineChars="200"/>
        <w:jc w:val="left"/>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1064999C">
      <w:pPr>
        <w:rPr>
          <w:rFonts w:hint="eastAsia" w:asciiTheme="minorEastAsia" w:hAnsiTheme="minorEastAsia" w:eastAsiaTheme="minorEastAsia" w:cstheme="minorEastAsia"/>
          <w:color w:val="auto"/>
          <w:szCs w:val="28"/>
        </w:rPr>
      </w:pPr>
      <w:bookmarkStart w:id="168" w:name="_Toc26723"/>
      <w:r>
        <w:rPr>
          <w:rFonts w:hint="eastAsia" w:asciiTheme="minorEastAsia" w:hAnsiTheme="minorEastAsia" w:eastAsiaTheme="minorEastAsia" w:cstheme="minorEastAsia"/>
          <w:color w:val="auto"/>
          <w:szCs w:val="28"/>
        </w:rPr>
        <w:br w:type="page"/>
      </w:r>
    </w:p>
    <w:p w14:paraId="0110216C">
      <w:pPr>
        <w:pStyle w:val="4"/>
        <w:spacing w:before="0"/>
        <w:jc w:val="center"/>
        <w:rPr>
          <w:rFonts w:hint="eastAsia"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（二）法定代表人身份证明书</w:t>
      </w:r>
      <w:bookmarkEnd w:id="166"/>
      <w:bookmarkEnd w:id="167"/>
      <w:bookmarkEnd w:id="168"/>
    </w:p>
    <w:p w14:paraId="62DEED1F">
      <w:pPr>
        <w:spacing w:line="360" w:lineRule="auto"/>
        <w:rPr>
          <w:rFonts w:hint="eastAsia" w:asciiTheme="minorEastAsia" w:hAnsiTheme="minorEastAsia" w:eastAsiaTheme="minorEastAsia" w:cstheme="minorEastAsia"/>
          <w:color w:val="auto"/>
          <w:sz w:val="24"/>
        </w:rPr>
      </w:pPr>
    </w:p>
    <w:p w14:paraId="1D3BA3A5">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名称：</w:t>
      </w:r>
      <w:r>
        <w:rPr>
          <w:rFonts w:hint="eastAsia" w:asciiTheme="minorEastAsia" w:hAnsiTheme="minorEastAsia" w:eastAsiaTheme="minorEastAsia" w:cstheme="minorEastAsia"/>
          <w:color w:val="auto"/>
          <w:sz w:val="24"/>
          <w:u w:val="single"/>
        </w:rPr>
        <w:t xml:space="preserve">                       </w:t>
      </w:r>
    </w:p>
    <w:p w14:paraId="1401A6AB">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单位性质：</w:t>
      </w:r>
      <w:r>
        <w:rPr>
          <w:rFonts w:hint="eastAsia" w:asciiTheme="minorEastAsia" w:hAnsiTheme="minorEastAsia" w:eastAsiaTheme="minorEastAsia" w:cstheme="minorEastAsia"/>
          <w:color w:val="auto"/>
          <w:sz w:val="24"/>
          <w:u w:val="single"/>
        </w:rPr>
        <w:t xml:space="preserve">                         </w:t>
      </w:r>
    </w:p>
    <w:p w14:paraId="1E63AAAA">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成立时间：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70970C9A">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经营期限：</w:t>
      </w:r>
      <w:r>
        <w:rPr>
          <w:rFonts w:hint="eastAsia" w:asciiTheme="minorEastAsia" w:hAnsiTheme="minorEastAsia" w:eastAsiaTheme="minorEastAsia" w:cstheme="minorEastAsia"/>
          <w:color w:val="auto"/>
          <w:sz w:val="24"/>
          <w:u w:val="single"/>
        </w:rPr>
        <w:t xml:space="preserve">                       </w:t>
      </w:r>
    </w:p>
    <w:p w14:paraId="6DCB6FC5">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姓名：</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性别：</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职务：</w:t>
      </w:r>
      <w:r>
        <w:rPr>
          <w:rFonts w:hint="eastAsia" w:asciiTheme="minorEastAsia" w:hAnsiTheme="minorEastAsia" w:eastAsiaTheme="minorEastAsia" w:cstheme="minorEastAsia"/>
          <w:color w:val="auto"/>
          <w:sz w:val="24"/>
          <w:u w:val="single"/>
        </w:rPr>
        <w:t xml:space="preserve">       </w:t>
      </w:r>
    </w:p>
    <w:p w14:paraId="308BD446">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系</w:t>
      </w:r>
      <w:r>
        <w:rPr>
          <w:rFonts w:hint="eastAsia" w:asciiTheme="minorEastAsia" w:hAnsiTheme="minorEastAsia" w:eastAsiaTheme="minorEastAsia" w:cstheme="minorEastAsia"/>
          <w:color w:val="auto"/>
          <w:sz w:val="24"/>
          <w:u w:val="single"/>
        </w:rPr>
        <w:t>（</w:t>
      </w:r>
      <w:r>
        <w:rPr>
          <w:rFonts w:hint="eastAsia" w:asciiTheme="minorEastAsia" w:hAnsiTheme="minorEastAsia" w:eastAsiaTheme="minorEastAsia" w:cstheme="minorEastAsia"/>
          <w:color w:val="auto"/>
          <w:sz w:val="24"/>
          <w:u w:val="single"/>
          <w:lang w:eastAsia="zh-CN"/>
        </w:rPr>
        <w:t>供应商</w:t>
      </w:r>
      <w:r>
        <w:rPr>
          <w:rFonts w:hint="eastAsia" w:asciiTheme="minorEastAsia" w:hAnsiTheme="minorEastAsia" w:eastAsiaTheme="minorEastAsia" w:cstheme="minorEastAsia"/>
          <w:color w:val="auto"/>
          <w:sz w:val="24"/>
          <w:u w:val="single"/>
        </w:rPr>
        <w:t xml:space="preserve">名称）        </w:t>
      </w:r>
      <w:r>
        <w:rPr>
          <w:rFonts w:hint="eastAsia" w:asciiTheme="minorEastAsia" w:hAnsiTheme="minorEastAsia" w:eastAsiaTheme="minorEastAsia" w:cstheme="minorEastAsia"/>
          <w:color w:val="auto"/>
          <w:sz w:val="24"/>
        </w:rPr>
        <w:t>的法定代表人。</w:t>
      </w:r>
    </w:p>
    <w:p w14:paraId="7F5B5712">
      <w:pPr>
        <w:spacing w:line="360" w:lineRule="auto"/>
        <w:ind w:firstLine="480" w:firstLineChars="200"/>
        <w:rPr>
          <w:rFonts w:hint="eastAsia" w:asciiTheme="minorEastAsia" w:hAnsiTheme="minorEastAsia" w:eastAsiaTheme="minorEastAsia" w:cstheme="minorEastAsia"/>
          <w:color w:val="auto"/>
          <w:sz w:val="24"/>
        </w:rPr>
      </w:pPr>
    </w:p>
    <w:p w14:paraId="6E283EF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特此证明。</w:t>
      </w:r>
    </w:p>
    <w:p w14:paraId="1904FD53">
      <w:pPr>
        <w:spacing w:line="360" w:lineRule="auto"/>
        <w:rPr>
          <w:rFonts w:hint="eastAsia" w:asciiTheme="minorEastAsia" w:hAnsiTheme="minorEastAsia" w:eastAsiaTheme="minorEastAsia" w:cstheme="minorEastAsia"/>
          <w:color w:val="auto"/>
          <w:sz w:val="24"/>
        </w:rPr>
      </w:pPr>
    </w:p>
    <w:p w14:paraId="6F772068">
      <w:pPr>
        <w:spacing w:line="360" w:lineRule="auto"/>
        <w:ind w:firstLine="480" w:firstLineChars="200"/>
        <w:jc w:val="left"/>
        <w:rPr>
          <w:rFonts w:hint="eastAsia" w:ascii="宋体" w:hAnsi="宋体"/>
          <w:bCs/>
          <w:color w:val="auto"/>
          <w:sz w:val="24"/>
          <w:u w:val="single"/>
        </w:rPr>
      </w:pPr>
      <w:r>
        <w:rPr>
          <w:rFonts w:hint="eastAsia" w:ascii="宋体" w:hAnsi="宋体"/>
          <w:bCs/>
          <w:color w:val="auto"/>
          <w:sz w:val="24"/>
          <w:lang w:eastAsia="zh-CN"/>
        </w:rPr>
        <w:t>供应商</w:t>
      </w:r>
      <w:r>
        <w:rPr>
          <w:rFonts w:hint="eastAsia" w:ascii="宋体" w:hAnsi="宋体"/>
          <w:bCs/>
          <w:color w:val="auto"/>
          <w:sz w:val="24"/>
        </w:rPr>
        <w:t>：</w:t>
      </w:r>
      <w:r>
        <w:rPr>
          <w:rFonts w:hint="eastAsia" w:ascii="宋体" w:hAnsi="宋体"/>
          <w:bCs/>
          <w:color w:val="auto"/>
          <w:sz w:val="24"/>
          <w:u w:val="single"/>
        </w:rPr>
        <w:t xml:space="preserve">                             </w:t>
      </w:r>
      <w:r>
        <w:rPr>
          <w:rFonts w:hint="eastAsia" w:ascii="宋体" w:hAnsi="宋体"/>
          <w:bCs/>
          <w:color w:val="auto"/>
          <w:sz w:val="24"/>
        </w:rPr>
        <w:t xml:space="preserve">(电子签章) </w:t>
      </w:r>
    </w:p>
    <w:p w14:paraId="48232C05">
      <w:pPr>
        <w:spacing w:line="360" w:lineRule="auto"/>
        <w:ind w:firstLine="480" w:firstLineChars="200"/>
        <w:jc w:val="left"/>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085C8793">
      <w:pPr>
        <w:spacing w:line="360" w:lineRule="auto"/>
        <w:rPr>
          <w:rFonts w:hint="eastAsia" w:asciiTheme="minorEastAsia" w:hAnsiTheme="minorEastAsia" w:eastAsiaTheme="minorEastAsia" w:cstheme="minorEastAsia"/>
          <w:color w:val="auto"/>
          <w:sz w:val="24"/>
        </w:rPr>
      </w:pPr>
    </w:p>
    <w:p w14:paraId="60C9B804">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附:法人身份证扫描件</w:t>
      </w:r>
    </w:p>
    <w:p w14:paraId="35A55256">
      <w:pPr>
        <w:spacing w:line="360" w:lineRule="auto"/>
        <w:ind w:firstLine="1680" w:firstLineChars="7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正面                                   背面</w:t>
      </w:r>
    </w:p>
    <w:p w14:paraId="225481C3">
      <w:pPr>
        <w:spacing w:line="360" w:lineRule="auto"/>
        <w:rPr>
          <w:rFonts w:hint="eastAsia" w:asciiTheme="minorEastAsia" w:hAnsiTheme="minorEastAsia" w:eastAsiaTheme="minorEastAsia" w:cstheme="minorEastAsia"/>
          <w:color w:val="auto"/>
          <w:szCs w:val="21"/>
        </w:rPr>
      </w:pPr>
      <w:r>
        <w:rPr>
          <w:color w:val="auto"/>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161925</wp:posOffset>
                </wp:positionV>
                <wp:extent cx="2707640" cy="1842770"/>
                <wp:effectExtent l="5080" t="5080" r="11430" b="19050"/>
                <wp:wrapNone/>
                <wp:docPr id="1" name="矩形 9"/>
                <wp:cNvGraphicFramePr/>
                <a:graphic xmlns:a="http://schemas.openxmlformats.org/drawingml/2006/main">
                  <a:graphicData uri="http://schemas.microsoft.com/office/word/2010/wordprocessingShape">
                    <wps:wsp>
                      <wps:cNvSpPr/>
                      <wps:spPr>
                        <a:xfrm>
                          <a:off x="0" y="0"/>
                          <a:ext cx="2707640" cy="184277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9" o:spid="_x0000_s1026" o:spt="1" style="position:absolute;left:0pt;margin-left:2.75pt;margin-top:12.75pt;height:145.1pt;width:213.2pt;z-index:251660288;mso-width-relative:page;mso-height-relative:page;" fillcolor="#FFFFFF" filled="t" stroked="t" coordsize="21600,21600" o:gfxdata="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5VqndcAAAAIAQAADwAAAAAAAAABACAAAAAiAAAAZHJzL2Rvd25y&#10;ZXYueG1sUEsBAhQAFAAAAAgAh07iQGAhf5n/AQAAHwQAAA4AAAAAAAAAAQAgAAAAJgEAAGRycy9l&#10;Mm9Eb2MueG1sUEsFBgAAAAAGAAYAWQEAAJcFAAAAAA==&#10;">
                <v:fill on="t" focussize="0,0"/>
                <v:stroke color="#000000" joinstyle="miter"/>
                <v:imagedata o:title=""/>
                <o:lock v:ext="edit" aspectratio="f"/>
              </v:rect>
            </w:pict>
          </mc:Fallback>
        </mc:AlternateContent>
      </w:r>
      <w:r>
        <w:rPr>
          <w:color w:val="auto"/>
        </w:rPr>
        <mc:AlternateContent>
          <mc:Choice Requires="wps">
            <w:drawing>
              <wp:anchor distT="0" distB="0" distL="114300" distR="114300" simplePos="0" relativeHeight="251661312" behindDoc="1" locked="0" layoutInCell="1" allowOverlap="1">
                <wp:simplePos x="0" y="0"/>
                <wp:positionH relativeFrom="column">
                  <wp:posOffset>2841625</wp:posOffset>
                </wp:positionH>
                <wp:positionV relativeFrom="paragraph">
                  <wp:posOffset>154940</wp:posOffset>
                </wp:positionV>
                <wp:extent cx="2715260" cy="1849120"/>
                <wp:effectExtent l="4445" t="4445" r="23495" b="13335"/>
                <wp:wrapThrough wrapText="bothSides">
                  <wp:wrapPolygon>
                    <wp:start x="21592" y="-2"/>
                    <wp:lineTo x="0" y="0"/>
                    <wp:lineTo x="0" y="21599"/>
                    <wp:lineTo x="21592" y="21601"/>
                    <wp:lineTo x="8" y="21601"/>
                    <wp:lineTo x="21600" y="21599"/>
                    <wp:lineTo x="21600" y="0"/>
                    <wp:lineTo x="8" y="-2"/>
                    <wp:lineTo x="21592" y="-2"/>
                  </wp:wrapPolygon>
                </wp:wrapThrough>
                <wp:docPr id="2" name="矩形 10"/>
                <wp:cNvGraphicFramePr/>
                <a:graphic xmlns:a="http://schemas.openxmlformats.org/drawingml/2006/main">
                  <a:graphicData uri="http://schemas.microsoft.com/office/word/2010/wordprocessingShape">
                    <wps:wsp>
                      <wps:cNvSpPr/>
                      <wps:spPr>
                        <a:xfrm>
                          <a:off x="0" y="0"/>
                          <a:ext cx="2715260" cy="1849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0" o:spid="_x0000_s1026" o:spt="1" style="position:absolute;left:0pt;margin-left:223.75pt;margin-top:12.2pt;height:145.6pt;width:213.8pt;mso-wrap-distance-left:9pt;mso-wrap-distance-right:9pt;z-index:-251655168;mso-width-relative:page;mso-height-relative:page;" fillcolor="#FFFFFF" filled="t" stroked="t" coordsize="21600,21600" wrapcoords="21592 -2 0 0 0 21599 21592 21601 8 21601 21600 21599 21600 0 8 -2 21592 -2" o:gfxdata="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yTWj2gAAAAoBAAAPAAAAAAAAAAEAIAAAACIAAABkcnMvZG93&#10;bnJldi54bWxQSwECFAAUAAAACACHTuJAnjPvVv4BAAAgBAAADgAAAAAAAAABACAAAAApAQAAZHJz&#10;L2Uyb0RvYy54bWxQSwUGAAAAAAYABgBZAQAAmQUAAAAA&#10;">
                <v:fill on="t" focussize="0,0"/>
                <v:stroke color="#000000" joinstyle="miter"/>
                <v:imagedata o:title=""/>
                <o:lock v:ext="edit" aspectratio="f"/>
                <w10:wrap type="through"/>
              </v:rect>
            </w:pict>
          </mc:Fallback>
        </mc:AlternateContent>
      </w:r>
    </w:p>
    <w:p w14:paraId="1F02EB7C">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w:t>
      </w:r>
    </w:p>
    <w:p w14:paraId="4E10BF20">
      <w:pPr>
        <w:spacing w:line="360" w:lineRule="auto"/>
        <w:rPr>
          <w:rFonts w:hint="eastAsia" w:asciiTheme="minorEastAsia" w:hAnsiTheme="minorEastAsia" w:eastAsiaTheme="minorEastAsia" w:cstheme="minorEastAsia"/>
          <w:color w:val="auto"/>
          <w:szCs w:val="21"/>
        </w:rPr>
      </w:pPr>
    </w:p>
    <w:p w14:paraId="7381089C">
      <w:pPr>
        <w:spacing w:line="360" w:lineRule="auto"/>
        <w:rPr>
          <w:rFonts w:hint="eastAsia" w:asciiTheme="minorEastAsia" w:hAnsiTheme="minorEastAsia" w:eastAsiaTheme="minorEastAsia" w:cstheme="minorEastAsia"/>
          <w:color w:val="auto"/>
          <w:szCs w:val="21"/>
        </w:rPr>
      </w:pPr>
    </w:p>
    <w:p w14:paraId="38344EA5">
      <w:pPr>
        <w:spacing w:line="360" w:lineRule="auto"/>
        <w:rPr>
          <w:rFonts w:hint="eastAsia" w:asciiTheme="minorEastAsia" w:hAnsiTheme="minorEastAsia" w:eastAsiaTheme="minorEastAsia" w:cstheme="minorEastAsia"/>
          <w:color w:val="auto"/>
          <w:szCs w:val="21"/>
        </w:rPr>
      </w:pPr>
    </w:p>
    <w:p w14:paraId="49B9E117">
      <w:pPr>
        <w:spacing w:line="360" w:lineRule="auto"/>
        <w:rPr>
          <w:rFonts w:hint="eastAsia" w:asciiTheme="minorEastAsia" w:hAnsiTheme="minorEastAsia" w:eastAsiaTheme="minorEastAsia" w:cstheme="minorEastAsia"/>
          <w:color w:val="auto"/>
          <w:szCs w:val="21"/>
        </w:rPr>
      </w:pPr>
    </w:p>
    <w:p w14:paraId="7AFCFE54">
      <w:pPr>
        <w:spacing w:line="360" w:lineRule="auto"/>
        <w:rPr>
          <w:rFonts w:hint="eastAsia" w:asciiTheme="minorEastAsia" w:hAnsiTheme="minorEastAsia" w:eastAsiaTheme="minorEastAsia" w:cstheme="minorEastAsia"/>
          <w:color w:val="auto"/>
          <w:szCs w:val="21"/>
        </w:rPr>
      </w:pPr>
    </w:p>
    <w:p w14:paraId="56B5C796">
      <w:pPr>
        <w:pStyle w:val="4"/>
        <w:spacing w:before="0"/>
        <w:jc w:val="center"/>
        <w:rPr>
          <w:rFonts w:hint="eastAsia" w:asciiTheme="minorEastAsia" w:hAnsiTheme="minorEastAsia" w:eastAsiaTheme="minorEastAsia" w:cstheme="minorEastAsia"/>
          <w:color w:val="auto"/>
          <w:szCs w:val="28"/>
        </w:rPr>
      </w:pPr>
      <w:bookmarkStart w:id="169" w:name="_Toc8168206"/>
      <w:r>
        <w:rPr>
          <w:rFonts w:hint="eastAsia" w:asciiTheme="minorEastAsia" w:hAnsiTheme="minorEastAsia" w:eastAsiaTheme="minorEastAsia" w:cstheme="minorEastAsia"/>
          <w:color w:val="auto"/>
          <w:szCs w:val="28"/>
        </w:rPr>
        <w:br w:type="page"/>
      </w:r>
      <w:bookmarkStart w:id="170" w:name="_Toc24475"/>
      <w:bookmarkStart w:id="171" w:name="_Toc22629"/>
      <w:r>
        <w:rPr>
          <w:rFonts w:hint="eastAsia" w:asciiTheme="minorEastAsia" w:hAnsiTheme="minorEastAsia" w:eastAsiaTheme="minorEastAsia" w:cstheme="minorEastAsia"/>
          <w:color w:val="auto"/>
          <w:szCs w:val="28"/>
        </w:rPr>
        <w:t>（三）法定代表人授权委托书</w:t>
      </w:r>
      <w:bookmarkEnd w:id="169"/>
      <w:bookmarkEnd w:id="170"/>
      <w:bookmarkEnd w:id="171"/>
    </w:p>
    <w:p w14:paraId="16B6B510">
      <w:pPr>
        <w:spacing w:line="360" w:lineRule="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u w:val="single"/>
        </w:rPr>
        <w:t>采购人</w:t>
      </w:r>
    </w:p>
    <w:p w14:paraId="7A4CEC0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本授权书声明：</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eastAsia="zh-CN"/>
        </w:rPr>
        <w:t>供应商</w:t>
      </w:r>
      <w:r>
        <w:rPr>
          <w:rFonts w:hint="eastAsia" w:asciiTheme="minorEastAsia" w:hAnsiTheme="minorEastAsia" w:eastAsiaTheme="minorEastAsia" w:cstheme="minorEastAsia"/>
          <w:color w:val="auto"/>
          <w:sz w:val="24"/>
          <w:u w:val="single"/>
        </w:rPr>
        <w:t xml:space="preserve">全称）     </w:t>
      </w:r>
      <w:r>
        <w:rPr>
          <w:rFonts w:hint="eastAsia" w:asciiTheme="minorEastAsia" w:hAnsiTheme="minorEastAsia" w:eastAsiaTheme="minorEastAsia" w:cstheme="minorEastAsia"/>
          <w:color w:val="auto"/>
          <w:sz w:val="24"/>
        </w:rPr>
        <w:t>的法定代表人代表本公司授权</w:t>
      </w:r>
      <w:r>
        <w:rPr>
          <w:rFonts w:hint="eastAsia" w:asciiTheme="minorEastAsia" w:hAnsiTheme="minorEastAsia" w:eastAsiaTheme="minorEastAsia" w:cstheme="minorEastAsia"/>
          <w:color w:val="auto"/>
          <w:sz w:val="24"/>
          <w:u w:val="single"/>
        </w:rPr>
        <w:t xml:space="preserve">   （委托代理人姓名）   </w:t>
      </w:r>
      <w:r>
        <w:rPr>
          <w:rFonts w:hint="eastAsia" w:asciiTheme="minorEastAsia" w:hAnsiTheme="minorEastAsia" w:eastAsiaTheme="minorEastAsia" w:cstheme="minorEastAsia"/>
          <w:color w:val="auto"/>
          <w:sz w:val="24"/>
        </w:rPr>
        <w:t>为本公司合法代理人，就贵方组织的有关</w:t>
      </w:r>
      <w:r>
        <w:rPr>
          <w:rFonts w:hint="eastAsia" w:asciiTheme="minorEastAsia" w:hAnsiTheme="minorEastAsia" w:eastAsiaTheme="minorEastAsia" w:cstheme="minorEastAsia"/>
          <w:color w:val="auto"/>
          <w:sz w:val="24"/>
          <w:u w:val="single"/>
        </w:rPr>
        <w:t xml:space="preserve">    （采购项目名称）  </w:t>
      </w:r>
      <w:r>
        <w:rPr>
          <w:rFonts w:hint="eastAsia" w:asciiTheme="minorEastAsia" w:hAnsiTheme="minorEastAsia" w:eastAsiaTheme="minorEastAsia" w:cstheme="minorEastAsia"/>
          <w:color w:val="auto"/>
          <w:sz w:val="24"/>
        </w:rPr>
        <w:t xml:space="preserve">  （项目编号：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）的招标，以本单位名义投标。代理人在本项目投标过程中所签署的一切文件和处理与之有关的一切事务，我方均予承认。</w:t>
      </w:r>
    </w:p>
    <w:p w14:paraId="74085BE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代理人无转委托权。</w:t>
      </w:r>
    </w:p>
    <w:p w14:paraId="7FBA9B22">
      <w:pPr>
        <w:spacing w:line="360" w:lineRule="auto"/>
        <w:ind w:firstLine="480" w:firstLineChars="200"/>
        <w:rPr>
          <w:rFonts w:hint="eastAsia" w:asciiTheme="minorEastAsia" w:hAnsiTheme="minorEastAsia" w:eastAsiaTheme="minorEastAsia" w:cstheme="minorEastAsia"/>
          <w:color w:val="auto"/>
          <w:sz w:val="24"/>
        </w:rPr>
      </w:pPr>
    </w:p>
    <w:p w14:paraId="34DE6F0C">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（电子签章）</w:t>
      </w:r>
    </w:p>
    <w:p w14:paraId="5456F766">
      <w:pPr>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法定代表人（单位负责人）：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（电子签章或签名）</w:t>
      </w:r>
    </w:p>
    <w:p w14:paraId="275DEE4E">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身份证号码：</w:t>
      </w:r>
      <w:r>
        <w:rPr>
          <w:rFonts w:hint="eastAsia" w:asciiTheme="minorEastAsia" w:hAnsiTheme="minorEastAsia" w:eastAsiaTheme="minorEastAsia" w:cstheme="minorEastAsia"/>
          <w:color w:val="auto"/>
          <w:sz w:val="24"/>
          <w:u w:val="single"/>
        </w:rPr>
        <w:t xml:space="preserve">                                 </w:t>
      </w:r>
    </w:p>
    <w:p w14:paraId="598BEF8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委托代理人：</w:t>
      </w:r>
      <w:r>
        <w:rPr>
          <w:rFonts w:hint="eastAsia" w:asciiTheme="minorEastAsia" w:hAnsiTheme="minorEastAsia" w:eastAsiaTheme="minorEastAsia" w:cstheme="minorEastAsia"/>
          <w:color w:val="auto"/>
          <w:sz w:val="24"/>
          <w:u w:val="single"/>
        </w:rPr>
        <w:t xml:space="preserve">                                </w:t>
      </w:r>
    </w:p>
    <w:p w14:paraId="68716CB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      务：</w:t>
      </w:r>
      <w:r>
        <w:rPr>
          <w:rFonts w:hint="eastAsia" w:asciiTheme="minorEastAsia" w:hAnsiTheme="minorEastAsia" w:eastAsiaTheme="minorEastAsia" w:cstheme="minorEastAsia"/>
          <w:color w:val="auto"/>
          <w:sz w:val="24"/>
          <w:u w:val="single"/>
        </w:rPr>
        <w:t xml:space="preserve">                                </w:t>
      </w:r>
    </w:p>
    <w:p w14:paraId="6265157A">
      <w:pPr>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身份证号码：</w:t>
      </w:r>
      <w:r>
        <w:rPr>
          <w:rFonts w:hint="eastAsia" w:asciiTheme="minorEastAsia" w:hAnsiTheme="minorEastAsia" w:eastAsiaTheme="minorEastAsia" w:cstheme="minorEastAsia"/>
          <w:color w:val="auto"/>
          <w:sz w:val="24"/>
          <w:u w:val="single"/>
        </w:rPr>
        <w:t xml:space="preserve">                           </w:t>
      </w:r>
    </w:p>
    <w:p w14:paraId="5AF5D77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p w14:paraId="2457CA85">
      <w:pPr>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附：委托代理人详细地址：</w:t>
      </w:r>
    </w:p>
    <w:p w14:paraId="5701256F">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电话：</w:t>
      </w:r>
    </w:p>
    <w:p w14:paraId="6205FA59">
      <w:pPr>
        <w:rPr>
          <w:color w:val="auto"/>
          <w:sz w:val="24"/>
        </w:rPr>
      </w:pPr>
    </w:p>
    <w:p w14:paraId="1A621F2C">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附：授权委托人身份证扫描件</w:t>
      </w:r>
    </w:p>
    <w:p w14:paraId="4152919B">
      <w:pPr>
        <w:spacing w:line="360" w:lineRule="auto"/>
        <w:ind w:firstLine="1680" w:firstLineChars="7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正面                                   背面</w:t>
      </w:r>
    </w:p>
    <w:p w14:paraId="17A8D11C">
      <w:pPr>
        <w:spacing w:line="360" w:lineRule="auto"/>
        <w:rPr>
          <w:rFonts w:hint="eastAsia" w:asciiTheme="minorEastAsia" w:hAnsiTheme="minorEastAsia" w:eastAsiaTheme="minorEastAsia" w:cstheme="minorEastAsia"/>
          <w:color w:val="auto"/>
          <w:szCs w:val="21"/>
        </w:rPr>
      </w:pPr>
      <w:r>
        <w:rPr>
          <w:color w:val="auto"/>
        </w:rPr>
        <mc:AlternateContent>
          <mc:Choice Requires="wps">
            <w:drawing>
              <wp:anchor distT="0" distB="0" distL="114300" distR="114300" simplePos="0" relativeHeight="251662336" behindDoc="0" locked="0" layoutInCell="1" allowOverlap="1">
                <wp:simplePos x="0" y="0"/>
                <wp:positionH relativeFrom="column">
                  <wp:posOffset>34925</wp:posOffset>
                </wp:positionH>
                <wp:positionV relativeFrom="paragraph">
                  <wp:posOffset>161925</wp:posOffset>
                </wp:positionV>
                <wp:extent cx="2707640" cy="1842770"/>
                <wp:effectExtent l="5080" t="5080" r="11430" b="19050"/>
                <wp:wrapNone/>
                <wp:docPr id="3" name="矩形 11"/>
                <wp:cNvGraphicFramePr/>
                <a:graphic xmlns:a="http://schemas.openxmlformats.org/drawingml/2006/main">
                  <a:graphicData uri="http://schemas.microsoft.com/office/word/2010/wordprocessingShape">
                    <wps:wsp>
                      <wps:cNvSpPr/>
                      <wps:spPr>
                        <a:xfrm>
                          <a:off x="0" y="0"/>
                          <a:ext cx="2707640" cy="184277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1" o:spid="_x0000_s1026" o:spt="1" style="position:absolute;left:0pt;margin-left:2.75pt;margin-top:12.75pt;height:145.1pt;width:213.2pt;z-index:251662336;mso-width-relative:page;mso-height-relative:page;" fillcolor="#FFFFFF" filled="t" stroked="t" coordsize="21600,21600" o:gfxdata="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5VqndcAAAAIAQAADwAAAAAAAAABACAAAAAiAAAAZHJzL2Rvd25y&#10;ZXYueG1sUEsBAhQAFAAAAAgAh07iQNLyi7P/AQAAIAQAAA4AAAAAAAAAAQAgAAAAJgEAAGRycy9l&#10;Mm9Eb2MueG1sUEsFBgAAAAAGAAYAWQEAAJcFAAAAAA==&#10;">
                <v:fill on="t" focussize="0,0"/>
                <v:stroke color="#000000" joinstyle="miter"/>
                <v:imagedata o:title=""/>
                <o:lock v:ext="edit" aspectratio="f"/>
              </v:rect>
            </w:pict>
          </mc:Fallback>
        </mc:AlternateContent>
      </w:r>
      <w:r>
        <w:rPr>
          <w:color w:val="auto"/>
        </w:rPr>
        <mc:AlternateContent>
          <mc:Choice Requires="wps">
            <w:drawing>
              <wp:anchor distT="0" distB="0" distL="114300" distR="114300" simplePos="0" relativeHeight="251663360" behindDoc="1" locked="0" layoutInCell="1" allowOverlap="1">
                <wp:simplePos x="0" y="0"/>
                <wp:positionH relativeFrom="column">
                  <wp:posOffset>2841625</wp:posOffset>
                </wp:positionH>
                <wp:positionV relativeFrom="paragraph">
                  <wp:posOffset>154940</wp:posOffset>
                </wp:positionV>
                <wp:extent cx="2715260" cy="1849120"/>
                <wp:effectExtent l="4445" t="4445" r="23495" b="13335"/>
                <wp:wrapThrough wrapText="bothSides">
                  <wp:wrapPolygon>
                    <wp:start x="21592" y="-2"/>
                    <wp:lineTo x="0" y="0"/>
                    <wp:lineTo x="0" y="21599"/>
                    <wp:lineTo x="21592" y="21601"/>
                    <wp:lineTo x="8" y="21601"/>
                    <wp:lineTo x="21600" y="21599"/>
                    <wp:lineTo x="21600" y="0"/>
                    <wp:lineTo x="8" y="-2"/>
                    <wp:lineTo x="21592" y="-2"/>
                  </wp:wrapPolygon>
                </wp:wrapThrough>
                <wp:docPr id="4" name="矩形 12"/>
                <wp:cNvGraphicFramePr/>
                <a:graphic xmlns:a="http://schemas.openxmlformats.org/drawingml/2006/main">
                  <a:graphicData uri="http://schemas.microsoft.com/office/word/2010/wordprocessingShape">
                    <wps:wsp>
                      <wps:cNvSpPr/>
                      <wps:spPr>
                        <a:xfrm>
                          <a:off x="0" y="0"/>
                          <a:ext cx="2715260" cy="18491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2" o:spid="_x0000_s1026" o:spt="1" style="position:absolute;left:0pt;margin-left:223.75pt;margin-top:12.2pt;height:145.6pt;width:213.8pt;mso-wrap-distance-left:9pt;mso-wrap-distance-right:9pt;z-index:-251653120;mso-width-relative:page;mso-height-relative:page;" fillcolor="#FFFFFF" filled="t" stroked="t" coordsize="21600,21600" wrapcoords="21592 -2 0 0 0 21599 21592 21601 8 21601 21600 21599 21600 0 8 -2 21592 -2" o:gfxdata="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nJNaPaAAAACgEAAA8AAAAAAAAAAQAgAAAAIgAAAGRycy9k&#10;b3ducmV2LnhtbFBLAQIUABQAAAAIAIdO4kCtCLEHAAIAACAEAAAOAAAAAAAAAAEAIAAAACkBAABk&#10;cnMvZTJvRG9jLnhtbFBLBQYAAAAABgAGAFkBAACbBQAAAAA=&#10;">
                <v:fill on="t" focussize="0,0"/>
                <v:stroke color="#000000" joinstyle="miter"/>
                <v:imagedata o:title=""/>
                <o:lock v:ext="edit" aspectratio="f"/>
                <w10:wrap type="through"/>
              </v:rect>
            </w:pict>
          </mc:Fallback>
        </mc:AlternateContent>
      </w:r>
    </w:p>
    <w:p w14:paraId="426AE4EE">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w:t>
      </w:r>
    </w:p>
    <w:p w14:paraId="19DD5C6C">
      <w:pPr>
        <w:spacing w:line="360" w:lineRule="auto"/>
        <w:rPr>
          <w:rFonts w:hint="eastAsia" w:asciiTheme="minorEastAsia" w:hAnsiTheme="minorEastAsia" w:eastAsiaTheme="minorEastAsia" w:cstheme="minorEastAsia"/>
          <w:color w:val="auto"/>
          <w:szCs w:val="21"/>
        </w:rPr>
      </w:pPr>
    </w:p>
    <w:p w14:paraId="5C2F6C88">
      <w:pPr>
        <w:spacing w:line="360" w:lineRule="auto"/>
        <w:rPr>
          <w:rFonts w:hint="eastAsia" w:asciiTheme="minorEastAsia" w:hAnsiTheme="minorEastAsia" w:eastAsiaTheme="minorEastAsia" w:cstheme="minorEastAsia"/>
          <w:color w:val="auto"/>
          <w:szCs w:val="21"/>
        </w:rPr>
      </w:pPr>
    </w:p>
    <w:p w14:paraId="22637A52">
      <w:pPr>
        <w:spacing w:line="360" w:lineRule="auto"/>
        <w:rPr>
          <w:rFonts w:hint="eastAsia" w:asciiTheme="minorEastAsia" w:hAnsiTheme="minorEastAsia" w:eastAsiaTheme="minorEastAsia" w:cstheme="minorEastAsia"/>
          <w:color w:val="auto"/>
          <w:szCs w:val="21"/>
        </w:rPr>
      </w:pPr>
    </w:p>
    <w:p w14:paraId="5D585841">
      <w:pPr>
        <w:spacing w:line="360" w:lineRule="auto"/>
        <w:rPr>
          <w:rFonts w:hint="eastAsia" w:asciiTheme="minorEastAsia" w:hAnsiTheme="minorEastAsia" w:eastAsiaTheme="minorEastAsia" w:cstheme="minorEastAsia"/>
          <w:color w:val="auto"/>
          <w:szCs w:val="21"/>
        </w:rPr>
      </w:pPr>
    </w:p>
    <w:p w14:paraId="213EA5DC">
      <w:pPr>
        <w:spacing w:line="360" w:lineRule="auto"/>
        <w:rPr>
          <w:rFonts w:hint="eastAsia" w:asciiTheme="minorEastAsia" w:hAnsiTheme="minorEastAsia" w:eastAsiaTheme="minorEastAsia" w:cstheme="minorEastAsia"/>
          <w:color w:val="auto"/>
          <w:szCs w:val="21"/>
        </w:rPr>
      </w:pPr>
    </w:p>
    <w:p w14:paraId="7B6DA024">
      <w:pPr>
        <w:pStyle w:val="15"/>
        <w:rPr>
          <w:rFonts w:hint="eastAsia" w:asciiTheme="minorEastAsia" w:hAnsiTheme="minorEastAsia" w:eastAsiaTheme="minorEastAsia" w:cstheme="minorEastAsia"/>
          <w:color w:val="auto"/>
        </w:rPr>
        <w:sectPr>
          <w:footerReference r:id="rId7" w:type="default"/>
          <w:pgSz w:w="11906" w:h="16838"/>
          <w:pgMar w:top="1247" w:right="1247" w:bottom="1247" w:left="1247" w:header="850" w:footer="992" w:gutter="0"/>
          <w:pgNumType w:fmt="decimal" w:start="1"/>
          <w:cols w:space="0" w:num="1"/>
          <w:rtlGutter w:val="0"/>
          <w:docGrid w:type="lines" w:linePitch="319" w:charSpace="0"/>
        </w:sectPr>
      </w:pPr>
    </w:p>
    <w:p w14:paraId="37A58043">
      <w:pPr>
        <w:pStyle w:val="4"/>
        <w:spacing w:before="0"/>
        <w:jc w:val="center"/>
        <w:rPr>
          <w:color w:val="auto"/>
        </w:rPr>
      </w:pPr>
      <w:bookmarkStart w:id="172" w:name="_Toc78603131"/>
      <w:bookmarkStart w:id="173" w:name="_Toc403381115"/>
      <w:bookmarkStart w:id="174" w:name="_Toc28914"/>
      <w:bookmarkStart w:id="175" w:name="_Toc8761"/>
      <w:bookmarkStart w:id="176" w:name="_Toc5671"/>
      <w:bookmarkStart w:id="177" w:name="_Toc2849"/>
      <w:bookmarkStart w:id="178" w:name="_Toc4391"/>
      <w:bookmarkStart w:id="179" w:name="_Toc213141100"/>
      <w:bookmarkStart w:id="180" w:name="_Toc381109076"/>
      <w:bookmarkStart w:id="181" w:name="_Toc392492454"/>
      <w:bookmarkStart w:id="182" w:name="_Toc24385"/>
      <w:bookmarkStart w:id="183" w:name="_Toc491166395"/>
      <w:bookmarkStart w:id="184" w:name="_Toc392492193"/>
      <w:bookmarkStart w:id="185" w:name="_Toc17336"/>
      <w:r>
        <w:rPr>
          <w:rFonts w:hint="eastAsia" w:asciiTheme="minorEastAsia" w:hAnsiTheme="minorEastAsia" w:eastAsiaTheme="minorEastAsia" w:cstheme="minorEastAsia"/>
          <w:color w:val="auto"/>
          <w:szCs w:val="28"/>
        </w:rPr>
        <w:t>（四）</w:t>
      </w:r>
      <w:bookmarkEnd w:id="172"/>
      <w:bookmarkEnd w:id="173"/>
      <w:r>
        <w:rPr>
          <w:rFonts w:hint="eastAsia" w:asciiTheme="minorEastAsia" w:hAnsiTheme="minorEastAsia" w:eastAsiaTheme="minorEastAsia" w:cstheme="minorEastAsia"/>
          <w:color w:val="auto"/>
          <w:szCs w:val="28"/>
        </w:rPr>
        <w:t>投标保证金缴纳凭证</w:t>
      </w:r>
      <w:bookmarkEnd w:id="174"/>
      <w:bookmarkEnd w:id="175"/>
      <w:bookmarkEnd w:id="176"/>
      <w:bookmarkEnd w:id="177"/>
      <w:bookmarkEnd w:id="178"/>
    </w:p>
    <w:p w14:paraId="6336557E">
      <w:pPr>
        <w:jc w:val="center"/>
        <w:rPr>
          <w:rFonts w:hint="eastAsia" w:asciiTheme="minorEastAsia" w:hAnsiTheme="minorEastAsia" w:eastAsiaTheme="minorEastAsia" w:cstheme="minorEastAsia"/>
          <w:color w:val="auto"/>
          <w:szCs w:val="28"/>
        </w:rPr>
      </w:pPr>
      <w:r>
        <w:rPr>
          <w:rFonts w:hint="eastAsia" w:ascii="宋体" w:hAnsi="宋体" w:cs="宋体"/>
          <w:color w:val="auto"/>
          <w:sz w:val="24"/>
        </w:rPr>
        <w:t>开户证明材料及投标保证金交纳凭证复印件</w:t>
      </w:r>
      <w:r>
        <w:rPr>
          <w:rFonts w:hint="eastAsia" w:asciiTheme="minorEastAsia" w:hAnsiTheme="minorEastAsia" w:eastAsiaTheme="minorEastAsia" w:cstheme="minorEastAsia"/>
          <w:color w:val="auto"/>
          <w:szCs w:val="28"/>
        </w:rPr>
        <w:br w:type="page"/>
      </w:r>
    </w:p>
    <w:p w14:paraId="367AA3BB">
      <w:pPr>
        <w:pStyle w:val="4"/>
        <w:spacing w:before="0"/>
        <w:jc w:val="center"/>
        <w:rPr>
          <w:rFonts w:hint="eastAsia"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（五）商务条款偏离表</w:t>
      </w:r>
      <w:bookmarkEnd w:id="179"/>
      <w:bookmarkEnd w:id="180"/>
      <w:bookmarkEnd w:id="181"/>
      <w:bookmarkEnd w:id="182"/>
      <w:bookmarkEnd w:id="183"/>
      <w:bookmarkEnd w:id="184"/>
      <w:bookmarkEnd w:id="185"/>
    </w:p>
    <w:p w14:paraId="19E8186C">
      <w:pPr>
        <w:pStyle w:val="21"/>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须逐条对应招标文件中要求的商务条款，认真填写该表。</w:t>
      </w:r>
    </w:p>
    <w:p w14:paraId="77FDB8C1">
      <w:pPr>
        <w:pStyle w:val="21"/>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商务条款是指：招标文件第五章《采购需求》及招标文件中要求的合同</w:t>
      </w:r>
      <w:r>
        <w:rPr>
          <w:rFonts w:hint="eastAsia" w:asciiTheme="minorEastAsia" w:hAnsiTheme="minorEastAsia" w:eastAsiaTheme="minorEastAsia" w:cstheme="minorEastAsia"/>
          <w:color w:val="auto"/>
          <w:sz w:val="24"/>
          <w:szCs w:val="24"/>
          <w:lang w:eastAsia="zh-CN"/>
        </w:rPr>
        <w:t>履行期限</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项目实施</w:t>
      </w:r>
      <w:r>
        <w:rPr>
          <w:rFonts w:hint="eastAsia" w:asciiTheme="minorEastAsia" w:hAnsiTheme="minorEastAsia" w:eastAsiaTheme="minorEastAsia" w:cstheme="minorEastAsia"/>
          <w:color w:val="auto"/>
          <w:sz w:val="24"/>
          <w:szCs w:val="24"/>
        </w:rPr>
        <w:t>地点等要求。</w:t>
      </w:r>
    </w:p>
    <w:p w14:paraId="5BA5B5EE">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A、□我公司已详细阅读招标文件中各项商务要求，所有商务要求均无偏离，中标后我公司将严格遵照执行。</w:t>
      </w:r>
    </w:p>
    <w:p w14:paraId="7F414200">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B、□我公司已详细阅读招标文件中各项商务要求，除下述条款有偏离外，其余条款我公司均予以认可，中标后将严格遵照执行。</w:t>
      </w:r>
    </w:p>
    <w:p w14:paraId="058DF257">
      <w:pPr>
        <w:pStyle w:val="21"/>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项目名称：</w:t>
      </w:r>
      <w:r>
        <w:rPr>
          <w:rFonts w:hint="eastAsia" w:asciiTheme="minorEastAsia" w:hAnsiTheme="minorEastAsia" w:eastAsiaTheme="minorEastAsia" w:cstheme="minorEastAsia"/>
          <w:b/>
          <w:color w:val="auto"/>
          <w:sz w:val="24"/>
          <w:szCs w:val="24"/>
          <w:u w:val="single"/>
        </w:rPr>
        <w:t xml:space="preserve">                 </w:t>
      </w:r>
      <w:r>
        <w:rPr>
          <w:rFonts w:hint="eastAsia" w:asciiTheme="minorEastAsia" w:hAnsiTheme="minorEastAsia" w:eastAsiaTheme="minorEastAsia" w:cstheme="minorEastAsia"/>
          <w:b/>
          <w:color w:val="auto"/>
          <w:sz w:val="24"/>
          <w:szCs w:val="24"/>
        </w:rPr>
        <w:t xml:space="preserve">           </w:t>
      </w:r>
    </w:p>
    <w:p w14:paraId="31969C4B">
      <w:pPr>
        <w:pStyle w:val="21"/>
        <w:spacing w:line="360" w:lineRule="auto"/>
        <w:rPr>
          <w:rFonts w:hint="eastAsia" w:asciiTheme="minorEastAsia" w:hAnsiTheme="minorEastAsia" w:eastAsiaTheme="minorEastAsia" w:cstheme="minorEastAsia"/>
          <w:b/>
          <w:color w:val="auto"/>
          <w:sz w:val="24"/>
          <w:szCs w:val="24"/>
          <w:u w:val="single"/>
        </w:rPr>
      </w:pPr>
      <w:r>
        <w:rPr>
          <w:rFonts w:hint="eastAsia" w:asciiTheme="minorEastAsia" w:hAnsiTheme="minorEastAsia" w:eastAsiaTheme="minorEastAsia" w:cstheme="minorEastAsia"/>
          <w:b/>
          <w:color w:val="auto"/>
          <w:sz w:val="24"/>
          <w:szCs w:val="24"/>
        </w:rPr>
        <w:t>项目编号：</w:t>
      </w:r>
      <w:r>
        <w:rPr>
          <w:rFonts w:hint="eastAsia" w:asciiTheme="minorEastAsia" w:hAnsiTheme="minorEastAsia" w:eastAsiaTheme="minorEastAsia" w:cstheme="minorEastAsia"/>
          <w:b/>
          <w:color w:val="auto"/>
          <w:sz w:val="24"/>
          <w:szCs w:val="24"/>
          <w:u w:val="single"/>
        </w:rPr>
        <w:t xml:space="preserve">                 </w:t>
      </w:r>
      <w:r>
        <w:rPr>
          <w:rFonts w:hint="eastAsia" w:asciiTheme="minorEastAsia" w:hAnsiTheme="minorEastAsia" w:eastAsiaTheme="minorEastAsia" w:cstheme="minorEastAsia"/>
          <w:b/>
          <w:color w:val="auto"/>
          <w:sz w:val="24"/>
          <w:szCs w:val="24"/>
        </w:rPr>
        <w:t xml:space="preserve">             </w:t>
      </w:r>
      <w:r>
        <w:rPr>
          <w:rFonts w:hint="eastAsia" w:asciiTheme="minorEastAsia" w:hAnsiTheme="minorEastAsia" w:eastAsiaTheme="minorEastAsia" w:cstheme="minorEastAsia"/>
          <w:bCs/>
          <w:color w:val="auto"/>
          <w:sz w:val="24"/>
          <w:szCs w:val="24"/>
        </w:rPr>
        <w:t xml:space="preserve">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422"/>
        <w:gridCol w:w="2938"/>
        <w:gridCol w:w="2595"/>
        <w:gridCol w:w="2006"/>
      </w:tblGrid>
      <w:tr w14:paraId="3CD3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vAlign w:val="center"/>
          </w:tcPr>
          <w:p w14:paraId="79F6B4EC">
            <w:pPr>
              <w:pStyle w:val="21"/>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422" w:type="dxa"/>
            <w:tcBorders>
              <w:top w:val="single" w:color="auto" w:sz="4" w:space="0"/>
              <w:left w:val="single" w:color="auto" w:sz="4" w:space="0"/>
              <w:bottom w:val="single" w:color="auto" w:sz="4" w:space="0"/>
              <w:right w:val="single" w:color="auto" w:sz="4" w:space="0"/>
            </w:tcBorders>
            <w:vAlign w:val="center"/>
          </w:tcPr>
          <w:p w14:paraId="0887AD1C">
            <w:pPr>
              <w:pStyle w:val="21"/>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招标文件页码及条目号</w:t>
            </w:r>
          </w:p>
        </w:tc>
        <w:tc>
          <w:tcPr>
            <w:tcW w:w="2938" w:type="dxa"/>
            <w:tcBorders>
              <w:top w:val="single" w:color="auto" w:sz="4" w:space="0"/>
              <w:left w:val="single" w:color="auto" w:sz="4" w:space="0"/>
              <w:bottom w:val="single" w:color="auto" w:sz="4" w:space="0"/>
              <w:right w:val="single" w:color="auto" w:sz="4" w:space="0"/>
            </w:tcBorders>
            <w:vAlign w:val="center"/>
          </w:tcPr>
          <w:p w14:paraId="5808C9E3">
            <w:pPr>
              <w:pStyle w:val="21"/>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招标文件的商务条款</w:t>
            </w:r>
          </w:p>
        </w:tc>
        <w:tc>
          <w:tcPr>
            <w:tcW w:w="2595" w:type="dxa"/>
            <w:tcBorders>
              <w:top w:val="single" w:color="auto" w:sz="4" w:space="0"/>
              <w:left w:val="single" w:color="auto" w:sz="4" w:space="0"/>
              <w:bottom w:val="single" w:color="auto" w:sz="4" w:space="0"/>
              <w:right w:val="single" w:color="auto" w:sz="4" w:space="0"/>
            </w:tcBorders>
            <w:vAlign w:val="center"/>
          </w:tcPr>
          <w:p w14:paraId="6435E493">
            <w:pPr>
              <w:pStyle w:val="21"/>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投标文件的商务条款</w:t>
            </w:r>
          </w:p>
        </w:tc>
        <w:tc>
          <w:tcPr>
            <w:tcW w:w="2006" w:type="dxa"/>
            <w:tcBorders>
              <w:top w:val="single" w:color="auto" w:sz="4" w:space="0"/>
              <w:left w:val="single" w:color="auto" w:sz="4" w:space="0"/>
              <w:bottom w:val="single" w:color="auto" w:sz="4" w:space="0"/>
              <w:right w:val="single" w:color="auto" w:sz="4" w:space="0"/>
            </w:tcBorders>
            <w:vAlign w:val="center"/>
          </w:tcPr>
          <w:p w14:paraId="028ED6D0">
            <w:pPr>
              <w:pStyle w:val="21"/>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响应情况说明</w:t>
            </w:r>
          </w:p>
        </w:tc>
      </w:tr>
      <w:tr w14:paraId="5170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tcPr>
          <w:p w14:paraId="1E2AEF93">
            <w:pPr>
              <w:pStyle w:val="21"/>
              <w:rPr>
                <w:rFonts w:hint="eastAsia" w:asciiTheme="minorEastAsia" w:hAnsiTheme="minorEastAsia" w:eastAsiaTheme="minorEastAsia" w:cstheme="minorEastAsia"/>
                <w:color w:val="auto"/>
                <w:sz w:val="24"/>
                <w:szCs w:val="24"/>
              </w:rPr>
            </w:pPr>
          </w:p>
        </w:tc>
        <w:tc>
          <w:tcPr>
            <w:tcW w:w="1422" w:type="dxa"/>
            <w:tcBorders>
              <w:top w:val="single" w:color="auto" w:sz="4" w:space="0"/>
              <w:left w:val="single" w:color="auto" w:sz="4" w:space="0"/>
              <w:bottom w:val="single" w:color="auto" w:sz="4" w:space="0"/>
              <w:right w:val="single" w:color="auto" w:sz="4" w:space="0"/>
            </w:tcBorders>
          </w:tcPr>
          <w:p w14:paraId="7035A7A7">
            <w:pPr>
              <w:pStyle w:val="21"/>
              <w:rPr>
                <w:rFonts w:hint="eastAsia" w:asciiTheme="minorEastAsia" w:hAnsiTheme="minorEastAsia" w:eastAsiaTheme="minorEastAsia" w:cstheme="minorEastAsia"/>
                <w:color w:val="auto"/>
                <w:sz w:val="24"/>
                <w:szCs w:val="24"/>
              </w:rPr>
            </w:pPr>
          </w:p>
        </w:tc>
        <w:tc>
          <w:tcPr>
            <w:tcW w:w="2938" w:type="dxa"/>
            <w:tcBorders>
              <w:top w:val="single" w:color="auto" w:sz="4" w:space="0"/>
              <w:left w:val="single" w:color="auto" w:sz="4" w:space="0"/>
              <w:bottom w:val="single" w:color="auto" w:sz="4" w:space="0"/>
              <w:right w:val="single" w:color="auto" w:sz="4" w:space="0"/>
            </w:tcBorders>
          </w:tcPr>
          <w:p w14:paraId="556D95EC">
            <w:pPr>
              <w:pStyle w:val="21"/>
              <w:rPr>
                <w:rFonts w:hint="eastAsia" w:asciiTheme="minorEastAsia" w:hAnsiTheme="minorEastAsia" w:eastAsiaTheme="minorEastAsia" w:cstheme="minorEastAsia"/>
                <w:color w:val="auto"/>
                <w:sz w:val="24"/>
                <w:szCs w:val="24"/>
              </w:rPr>
            </w:pPr>
          </w:p>
        </w:tc>
        <w:tc>
          <w:tcPr>
            <w:tcW w:w="2595" w:type="dxa"/>
            <w:tcBorders>
              <w:top w:val="single" w:color="auto" w:sz="4" w:space="0"/>
              <w:left w:val="single" w:color="auto" w:sz="4" w:space="0"/>
              <w:bottom w:val="single" w:color="auto" w:sz="4" w:space="0"/>
              <w:right w:val="single" w:color="auto" w:sz="4" w:space="0"/>
            </w:tcBorders>
          </w:tcPr>
          <w:p w14:paraId="681D5A12">
            <w:pPr>
              <w:pStyle w:val="21"/>
              <w:rPr>
                <w:rFonts w:hint="eastAsia" w:asciiTheme="minorEastAsia" w:hAnsiTheme="minorEastAsia" w:eastAsiaTheme="minorEastAsia" w:cstheme="minorEastAsia"/>
                <w:color w:val="auto"/>
                <w:sz w:val="24"/>
                <w:szCs w:val="24"/>
              </w:rPr>
            </w:pPr>
          </w:p>
        </w:tc>
        <w:tc>
          <w:tcPr>
            <w:tcW w:w="2006" w:type="dxa"/>
            <w:tcBorders>
              <w:top w:val="single" w:color="auto" w:sz="4" w:space="0"/>
              <w:left w:val="single" w:color="auto" w:sz="4" w:space="0"/>
              <w:bottom w:val="single" w:color="auto" w:sz="4" w:space="0"/>
              <w:right w:val="single" w:color="auto" w:sz="4" w:space="0"/>
            </w:tcBorders>
          </w:tcPr>
          <w:p w14:paraId="49154E7D">
            <w:pPr>
              <w:pStyle w:val="21"/>
              <w:rPr>
                <w:rFonts w:hint="eastAsia" w:asciiTheme="minorEastAsia" w:hAnsiTheme="minorEastAsia" w:eastAsiaTheme="minorEastAsia" w:cstheme="minorEastAsia"/>
                <w:color w:val="auto"/>
                <w:sz w:val="24"/>
                <w:szCs w:val="24"/>
              </w:rPr>
            </w:pPr>
          </w:p>
        </w:tc>
      </w:tr>
      <w:tr w14:paraId="2DEA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tcPr>
          <w:p w14:paraId="73121286">
            <w:pPr>
              <w:pStyle w:val="21"/>
              <w:rPr>
                <w:rFonts w:hint="eastAsia" w:asciiTheme="minorEastAsia" w:hAnsiTheme="minorEastAsia" w:eastAsiaTheme="minorEastAsia" w:cstheme="minorEastAsia"/>
                <w:color w:val="auto"/>
                <w:sz w:val="24"/>
                <w:szCs w:val="24"/>
              </w:rPr>
            </w:pPr>
          </w:p>
        </w:tc>
        <w:tc>
          <w:tcPr>
            <w:tcW w:w="1422" w:type="dxa"/>
            <w:tcBorders>
              <w:top w:val="single" w:color="auto" w:sz="4" w:space="0"/>
              <w:left w:val="single" w:color="auto" w:sz="4" w:space="0"/>
              <w:bottom w:val="single" w:color="auto" w:sz="4" w:space="0"/>
              <w:right w:val="single" w:color="auto" w:sz="4" w:space="0"/>
            </w:tcBorders>
          </w:tcPr>
          <w:p w14:paraId="175D9718">
            <w:pPr>
              <w:pStyle w:val="21"/>
              <w:rPr>
                <w:rFonts w:hint="eastAsia" w:asciiTheme="minorEastAsia" w:hAnsiTheme="minorEastAsia" w:eastAsiaTheme="minorEastAsia" w:cstheme="minorEastAsia"/>
                <w:color w:val="auto"/>
                <w:sz w:val="24"/>
                <w:szCs w:val="24"/>
              </w:rPr>
            </w:pPr>
          </w:p>
        </w:tc>
        <w:tc>
          <w:tcPr>
            <w:tcW w:w="2938" w:type="dxa"/>
            <w:tcBorders>
              <w:top w:val="single" w:color="auto" w:sz="4" w:space="0"/>
              <w:left w:val="single" w:color="auto" w:sz="4" w:space="0"/>
              <w:bottom w:val="single" w:color="auto" w:sz="4" w:space="0"/>
              <w:right w:val="single" w:color="auto" w:sz="4" w:space="0"/>
            </w:tcBorders>
          </w:tcPr>
          <w:p w14:paraId="7C7A234B">
            <w:pPr>
              <w:pStyle w:val="21"/>
              <w:rPr>
                <w:rFonts w:hint="eastAsia" w:asciiTheme="minorEastAsia" w:hAnsiTheme="minorEastAsia" w:eastAsiaTheme="minorEastAsia" w:cstheme="minorEastAsia"/>
                <w:color w:val="auto"/>
                <w:sz w:val="24"/>
                <w:szCs w:val="24"/>
              </w:rPr>
            </w:pPr>
          </w:p>
        </w:tc>
        <w:tc>
          <w:tcPr>
            <w:tcW w:w="2595" w:type="dxa"/>
            <w:tcBorders>
              <w:top w:val="single" w:color="auto" w:sz="4" w:space="0"/>
              <w:left w:val="single" w:color="auto" w:sz="4" w:space="0"/>
              <w:bottom w:val="single" w:color="auto" w:sz="4" w:space="0"/>
              <w:right w:val="single" w:color="auto" w:sz="4" w:space="0"/>
            </w:tcBorders>
          </w:tcPr>
          <w:p w14:paraId="74A9018F">
            <w:pPr>
              <w:pStyle w:val="21"/>
              <w:rPr>
                <w:rFonts w:hint="eastAsia" w:asciiTheme="minorEastAsia" w:hAnsiTheme="minorEastAsia" w:eastAsiaTheme="minorEastAsia" w:cstheme="minorEastAsia"/>
                <w:color w:val="auto"/>
                <w:sz w:val="24"/>
                <w:szCs w:val="24"/>
              </w:rPr>
            </w:pPr>
          </w:p>
        </w:tc>
        <w:tc>
          <w:tcPr>
            <w:tcW w:w="2006" w:type="dxa"/>
            <w:tcBorders>
              <w:top w:val="single" w:color="auto" w:sz="4" w:space="0"/>
              <w:left w:val="single" w:color="auto" w:sz="4" w:space="0"/>
              <w:bottom w:val="single" w:color="auto" w:sz="4" w:space="0"/>
              <w:right w:val="single" w:color="auto" w:sz="4" w:space="0"/>
            </w:tcBorders>
          </w:tcPr>
          <w:p w14:paraId="12ADBAF8">
            <w:pPr>
              <w:pStyle w:val="21"/>
              <w:rPr>
                <w:rFonts w:hint="eastAsia" w:asciiTheme="minorEastAsia" w:hAnsiTheme="minorEastAsia" w:eastAsiaTheme="minorEastAsia" w:cstheme="minorEastAsia"/>
                <w:color w:val="auto"/>
                <w:sz w:val="24"/>
                <w:szCs w:val="24"/>
              </w:rPr>
            </w:pPr>
          </w:p>
        </w:tc>
      </w:tr>
      <w:tr w14:paraId="7C3D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tcPr>
          <w:p w14:paraId="18F760FC">
            <w:pPr>
              <w:pStyle w:val="21"/>
              <w:rPr>
                <w:rFonts w:hint="eastAsia" w:asciiTheme="minorEastAsia" w:hAnsiTheme="minorEastAsia" w:eastAsiaTheme="minorEastAsia" w:cstheme="minorEastAsia"/>
                <w:color w:val="auto"/>
                <w:sz w:val="24"/>
                <w:szCs w:val="24"/>
              </w:rPr>
            </w:pPr>
          </w:p>
        </w:tc>
        <w:tc>
          <w:tcPr>
            <w:tcW w:w="1422" w:type="dxa"/>
            <w:tcBorders>
              <w:top w:val="single" w:color="auto" w:sz="4" w:space="0"/>
              <w:left w:val="single" w:color="auto" w:sz="4" w:space="0"/>
              <w:bottom w:val="single" w:color="auto" w:sz="4" w:space="0"/>
              <w:right w:val="single" w:color="auto" w:sz="4" w:space="0"/>
            </w:tcBorders>
          </w:tcPr>
          <w:p w14:paraId="65506974">
            <w:pPr>
              <w:pStyle w:val="21"/>
              <w:rPr>
                <w:rFonts w:hint="eastAsia" w:asciiTheme="minorEastAsia" w:hAnsiTheme="minorEastAsia" w:eastAsiaTheme="minorEastAsia" w:cstheme="minorEastAsia"/>
                <w:color w:val="auto"/>
                <w:sz w:val="24"/>
                <w:szCs w:val="24"/>
              </w:rPr>
            </w:pPr>
          </w:p>
        </w:tc>
        <w:tc>
          <w:tcPr>
            <w:tcW w:w="2938" w:type="dxa"/>
            <w:tcBorders>
              <w:top w:val="single" w:color="auto" w:sz="4" w:space="0"/>
              <w:left w:val="single" w:color="auto" w:sz="4" w:space="0"/>
              <w:bottom w:val="single" w:color="auto" w:sz="4" w:space="0"/>
              <w:right w:val="single" w:color="auto" w:sz="4" w:space="0"/>
            </w:tcBorders>
          </w:tcPr>
          <w:p w14:paraId="58EA7309">
            <w:pPr>
              <w:pStyle w:val="21"/>
              <w:rPr>
                <w:rFonts w:hint="eastAsia" w:asciiTheme="minorEastAsia" w:hAnsiTheme="minorEastAsia" w:eastAsiaTheme="minorEastAsia" w:cstheme="minorEastAsia"/>
                <w:color w:val="auto"/>
                <w:sz w:val="24"/>
                <w:szCs w:val="24"/>
              </w:rPr>
            </w:pPr>
          </w:p>
        </w:tc>
        <w:tc>
          <w:tcPr>
            <w:tcW w:w="2595" w:type="dxa"/>
            <w:tcBorders>
              <w:top w:val="single" w:color="auto" w:sz="4" w:space="0"/>
              <w:left w:val="single" w:color="auto" w:sz="4" w:space="0"/>
              <w:bottom w:val="single" w:color="auto" w:sz="4" w:space="0"/>
              <w:right w:val="single" w:color="auto" w:sz="4" w:space="0"/>
            </w:tcBorders>
          </w:tcPr>
          <w:p w14:paraId="354C0FB0">
            <w:pPr>
              <w:pStyle w:val="21"/>
              <w:rPr>
                <w:rFonts w:hint="eastAsia" w:asciiTheme="minorEastAsia" w:hAnsiTheme="minorEastAsia" w:eastAsiaTheme="minorEastAsia" w:cstheme="minorEastAsia"/>
                <w:color w:val="auto"/>
                <w:sz w:val="24"/>
                <w:szCs w:val="24"/>
              </w:rPr>
            </w:pPr>
          </w:p>
        </w:tc>
        <w:tc>
          <w:tcPr>
            <w:tcW w:w="2006" w:type="dxa"/>
            <w:tcBorders>
              <w:top w:val="single" w:color="auto" w:sz="4" w:space="0"/>
              <w:left w:val="single" w:color="auto" w:sz="4" w:space="0"/>
              <w:bottom w:val="single" w:color="auto" w:sz="4" w:space="0"/>
              <w:right w:val="single" w:color="auto" w:sz="4" w:space="0"/>
            </w:tcBorders>
          </w:tcPr>
          <w:p w14:paraId="4202B099">
            <w:pPr>
              <w:pStyle w:val="21"/>
              <w:rPr>
                <w:rFonts w:hint="eastAsia" w:asciiTheme="minorEastAsia" w:hAnsiTheme="minorEastAsia" w:eastAsiaTheme="minorEastAsia" w:cstheme="minorEastAsia"/>
                <w:color w:val="auto"/>
                <w:sz w:val="24"/>
                <w:szCs w:val="24"/>
              </w:rPr>
            </w:pPr>
          </w:p>
        </w:tc>
      </w:tr>
      <w:tr w14:paraId="4E19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tcPr>
          <w:p w14:paraId="66FD388B">
            <w:pPr>
              <w:pStyle w:val="21"/>
              <w:rPr>
                <w:rFonts w:hint="eastAsia" w:asciiTheme="minorEastAsia" w:hAnsiTheme="minorEastAsia" w:eastAsiaTheme="minorEastAsia" w:cstheme="minorEastAsia"/>
                <w:color w:val="auto"/>
                <w:sz w:val="24"/>
                <w:szCs w:val="24"/>
              </w:rPr>
            </w:pPr>
          </w:p>
        </w:tc>
        <w:tc>
          <w:tcPr>
            <w:tcW w:w="1422" w:type="dxa"/>
            <w:tcBorders>
              <w:top w:val="single" w:color="auto" w:sz="4" w:space="0"/>
              <w:left w:val="single" w:color="auto" w:sz="4" w:space="0"/>
              <w:bottom w:val="single" w:color="auto" w:sz="4" w:space="0"/>
              <w:right w:val="single" w:color="auto" w:sz="4" w:space="0"/>
            </w:tcBorders>
          </w:tcPr>
          <w:p w14:paraId="1B6F0DD5">
            <w:pPr>
              <w:pStyle w:val="21"/>
              <w:rPr>
                <w:rFonts w:hint="eastAsia" w:asciiTheme="minorEastAsia" w:hAnsiTheme="minorEastAsia" w:eastAsiaTheme="minorEastAsia" w:cstheme="minorEastAsia"/>
                <w:color w:val="auto"/>
                <w:sz w:val="24"/>
                <w:szCs w:val="24"/>
              </w:rPr>
            </w:pPr>
          </w:p>
        </w:tc>
        <w:tc>
          <w:tcPr>
            <w:tcW w:w="2938" w:type="dxa"/>
            <w:tcBorders>
              <w:top w:val="single" w:color="auto" w:sz="4" w:space="0"/>
              <w:left w:val="single" w:color="auto" w:sz="4" w:space="0"/>
              <w:bottom w:val="single" w:color="auto" w:sz="4" w:space="0"/>
              <w:right w:val="single" w:color="auto" w:sz="4" w:space="0"/>
            </w:tcBorders>
          </w:tcPr>
          <w:p w14:paraId="0E7255FC">
            <w:pPr>
              <w:pStyle w:val="21"/>
              <w:rPr>
                <w:rFonts w:hint="eastAsia" w:asciiTheme="minorEastAsia" w:hAnsiTheme="minorEastAsia" w:eastAsiaTheme="minorEastAsia" w:cstheme="minorEastAsia"/>
                <w:color w:val="auto"/>
                <w:sz w:val="24"/>
                <w:szCs w:val="24"/>
              </w:rPr>
            </w:pPr>
          </w:p>
        </w:tc>
        <w:tc>
          <w:tcPr>
            <w:tcW w:w="2595" w:type="dxa"/>
            <w:tcBorders>
              <w:top w:val="single" w:color="auto" w:sz="4" w:space="0"/>
              <w:left w:val="single" w:color="auto" w:sz="4" w:space="0"/>
              <w:bottom w:val="single" w:color="auto" w:sz="4" w:space="0"/>
              <w:right w:val="single" w:color="auto" w:sz="4" w:space="0"/>
            </w:tcBorders>
          </w:tcPr>
          <w:p w14:paraId="53596176">
            <w:pPr>
              <w:pStyle w:val="21"/>
              <w:rPr>
                <w:rFonts w:hint="eastAsia" w:asciiTheme="minorEastAsia" w:hAnsiTheme="minorEastAsia" w:eastAsiaTheme="minorEastAsia" w:cstheme="minorEastAsia"/>
                <w:color w:val="auto"/>
                <w:sz w:val="24"/>
                <w:szCs w:val="24"/>
              </w:rPr>
            </w:pPr>
          </w:p>
        </w:tc>
        <w:tc>
          <w:tcPr>
            <w:tcW w:w="2006" w:type="dxa"/>
            <w:tcBorders>
              <w:top w:val="single" w:color="auto" w:sz="4" w:space="0"/>
              <w:left w:val="single" w:color="auto" w:sz="4" w:space="0"/>
              <w:bottom w:val="single" w:color="auto" w:sz="4" w:space="0"/>
              <w:right w:val="single" w:color="auto" w:sz="4" w:space="0"/>
            </w:tcBorders>
          </w:tcPr>
          <w:p w14:paraId="26FCDF8F">
            <w:pPr>
              <w:pStyle w:val="21"/>
              <w:rPr>
                <w:rFonts w:hint="eastAsia" w:asciiTheme="minorEastAsia" w:hAnsiTheme="minorEastAsia" w:eastAsiaTheme="minorEastAsia" w:cstheme="minorEastAsia"/>
                <w:color w:val="auto"/>
                <w:sz w:val="24"/>
                <w:szCs w:val="24"/>
              </w:rPr>
            </w:pPr>
          </w:p>
        </w:tc>
      </w:tr>
      <w:tr w14:paraId="0D4F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tcPr>
          <w:p w14:paraId="38321D44">
            <w:pPr>
              <w:pStyle w:val="21"/>
              <w:rPr>
                <w:rFonts w:hint="eastAsia" w:asciiTheme="minorEastAsia" w:hAnsiTheme="minorEastAsia" w:eastAsiaTheme="minorEastAsia" w:cstheme="minorEastAsia"/>
                <w:color w:val="auto"/>
                <w:sz w:val="24"/>
                <w:szCs w:val="24"/>
              </w:rPr>
            </w:pPr>
          </w:p>
        </w:tc>
        <w:tc>
          <w:tcPr>
            <w:tcW w:w="1422" w:type="dxa"/>
            <w:tcBorders>
              <w:top w:val="single" w:color="auto" w:sz="4" w:space="0"/>
              <w:left w:val="single" w:color="auto" w:sz="4" w:space="0"/>
              <w:bottom w:val="single" w:color="auto" w:sz="4" w:space="0"/>
              <w:right w:val="single" w:color="auto" w:sz="4" w:space="0"/>
            </w:tcBorders>
          </w:tcPr>
          <w:p w14:paraId="75999616">
            <w:pPr>
              <w:pStyle w:val="21"/>
              <w:rPr>
                <w:rFonts w:hint="eastAsia" w:asciiTheme="minorEastAsia" w:hAnsiTheme="minorEastAsia" w:eastAsiaTheme="minorEastAsia" w:cstheme="minorEastAsia"/>
                <w:color w:val="auto"/>
                <w:sz w:val="24"/>
                <w:szCs w:val="24"/>
              </w:rPr>
            </w:pPr>
          </w:p>
        </w:tc>
        <w:tc>
          <w:tcPr>
            <w:tcW w:w="2938" w:type="dxa"/>
            <w:tcBorders>
              <w:top w:val="single" w:color="auto" w:sz="4" w:space="0"/>
              <w:left w:val="single" w:color="auto" w:sz="4" w:space="0"/>
              <w:bottom w:val="single" w:color="auto" w:sz="4" w:space="0"/>
              <w:right w:val="single" w:color="auto" w:sz="4" w:space="0"/>
            </w:tcBorders>
          </w:tcPr>
          <w:p w14:paraId="201FC8C6">
            <w:pPr>
              <w:pStyle w:val="21"/>
              <w:rPr>
                <w:rFonts w:hint="eastAsia" w:asciiTheme="minorEastAsia" w:hAnsiTheme="minorEastAsia" w:eastAsiaTheme="minorEastAsia" w:cstheme="minorEastAsia"/>
                <w:color w:val="auto"/>
                <w:sz w:val="24"/>
                <w:szCs w:val="24"/>
              </w:rPr>
            </w:pPr>
          </w:p>
        </w:tc>
        <w:tc>
          <w:tcPr>
            <w:tcW w:w="2595" w:type="dxa"/>
            <w:tcBorders>
              <w:top w:val="single" w:color="auto" w:sz="4" w:space="0"/>
              <w:left w:val="single" w:color="auto" w:sz="4" w:space="0"/>
              <w:bottom w:val="single" w:color="auto" w:sz="4" w:space="0"/>
              <w:right w:val="single" w:color="auto" w:sz="4" w:space="0"/>
            </w:tcBorders>
          </w:tcPr>
          <w:p w14:paraId="7E66144A">
            <w:pPr>
              <w:pStyle w:val="21"/>
              <w:rPr>
                <w:rFonts w:hint="eastAsia" w:asciiTheme="minorEastAsia" w:hAnsiTheme="minorEastAsia" w:eastAsiaTheme="minorEastAsia" w:cstheme="minorEastAsia"/>
                <w:color w:val="auto"/>
                <w:sz w:val="24"/>
                <w:szCs w:val="24"/>
              </w:rPr>
            </w:pPr>
          </w:p>
        </w:tc>
        <w:tc>
          <w:tcPr>
            <w:tcW w:w="2006" w:type="dxa"/>
            <w:tcBorders>
              <w:top w:val="single" w:color="auto" w:sz="4" w:space="0"/>
              <w:left w:val="single" w:color="auto" w:sz="4" w:space="0"/>
              <w:bottom w:val="single" w:color="auto" w:sz="4" w:space="0"/>
              <w:right w:val="single" w:color="auto" w:sz="4" w:space="0"/>
            </w:tcBorders>
          </w:tcPr>
          <w:p w14:paraId="2D255C36">
            <w:pPr>
              <w:pStyle w:val="21"/>
              <w:rPr>
                <w:rFonts w:hint="eastAsia" w:asciiTheme="minorEastAsia" w:hAnsiTheme="minorEastAsia" w:eastAsiaTheme="minorEastAsia" w:cstheme="minorEastAsia"/>
                <w:color w:val="auto"/>
                <w:sz w:val="24"/>
                <w:szCs w:val="24"/>
              </w:rPr>
            </w:pPr>
          </w:p>
        </w:tc>
      </w:tr>
      <w:tr w14:paraId="0233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tcPr>
          <w:p w14:paraId="35F84340">
            <w:pPr>
              <w:pStyle w:val="21"/>
              <w:rPr>
                <w:rFonts w:hint="eastAsia" w:asciiTheme="minorEastAsia" w:hAnsiTheme="minorEastAsia" w:eastAsiaTheme="minorEastAsia" w:cstheme="minorEastAsia"/>
                <w:color w:val="auto"/>
                <w:sz w:val="24"/>
                <w:szCs w:val="24"/>
              </w:rPr>
            </w:pPr>
          </w:p>
        </w:tc>
        <w:tc>
          <w:tcPr>
            <w:tcW w:w="1422" w:type="dxa"/>
            <w:tcBorders>
              <w:top w:val="single" w:color="auto" w:sz="4" w:space="0"/>
              <w:left w:val="single" w:color="auto" w:sz="4" w:space="0"/>
              <w:bottom w:val="single" w:color="auto" w:sz="4" w:space="0"/>
              <w:right w:val="single" w:color="auto" w:sz="4" w:space="0"/>
            </w:tcBorders>
          </w:tcPr>
          <w:p w14:paraId="1038B9DB">
            <w:pPr>
              <w:pStyle w:val="21"/>
              <w:rPr>
                <w:rFonts w:hint="eastAsia" w:asciiTheme="minorEastAsia" w:hAnsiTheme="minorEastAsia" w:eastAsiaTheme="minorEastAsia" w:cstheme="minorEastAsia"/>
                <w:color w:val="auto"/>
                <w:sz w:val="24"/>
                <w:szCs w:val="24"/>
              </w:rPr>
            </w:pPr>
          </w:p>
        </w:tc>
        <w:tc>
          <w:tcPr>
            <w:tcW w:w="2938" w:type="dxa"/>
            <w:tcBorders>
              <w:top w:val="single" w:color="auto" w:sz="4" w:space="0"/>
              <w:left w:val="single" w:color="auto" w:sz="4" w:space="0"/>
              <w:bottom w:val="single" w:color="auto" w:sz="4" w:space="0"/>
              <w:right w:val="single" w:color="auto" w:sz="4" w:space="0"/>
            </w:tcBorders>
          </w:tcPr>
          <w:p w14:paraId="6B3EC499">
            <w:pPr>
              <w:pStyle w:val="21"/>
              <w:rPr>
                <w:rFonts w:hint="eastAsia" w:asciiTheme="minorEastAsia" w:hAnsiTheme="minorEastAsia" w:eastAsiaTheme="minorEastAsia" w:cstheme="minorEastAsia"/>
                <w:color w:val="auto"/>
                <w:sz w:val="24"/>
                <w:szCs w:val="24"/>
              </w:rPr>
            </w:pPr>
          </w:p>
        </w:tc>
        <w:tc>
          <w:tcPr>
            <w:tcW w:w="2595" w:type="dxa"/>
            <w:tcBorders>
              <w:top w:val="single" w:color="auto" w:sz="4" w:space="0"/>
              <w:left w:val="single" w:color="auto" w:sz="4" w:space="0"/>
              <w:bottom w:val="single" w:color="auto" w:sz="4" w:space="0"/>
              <w:right w:val="single" w:color="auto" w:sz="4" w:space="0"/>
            </w:tcBorders>
          </w:tcPr>
          <w:p w14:paraId="62090AB4">
            <w:pPr>
              <w:pStyle w:val="21"/>
              <w:rPr>
                <w:rFonts w:hint="eastAsia" w:asciiTheme="minorEastAsia" w:hAnsiTheme="minorEastAsia" w:eastAsiaTheme="minorEastAsia" w:cstheme="minorEastAsia"/>
                <w:color w:val="auto"/>
                <w:sz w:val="24"/>
                <w:szCs w:val="24"/>
              </w:rPr>
            </w:pPr>
          </w:p>
        </w:tc>
        <w:tc>
          <w:tcPr>
            <w:tcW w:w="2006" w:type="dxa"/>
            <w:tcBorders>
              <w:top w:val="single" w:color="auto" w:sz="4" w:space="0"/>
              <w:left w:val="single" w:color="auto" w:sz="4" w:space="0"/>
              <w:bottom w:val="single" w:color="auto" w:sz="4" w:space="0"/>
              <w:right w:val="single" w:color="auto" w:sz="4" w:space="0"/>
            </w:tcBorders>
          </w:tcPr>
          <w:p w14:paraId="0FEC959A">
            <w:pPr>
              <w:pStyle w:val="21"/>
              <w:rPr>
                <w:rFonts w:hint="eastAsia" w:asciiTheme="minorEastAsia" w:hAnsiTheme="minorEastAsia" w:eastAsiaTheme="minorEastAsia" w:cstheme="minorEastAsia"/>
                <w:color w:val="auto"/>
                <w:sz w:val="24"/>
                <w:szCs w:val="24"/>
              </w:rPr>
            </w:pPr>
          </w:p>
        </w:tc>
      </w:tr>
      <w:tr w14:paraId="4FFA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tcPr>
          <w:p w14:paraId="1DE0D7F8">
            <w:pPr>
              <w:pStyle w:val="21"/>
              <w:rPr>
                <w:rFonts w:hint="eastAsia" w:asciiTheme="minorEastAsia" w:hAnsiTheme="minorEastAsia" w:eastAsiaTheme="minorEastAsia" w:cstheme="minorEastAsia"/>
                <w:color w:val="auto"/>
                <w:sz w:val="24"/>
                <w:szCs w:val="24"/>
              </w:rPr>
            </w:pPr>
          </w:p>
        </w:tc>
        <w:tc>
          <w:tcPr>
            <w:tcW w:w="1422" w:type="dxa"/>
            <w:tcBorders>
              <w:top w:val="single" w:color="auto" w:sz="4" w:space="0"/>
              <w:left w:val="single" w:color="auto" w:sz="4" w:space="0"/>
              <w:bottom w:val="single" w:color="auto" w:sz="4" w:space="0"/>
              <w:right w:val="single" w:color="auto" w:sz="4" w:space="0"/>
            </w:tcBorders>
          </w:tcPr>
          <w:p w14:paraId="55C9F559">
            <w:pPr>
              <w:pStyle w:val="21"/>
              <w:rPr>
                <w:rFonts w:hint="eastAsia" w:asciiTheme="minorEastAsia" w:hAnsiTheme="minorEastAsia" w:eastAsiaTheme="minorEastAsia" w:cstheme="minorEastAsia"/>
                <w:color w:val="auto"/>
                <w:sz w:val="24"/>
                <w:szCs w:val="24"/>
              </w:rPr>
            </w:pPr>
          </w:p>
        </w:tc>
        <w:tc>
          <w:tcPr>
            <w:tcW w:w="2938" w:type="dxa"/>
            <w:tcBorders>
              <w:top w:val="single" w:color="auto" w:sz="4" w:space="0"/>
              <w:left w:val="single" w:color="auto" w:sz="4" w:space="0"/>
              <w:bottom w:val="single" w:color="auto" w:sz="4" w:space="0"/>
              <w:right w:val="single" w:color="auto" w:sz="4" w:space="0"/>
            </w:tcBorders>
          </w:tcPr>
          <w:p w14:paraId="3FD64746">
            <w:pPr>
              <w:pStyle w:val="21"/>
              <w:rPr>
                <w:rFonts w:hint="eastAsia" w:asciiTheme="minorEastAsia" w:hAnsiTheme="minorEastAsia" w:eastAsiaTheme="minorEastAsia" w:cstheme="minorEastAsia"/>
                <w:color w:val="auto"/>
                <w:sz w:val="24"/>
                <w:szCs w:val="24"/>
              </w:rPr>
            </w:pPr>
          </w:p>
        </w:tc>
        <w:tc>
          <w:tcPr>
            <w:tcW w:w="2595" w:type="dxa"/>
            <w:tcBorders>
              <w:top w:val="single" w:color="auto" w:sz="4" w:space="0"/>
              <w:left w:val="single" w:color="auto" w:sz="4" w:space="0"/>
              <w:bottom w:val="single" w:color="auto" w:sz="4" w:space="0"/>
              <w:right w:val="single" w:color="auto" w:sz="4" w:space="0"/>
            </w:tcBorders>
          </w:tcPr>
          <w:p w14:paraId="1A793082">
            <w:pPr>
              <w:pStyle w:val="21"/>
              <w:rPr>
                <w:rFonts w:hint="eastAsia" w:asciiTheme="minorEastAsia" w:hAnsiTheme="minorEastAsia" w:eastAsiaTheme="minorEastAsia" w:cstheme="minorEastAsia"/>
                <w:color w:val="auto"/>
                <w:sz w:val="24"/>
                <w:szCs w:val="24"/>
              </w:rPr>
            </w:pPr>
          </w:p>
        </w:tc>
        <w:tc>
          <w:tcPr>
            <w:tcW w:w="2006" w:type="dxa"/>
            <w:tcBorders>
              <w:top w:val="single" w:color="auto" w:sz="4" w:space="0"/>
              <w:left w:val="single" w:color="auto" w:sz="4" w:space="0"/>
              <w:bottom w:val="single" w:color="auto" w:sz="4" w:space="0"/>
              <w:right w:val="single" w:color="auto" w:sz="4" w:space="0"/>
            </w:tcBorders>
          </w:tcPr>
          <w:p w14:paraId="3646AA2B">
            <w:pPr>
              <w:pStyle w:val="21"/>
              <w:rPr>
                <w:rFonts w:hint="eastAsia" w:asciiTheme="minorEastAsia" w:hAnsiTheme="minorEastAsia" w:eastAsiaTheme="minorEastAsia" w:cstheme="minorEastAsia"/>
                <w:color w:val="auto"/>
                <w:sz w:val="24"/>
                <w:szCs w:val="24"/>
              </w:rPr>
            </w:pPr>
          </w:p>
        </w:tc>
      </w:tr>
      <w:tr w14:paraId="265F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tcPr>
          <w:p w14:paraId="6AD35579">
            <w:pPr>
              <w:pStyle w:val="21"/>
              <w:rPr>
                <w:rFonts w:hint="eastAsia" w:asciiTheme="minorEastAsia" w:hAnsiTheme="minorEastAsia" w:eastAsiaTheme="minorEastAsia" w:cstheme="minorEastAsia"/>
                <w:color w:val="auto"/>
                <w:sz w:val="24"/>
                <w:szCs w:val="24"/>
              </w:rPr>
            </w:pPr>
          </w:p>
        </w:tc>
        <w:tc>
          <w:tcPr>
            <w:tcW w:w="1422" w:type="dxa"/>
            <w:tcBorders>
              <w:top w:val="single" w:color="auto" w:sz="4" w:space="0"/>
              <w:left w:val="single" w:color="auto" w:sz="4" w:space="0"/>
              <w:bottom w:val="single" w:color="auto" w:sz="4" w:space="0"/>
              <w:right w:val="single" w:color="auto" w:sz="4" w:space="0"/>
            </w:tcBorders>
          </w:tcPr>
          <w:p w14:paraId="4882E424">
            <w:pPr>
              <w:pStyle w:val="21"/>
              <w:rPr>
                <w:rFonts w:hint="eastAsia" w:asciiTheme="minorEastAsia" w:hAnsiTheme="minorEastAsia" w:eastAsiaTheme="minorEastAsia" w:cstheme="minorEastAsia"/>
                <w:color w:val="auto"/>
                <w:sz w:val="24"/>
                <w:szCs w:val="24"/>
              </w:rPr>
            </w:pPr>
          </w:p>
        </w:tc>
        <w:tc>
          <w:tcPr>
            <w:tcW w:w="2938" w:type="dxa"/>
            <w:tcBorders>
              <w:top w:val="single" w:color="auto" w:sz="4" w:space="0"/>
              <w:left w:val="single" w:color="auto" w:sz="4" w:space="0"/>
              <w:bottom w:val="single" w:color="auto" w:sz="4" w:space="0"/>
              <w:right w:val="single" w:color="auto" w:sz="4" w:space="0"/>
            </w:tcBorders>
          </w:tcPr>
          <w:p w14:paraId="6077032E">
            <w:pPr>
              <w:pStyle w:val="21"/>
              <w:rPr>
                <w:rFonts w:hint="eastAsia" w:asciiTheme="minorEastAsia" w:hAnsiTheme="minorEastAsia" w:eastAsiaTheme="minorEastAsia" w:cstheme="minorEastAsia"/>
                <w:color w:val="auto"/>
                <w:sz w:val="24"/>
                <w:szCs w:val="24"/>
              </w:rPr>
            </w:pPr>
          </w:p>
        </w:tc>
        <w:tc>
          <w:tcPr>
            <w:tcW w:w="2595" w:type="dxa"/>
            <w:tcBorders>
              <w:top w:val="single" w:color="auto" w:sz="4" w:space="0"/>
              <w:left w:val="single" w:color="auto" w:sz="4" w:space="0"/>
              <w:bottom w:val="single" w:color="auto" w:sz="4" w:space="0"/>
              <w:right w:val="single" w:color="auto" w:sz="4" w:space="0"/>
            </w:tcBorders>
          </w:tcPr>
          <w:p w14:paraId="50C1EE33">
            <w:pPr>
              <w:pStyle w:val="21"/>
              <w:rPr>
                <w:rFonts w:hint="eastAsia" w:asciiTheme="minorEastAsia" w:hAnsiTheme="minorEastAsia" w:eastAsiaTheme="minorEastAsia" w:cstheme="minorEastAsia"/>
                <w:color w:val="auto"/>
                <w:sz w:val="24"/>
                <w:szCs w:val="24"/>
              </w:rPr>
            </w:pPr>
          </w:p>
        </w:tc>
        <w:tc>
          <w:tcPr>
            <w:tcW w:w="2006" w:type="dxa"/>
            <w:tcBorders>
              <w:top w:val="single" w:color="auto" w:sz="4" w:space="0"/>
              <w:left w:val="single" w:color="auto" w:sz="4" w:space="0"/>
              <w:bottom w:val="single" w:color="auto" w:sz="4" w:space="0"/>
              <w:right w:val="single" w:color="auto" w:sz="4" w:space="0"/>
            </w:tcBorders>
          </w:tcPr>
          <w:p w14:paraId="3ADC0959">
            <w:pPr>
              <w:pStyle w:val="21"/>
              <w:rPr>
                <w:rFonts w:hint="eastAsia" w:asciiTheme="minorEastAsia" w:hAnsiTheme="minorEastAsia" w:eastAsiaTheme="minorEastAsia" w:cstheme="minorEastAsia"/>
                <w:color w:val="auto"/>
                <w:sz w:val="24"/>
                <w:szCs w:val="24"/>
              </w:rPr>
            </w:pPr>
          </w:p>
        </w:tc>
      </w:tr>
      <w:tr w14:paraId="648F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tcPr>
          <w:p w14:paraId="3516A211">
            <w:pPr>
              <w:pStyle w:val="21"/>
              <w:rPr>
                <w:rFonts w:hint="eastAsia" w:asciiTheme="minorEastAsia" w:hAnsiTheme="minorEastAsia" w:eastAsiaTheme="minorEastAsia" w:cstheme="minorEastAsia"/>
                <w:color w:val="auto"/>
                <w:sz w:val="24"/>
                <w:szCs w:val="24"/>
              </w:rPr>
            </w:pPr>
          </w:p>
        </w:tc>
        <w:tc>
          <w:tcPr>
            <w:tcW w:w="1422" w:type="dxa"/>
            <w:tcBorders>
              <w:top w:val="single" w:color="auto" w:sz="4" w:space="0"/>
              <w:left w:val="single" w:color="auto" w:sz="4" w:space="0"/>
              <w:bottom w:val="single" w:color="auto" w:sz="4" w:space="0"/>
              <w:right w:val="single" w:color="auto" w:sz="4" w:space="0"/>
            </w:tcBorders>
          </w:tcPr>
          <w:p w14:paraId="40542A36">
            <w:pPr>
              <w:pStyle w:val="21"/>
              <w:rPr>
                <w:rFonts w:hint="eastAsia" w:asciiTheme="minorEastAsia" w:hAnsiTheme="minorEastAsia" w:eastAsiaTheme="minorEastAsia" w:cstheme="minorEastAsia"/>
                <w:color w:val="auto"/>
                <w:sz w:val="24"/>
                <w:szCs w:val="24"/>
              </w:rPr>
            </w:pPr>
          </w:p>
        </w:tc>
        <w:tc>
          <w:tcPr>
            <w:tcW w:w="2938" w:type="dxa"/>
            <w:tcBorders>
              <w:top w:val="single" w:color="auto" w:sz="4" w:space="0"/>
              <w:left w:val="single" w:color="auto" w:sz="4" w:space="0"/>
              <w:bottom w:val="single" w:color="auto" w:sz="4" w:space="0"/>
              <w:right w:val="single" w:color="auto" w:sz="4" w:space="0"/>
            </w:tcBorders>
          </w:tcPr>
          <w:p w14:paraId="77E430C1">
            <w:pPr>
              <w:pStyle w:val="21"/>
              <w:rPr>
                <w:rFonts w:hint="eastAsia" w:asciiTheme="minorEastAsia" w:hAnsiTheme="minorEastAsia" w:eastAsiaTheme="minorEastAsia" w:cstheme="minorEastAsia"/>
                <w:color w:val="auto"/>
                <w:sz w:val="24"/>
                <w:szCs w:val="24"/>
              </w:rPr>
            </w:pPr>
          </w:p>
        </w:tc>
        <w:tc>
          <w:tcPr>
            <w:tcW w:w="2595" w:type="dxa"/>
            <w:tcBorders>
              <w:top w:val="single" w:color="auto" w:sz="4" w:space="0"/>
              <w:left w:val="single" w:color="auto" w:sz="4" w:space="0"/>
              <w:bottom w:val="single" w:color="auto" w:sz="4" w:space="0"/>
              <w:right w:val="single" w:color="auto" w:sz="4" w:space="0"/>
            </w:tcBorders>
          </w:tcPr>
          <w:p w14:paraId="082F65D6">
            <w:pPr>
              <w:pStyle w:val="21"/>
              <w:rPr>
                <w:rFonts w:hint="eastAsia" w:asciiTheme="minorEastAsia" w:hAnsiTheme="minorEastAsia" w:eastAsiaTheme="minorEastAsia" w:cstheme="minorEastAsia"/>
                <w:color w:val="auto"/>
                <w:sz w:val="24"/>
                <w:szCs w:val="24"/>
              </w:rPr>
            </w:pPr>
          </w:p>
        </w:tc>
        <w:tc>
          <w:tcPr>
            <w:tcW w:w="2006" w:type="dxa"/>
            <w:tcBorders>
              <w:top w:val="single" w:color="auto" w:sz="4" w:space="0"/>
              <w:left w:val="single" w:color="auto" w:sz="4" w:space="0"/>
              <w:bottom w:val="single" w:color="auto" w:sz="4" w:space="0"/>
              <w:right w:val="single" w:color="auto" w:sz="4" w:space="0"/>
            </w:tcBorders>
          </w:tcPr>
          <w:p w14:paraId="1D6270D3">
            <w:pPr>
              <w:pStyle w:val="21"/>
              <w:rPr>
                <w:rFonts w:hint="eastAsia" w:asciiTheme="minorEastAsia" w:hAnsiTheme="minorEastAsia" w:eastAsiaTheme="minorEastAsia" w:cstheme="minorEastAsia"/>
                <w:color w:val="auto"/>
                <w:sz w:val="24"/>
                <w:szCs w:val="24"/>
              </w:rPr>
            </w:pPr>
          </w:p>
        </w:tc>
      </w:tr>
      <w:tr w14:paraId="0B5C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tcPr>
          <w:p w14:paraId="6164EEB7">
            <w:pPr>
              <w:pStyle w:val="21"/>
              <w:rPr>
                <w:rFonts w:hint="eastAsia" w:asciiTheme="minorEastAsia" w:hAnsiTheme="minorEastAsia" w:eastAsiaTheme="minorEastAsia" w:cstheme="minorEastAsia"/>
                <w:color w:val="auto"/>
                <w:sz w:val="24"/>
                <w:szCs w:val="24"/>
              </w:rPr>
            </w:pPr>
          </w:p>
        </w:tc>
        <w:tc>
          <w:tcPr>
            <w:tcW w:w="1422" w:type="dxa"/>
            <w:tcBorders>
              <w:top w:val="single" w:color="auto" w:sz="4" w:space="0"/>
              <w:left w:val="single" w:color="auto" w:sz="4" w:space="0"/>
              <w:bottom w:val="single" w:color="auto" w:sz="4" w:space="0"/>
              <w:right w:val="single" w:color="auto" w:sz="4" w:space="0"/>
            </w:tcBorders>
          </w:tcPr>
          <w:p w14:paraId="7826BC17">
            <w:pPr>
              <w:pStyle w:val="21"/>
              <w:rPr>
                <w:rFonts w:hint="eastAsia" w:asciiTheme="minorEastAsia" w:hAnsiTheme="minorEastAsia" w:eastAsiaTheme="minorEastAsia" w:cstheme="minorEastAsia"/>
                <w:color w:val="auto"/>
                <w:sz w:val="24"/>
                <w:szCs w:val="24"/>
              </w:rPr>
            </w:pPr>
          </w:p>
        </w:tc>
        <w:tc>
          <w:tcPr>
            <w:tcW w:w="2938" w:type="dxa"/>
            <w:tcBorders>
              <w:top w:val="single" w:color="auto" w:sz="4" w:space="0"/>
              <w:left w:val="single" w:color="auto" w:sz="4" w:space="0"/>
              <w:bottom w:val="single" w:color="auto" w:sz="4" w:space="0"/>
              <w:right w:val="single" w:color="auto" w:sz="4" w:space="0"/>
            </w:tcBorders>
          </w:tcPr>
          <w:p w14:paraId="010AC7DA">
            <w:pPr>
              <w:pStyle w:val="21"/>
              <w:rPr>
                <w:rFonts w:hint="eastAsia" w:asciiTheme="minorEastAsia" w:hAnsiTheme="minorEastAsia" w:eastAsiaTheme="minorEastAsia" w:cstheme="minorEastAsia"/>
                <w:color w:val="auto"/>
                <w:sz w:val="24"/>
                <w:szCs w:val="24"/>
              </w:rPr>
            </w:pPr>
          </w:p>
        </w:tc>
        <w:tc>
          <w:tcPr>
            <w:tcW w:w="2595" w:type="dxa"/>
            <w:tcBorders>
              <w:top w:val="single" w:color="auto" w:sz="4" w:space="0"/>
              <w:left w:val="single" w:color="auto" w:sz="4" w:space="0"/>
              <w:bottom w:val="single" w:color="auto" w:sz="4" w:space="0"/>
              <w:right w:val="single" w:color="auto" w:sz="4" w:space="0"/>
            </w:tcBorders>
          </w:tcPr>
          <w:p w14:paraId="15A1B5AA">
            <w:pPr>
              <w:pStyle w:val="21"/>
              <w:rPr>
                <w:rFonts w:hint="eastAsia" w:asciiTheme="minorEastAsia" w:hAnsiTheme="minorEastAsia" w:eastAsiaTheme="minorEastAsia" w:cstheme="minorEastAsia"/>
                <w:color w:val="auto"/>
                <w:sz w:val="24"/>
                <w:szCs w:val="24"/>
              </w:rPr>
            </w:pPr>
          </w:p>
        </w:tc>
        <w:tc>
          <w:tcPr>
            <w:tcW w:w="2006" w:type="dxa"/>
            <w:tcBorders>
              <w:top w:val="single" w:color="auto" w:sz="4" w:space="0"/>
              <w:left w:val="single" w:color="auto" w:sz="4" w:space="0"/>
              <w:bottom w:val="single" w:color="auto" w:sz="4" w:space="0"/>
              <w:right w:val="single" w:color="auto" w:sz="4" w:space="0"/>
            </w:tcBorders>
          </w:tcPr>
          <w:p w14:paraId="77C2E876">
            <w:pPr>
              <w:pStyle w:val="21"/>
              <w:rPr>
                <w:rFonts w:hint="eastAsia" w:asciiTheme="minorEastAsia" w:hAnsiTheme="minorEastAsia" w:eastAsiaTheme="minorEastAsia" w:cstheme="minorEastAsia"/>
                <w:color w:val="auto"/>
                <w:sz w:val="24"/>
                <w:szCs w:val="24"/>
              </w:rPr>
            </w:pPr>
          </w:p>
        </w:tc>
      </w:tr>
    </w:tbl>
    <w:p w14:paraId="091348AB">
      <w:pPr>
        <w:pStyle w:val="21"/>
        <w:spacing w:line="600" w:lineRule="exact"/>
        <w:rPr>
          <w:rFonts w:hint="eastAsia" w:asciiTheme="minorEastAsia" w:hAnsiTheme="minorEastAsia" w:eastAsiaTheme="minorEastAsia" w:cstheme="minorEastAsia"/>
          <w:b/>
          <w:color w:val="auto"/>
          <w:sz w:val="24"/>
          <w:szCs w:val="24"/>
        </w:rPr>
      </w:pPr>
    </w:p>
    <w:p w14:paraId="43D7712F">
      <w:pPr>
        <w:pStyle w:val="15"/>
        <w:rPr>
          <w:rFonts w:hint="eastAsia" w:asciiTheme="minorEastAsia" w:hAnsiTheme="minorEastAsia" w:eastAsiaTheme="minorEastAsia" w:cstheme="minorEastAsia"/>
          <w:color w:val="auto"/>
          <w:sz w:val="24"/>
          <w:szCs w:val="24"/>
        </w:rPr>
      </w:pPr>
    </w:p>
    <w:p w14:paraId="3B1DE03B">
      <w:pPr>
        <w:spacing w:line="480" w:lineRule="auto"/>
        <w:ind w:firstLine="480" w:firstLineChars="200"/>
        <w:jc w:val="left"/>
        <w:rPr>
          <w:rFonts w:hint="eastAsia" w:ascii="宋体" w:hAnsi="宋体"/>
          <w:bCs/>
          <w:color w:val="auto"/>
          <w:sz w:val="24"/>
          <w:u w:val="single"/>
        </w:rPr>
      </w:pPr>
      <w:r>
        <w:rPr>
          <w:rFonts w:hint="eastAsia" w:ascii="宋体" w:hAnsi="宋体"/>
          <w:bCs/>
          <w:color w:val="auto"/>
          <w:sz w:val="24"/>
          <w:lang w:eastAsia="zh-CN"/>
        </w:rPr>
        <w:t>供应商</w:t>
      </w:r>
      <w:r>
        <w:rPr>
          <w:rFonts w:hint="eastAsia" w:ascii="宋体" w:hAnsi="宋体"/>
          <w:bCs/>
          <w:color w:val="auto"/>
          <w:sz w:val="24"/>
        </w:rPr>
        <w:t>：</w:t>
      </w:r>
      <w:r>
        <w:rPr>
          <w:rFonts w:hint="eastAsia" w:ascii="宋体" w:hAnsi="宋体"/>
          <w:bCs/>
          <w:color w:val="auto"/>
          <w:sz w:val="24"/>
          <w:u w:val="single"/>
        </w:rPr>
        <w:t xml:space="preserve">                             </w:t>
      </w:r>
      <w:r>
        <w:rPr>
          <w:rFonts w:hint="eastAsia" w:ascii="宋体" w:hAnsi="宋体"/>
          <w:bCs/>
          <w:color w:val="auto"/>
          <w:sz w:val="24"/>
        </w:rPr>
        <w:t xml:space="preserve">(电子签章) </w:t>
      </w:r>
    </w:p>
    <w:p w14:paraId="04300E34">
      <w:pPr>
        <w:spacing w:line="480" w:lineRule="auto"/>
        <w:ind w:firstLine="480" w:firstLineChars="200"/>
        <w:jc w:val="left"/>
        <w:rPr>
          <w:rFonts w:hint="eastAsia" w:ascii="宋体" w:hAnsi="宋体"/>
          <w:bCs/>
          <w:color w:val="auto"/>
          <w:sz w:val="24"/>
        </w:rPr>
      </w:pPr>
      <w:r>
        <w:rPr>
          <w:rFonts w:hint="eastAsia" w:ascii="宋体" w:hAnsi="宋体"/>
          <w:bCs/>
          <w:color w:val="auto"/>
          <w:sz w:val="24"/>
        </w:rPr>
        <w:t>法定代表人或其委托代理人：</w:t>
      </w:r>
      <w:r>
        <w:rPr>
          <w:rFonts w:hint="eastAsia" w:ascii="宋体" w:hAnsi="宋体"/>
          <w:bCs/>
          <w:color w:val="auto"/>
          <w:sz w:val="24"/>
          <w:u w:val="single"/>
        </w:rPr>
        <w:t xml:space="preserve">          </w:t>
      </w:r>
      <w:r>
        <w:rPr>
          <w:rFonts w:hint="eastAsia" w:ascii="宋体" w:hAnsi="宋体"/>
          <w:bCs/>
          <w:color w:val="auto"/>
          <w:sz w:val="24"/>
        </w:rPr>
        <w:t xml:space="preserve">(电子签章或签名) </w:t>
      </w:r>
    </w:p>
    <w:p w14:paraId="429DA167">
      <w:pPr>
        <w:spacing w:line="480" w:lineRule="auto"/>
        <w:ind w:firstLine="480" w:firstLineChars="200"/>
        <w:jc w:val="left"/>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3445D552">
      <w:pPr>
        <w:rPr>
          <w:rFonts w:hint="eastAsia" w:asciiTheme="minorEastAsia" w:hAnsiTheme="minorEastAsia" w:eastAsiaTheme="minorEastAsia" w:cstheme="minorEastAsia"/>
          <w:color w:val="auto"/>
        </w:rPr>
      </w:pPr>
    </w:p>
    <w:p w14:paraId="761569A7">
      <w:pPr>
        <w:rPr>
          <w:rFonts w:hint="eastAsia" w:asciiTheme="minorEastAsia" w:hAnsiTheme="minorEastAsia" w:eastAsiaTheme="minorEastAsia" w:cstheme="minorEastAsia"/>
          <w:color w:val="auto"/>
        </w:rPr>
      </w:pPr>
    </w:p>
    <w:p w14:paraId="2E8314B8">
      <w:pPr>
        <w:rPr>
          <w:rFonts w:hint="eastAsia" w:asciiTheme="minorEastAsia" w:hAnsiTheme="minorEastAsia" w:eastAsiaTheme="minorEastAsia" w:cstheme="minorEastAsia"/>
          <w:color w:val="auto"/>
        </w:rPr>
      </w:pPr>
    </w:p>
    <w:p w14:paraId="75BEA3CB">
      <w:pPr>
        <w:rPr>
          <w:rFonts w:hint="eastAsia" w:asciiTheme="minorEastAsia" w:hAnsiTheme="minorEastAsia" w:eastAsiaTheme="minorEastAsia" w:cstheme="minorEastAsia"/>
          <w:color w:val="auto"/>
        </w:rPr>
      </w:pPr>
    </w:p>
    <w:p w14:paraId="2D9E917E">
      <w:pPr>
        <w:rPr>
          <w:rFonts w:hint="eastAsia" w:asciiTheme="minorEastAsia" w:hAnsiTheme="minorEastAsia" w:eastAsiaTheme="minorEastAsia" w:cstheme="minorEastAsia"/>
          <w:color w:val="auto"/>
        </w:rPr>
      </w:pPr>
    </w:p>
    <w:p w14:paraId="3740543C">
      <w:pPr>
        <w:rPr>
          <w:rFonts w:hint="eastAsia" w:asciiTheme="minorEastAsia" w:hAnsiTheme="minorEastAsia" w:eastAsiaTheme="minorEastAsia" w:cstheme="minorEastAsia"/>
          <w:color w:val="auto"/>
        </w:rPr>
      </w:pPr>
    </w:p>
    <w:p w14:paraId="39EC43E2">
      <w:pPr>
        <w:rPr>
          <w:rFonts w:hint="eastAsia" w:asciiTheme="minorEastAsia" w:hAnsiTheme="minorEastAsia" w:eastAsiaTheme="minorEastAsia" w:cstheme="minorEastAsia"/>
          <w:color w:val="auto"/>
        </w:rPr>
      </w:pPr>
    </w:p>
    <w:p w14:paraId="37F516E2">
      <w:pPr>
        <w:jc w:val="center"/>
        <w:outlineLvl w:val="1"/>
        <w:rPr>
          <w:color w:val="auto"/>
        </w:rPr>
      </w:pPr>
      <w:r>
        <w:rPr>
          <w:rFonts w:hint="eastAsia" w:ascii="宋体" w:hAnsi="宋体" w:cs="宋体"/>
          <w:b/>
          <w:color w:val="auto"/>
          <w:kern w:val="0"/>
          <w:sz w:val="24"/>
          <w:lang w:bidi="ar"/>
        </w:rPr>
        <w:br w:type="page"/>
      </w:r>
      <w:bookmarkStart w:id="186" w:name="_Toc17490"/>
      <w:bookmarkStart w:id="187" w:name="_Toc30706"/>
      <w:bookmarkStart w:id="188" w:name="_Toc5650"/>
      <w:r>
        <w:rPr>
          <w:rStyle w:val="133"/>
          <w:rFonts w:hint="eastAsia" w:ascii="宋体" w:hAnsi="宋体" w:eastAsia="宋体" w:cs="宋体"/>
          <w:color w:val="auto"/>
        </w:rPr>
        <w:t>三、资格审查部分格式</w:t>
      </w:r>
      <w:bookmarkEnd w:id="154"/>
      <w:bookmarkEnd w:id="155"/>
      <w:bookmarkEnd w:id="156"/>
      <w:bookmarkEnd w:id="186"/>
      <w:bookmarkEnd w:id="187"/>
      <w:bookmarkEnd w:id="188"/>
    </w:p>
    <w:p w14:paraId="507BB783">
      <w:pPr>
        <w:pStyle w:val="4"/>
        <w:spacing w:before="0"/>
        <w:jc w:val="center"/>
        <w:rPr>
          <w:rFonts w:hint="eastAsia" w:asciiTheme="minorEastAsia" w:hAnsiTheme="minorEastAsia" w:eastAsiaTheme="minorEastAsia" w:cstheme="minorEastAsia"/>
          <w:color w:val="auto"/>
          <w:szCs w:val="28"/>
        </w:rPr>
      </w:pPr>
      <w:bookmarkStart w:id="189" w:name="_Toc8335"/>
      <w:bookmarkStart w:id="190" w:name="_Toc1698"/>
      <w:bookmarkStart w:id="191" w:name="_Toc20546"/>
      <w:bookmarkStart w:id="192" w:name="_Toc20352"/>
      <w:r>
        <w:rPr>
          <w:rFonts w:hint="eastAsia" w:asciiTheme="minorEastAsia" w:hAnsiTheme="minorEastAsia" w:eastAsiaTheme="minorEastAsia" w:cstheme="minorEastAsia"/>
          <w:color w:val="auto"/>
          <w:szCs w:val="28"/>
        </w:rPr>
        <w:t>（一）供应商基本情况表</w:t>
      </w:r>
      <w:bookmarkEnd w:id="189"/>
      <w:bookmarkEnd w:id="190"/>
      <w:bookmarkEnd w:id="191"/>
      <w:bookmarkEnd w:id="192"/>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972"/>
        <w:gridCol w:w="1315"/>
        <w:gridCol w:w="806"/>
        <w:gridCol w:w="530"/>
        <w:gridCol w:w="1380"/>
        <w:gridCol w:w="288"/>
        <w:gridCol w:w="785"/>
        <w:gridCol w:w="1569"/>
      </w:tblGrid>
      <w:tr w14:paraId="15A1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6" w:type="dxa"/>
            <w:vAlign w:val="center"/>
          </w:tcPr>
          <w:p w14:paraId="353C0D82">
            <w:pPr>
              <w:jc w:val="center"/>
              <w:rPr>
                <w:rFonts w:hint="eastAsia" w:ascii="宋体" w:hAnsi="宋体"/>
                <w:color w:val="auto"/>
                <w:sz w:val="24"/>
              </w:rPr>
            </w:pPr>
            <w:r>
              <w:rPr>
                <w:rFonts w:hint="eastAsia" w:ascii="宋体" w:hAnsi="宋体"/>
                <w:color w:val="auto"/>
                <w:sz w:val="24"/>
              </w:rPr>
              <w:t>供应商名称</w:t>
            </w:r>
          </w:p>
        </w:tc>
        <w:tc>
          <w:tcPr>
            <w:tcW w:w="7645" w:type="dxa"/>
            <w:gridSpan w:val="8"/>
            <w:vAlign w:val="center"/>
          </w:tcPr>
          <w:p w14:paraId="5BDF03CD">
            <w:pPr>
              <w:jc w:val="center"/>
              <w:rPr>
                <w:rFonts w:hint="eastAsia" w:ascii="宋体" w:hAnsi="宋体"/>
                <w:color w:val="auto"/>
                <w:sz w:val="24"/>
              </w:rPr>
            </w:pPr>
          </w:p>
        </w:tc>
      </w:tr>
      <w:tr w14:paraId="4B09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6" w:type="dxa"/>
            <w:vAlign w:val="center"/>
          </w:tcPr>
          <w:p w14:paraId="75597A33">
            <w:pPr>
              <w:jc w:val="center"/>
              <w:rPr>
                <w:rFonts w:hint="eastAsia" w:ascii="宋体" w:hAnsi="宋体"/>
                <w:color w:val="auto"/>
                <w:sz w:val="24"/>
              </w:rPr>
            </w:pPr>
            <w:r>
              <w:rPr>
                <w:rFonts w:hint="eastAsia" w:ascii="宋体" w:hAnsi="宋体"/>
                <w:color w:val="auto"/>
                <w:sz w:val="24"/>
              </w:rPr>
              <w:t>注册地址</w:t>
            </w:r>
          </w:p>
        </w:tc>
        <w:tc>
          <w:tcPr>
            <w:tcW w:w="3623" w:type="dxa"/>
            <w:gridSpan w:val="4"/>
            <w:vAlign w:val="center"/>
          </w:tcPr>
          <w:p w14:paraId="04B1DE28">
            <w:pPr>
              <w:jc w:val="center"/>
              <w:rPr>
                <w:rFonts w:hint="eastAsia" w:ascii="宋体" w:hAnsi="宋体"/>
                <w:color w:val="auto"/>
                <w:sz w:val="24"/>
              </w:rPr>
            </w:pPr>
          </w:p>
        </w:tc>
        <w:tc>
          <w:tcPr>
            <w:tcW w:w="1380" w:type="dxa"/>
            <w:vAlign w:val="center"/>
          </w:tcPr>
          <w:p w14:paraId="36A4601A">
            <w:pPr>
              <w:jc w:val="center"/>
              <w:rPr>
                <w:rFonts w:hint="eastAsia" w:ascii="宋体" w:hAnsi="宋体"/>
                <w:color w:val="auto"/>
                <w:sz w:val="24"/>
              </w:rPr>
            </w:pPr>
            <w:r>
              <w:rPr>
                <w:rFonts w:hint="eastAsia" w:ascii="宋体" w:hAnsi="宋体"/>
                <w:color w:val="auto"/>
                <w:sz w:val="24"/>
              </w:rPr>
              <w:t>邮政编码</w:t>
            </w:r>
          </w:p>
        </w:tc>
        <w:tc>
          <w:tcPr>
            <w:tcW w:w="2642" w:type="dxa"/>
            <w:gridSpan w:val="3"/>
            <w:vAlign w:val="center"/>
          </w:tcPr>
          <w:p w14:paraId="5B07886E">
            <w:pPr>
              <w:jc w:val="center"/>
              <w:rPr>
                <w:rFonts w:hint="eastAsia" w:ascii="宋体" w:hAnsi="宋体"/>
                <w:color w:val="auto"/>
                <w:sz w:val="24"/>
              </w:rPr>
            </w:pPr>
          </w:p>
        </w:tc>
      </w:tr>
      <w:tr w14:paraId="138A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6" w:type="dxa"/>
            <w:vMerge w:val="restart"/>
            <w:vAlign w:val="center"/>
          </w:tcPr>
          <w:p w14:paraId="51FC598A">
            <w:pPr>
              <w:jc w:val="center"/>
              <w:rPr>
                <w:rFonts w:hint="eastAsia" w:ascii="宋体" w:hAnsi="宋体"/>
                <w:color w:val="auto"/>
                <w:sz w:val="24"/>
              </w:rPr>
            </w:pPr>
            <w:r>
              <w:rPr>
                <w:rFonts w:hint="eastAsia" w:ascii="宋体" w:hAnsi="宋体"/>
                <w:color w:val="auto"/>
                <w:sz w:val="24"/>
              </w:rPr>
              <w:t>联系方式</w:t>
            </w:r>
          </w:p>
        </w:tc>
        <w:tc>
          <w:tcPr>
            <w:tcW w:w="972" w:type="dxa"/>
            <w:vAlign w:val="center"/>
          </w:tcPr>
          <w:p w14:paraId="5903D22E">
            <w:pPr>
              <w:jc w:val="center"/>
              <w:rPr>
                <w:rFonts w:hint="eastAsia" w:ascii="宋体" w:hAnsi="宋体"/>
                <w:color w:val="auto"/>
                <w:sz w:val="24"/>
              </w:rPr>
            </w:pPr>
            <w:r>
              <w:rPr>
                <w:rFonts w:hint="eastAsia" w:ascii="宋体" w:hAnsi="宋体"/>
                <w:color w:val="auto"/>
                <w:sz w:val="24"/>
              </w:rPr>
              <w:t>联系人</w:t>
            </w:r>
          </w:p>
        </w:tc>
        <w:tc>
          <w:tcPr>
            <w:tcW w:w="2651" w:type="dxa"/>
            <w:gridSpan w:val="3"/>
            <w:vAlign w:val="center"/>
          </w:tcPr>
          <w:p w14:paraId="02A320C2">
            <w:pPr>
              <w:jc w:val="center"/>
              <w:rPr>
                <w:rFonts w:hint="eastAsia" w:ascii="宋体" w:hAnsi="宋体"/>
                <w:color w:val="auto"/>
                <w:sz w:val="24"/>
              </w:rPr>
            </w:pPr>
          </w:p>
        </w:tc>
        <w:tc>
          <w:tcPr>
            <w:tcW w:w="1380" w:type="dxa"/>
            <w:vAlign w:val="center"/>
          </w:tcPr>
          <w:p w14:paraId="472C511F">
            <w:pPr>
              <w:jc w:val="center"/>
              <w:rPr>
                <w:rFonts w:hint="eastAsia" w:ascii="宋体" w:hAnsi="宋体"/>
                <w:color w:val="auto"/>
                <w:sz w:val="24"/>
              </w:rPr>
            </w:pPr>
            <w:r>
              <w:rPr>
                <w:rFonts w:hint="eastAsia" w:ascii="宋体" w:hAnsi="宋体"/>
                <w:color w:val="auto"/>
                <w:sz w:val="24"/>
              </w:rPr>
              <w:t>电  话</w:t>
            </w:r>
          </w:p>
        </w:tc>
        <w:tc>
          <w:tcPr>
            <w:tcW w:w="2642" w:type="dxa"/>
            <w:gridSpan w:val="3"/>
            <w:vAlign w:val="center"/>
          </w:tcPr>
          <w:p w14:paraId="0A30F745">
            <w:pPr>
              <w:jc w:val="center"/>
              <w:rPr>
                <w:rFonts w:hint="eastAsia" w:ascii="宋体" w:hAnsi="宋体"/>
                <w:color w:val="auto"/>
                <w:sz w:val="24"/>
              </w:rPr>
            </w:pPr>
          </w:p>
        </w:tc>
      </w:tr>
      <w:tr w14:paraId="49D7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6" w:type="dxa"/>
            <w:vMerge w:val="continue"/>
            <w:vAlign w:val="center"/>
          </w:tcPr>
          <w:p w14:paraId="5061394B">
            <w:pPr>
              <w:jc w:val="center"/>
              <w:rPr>
                <w:rFonts w:hint="eastAsia" w:ascii="宋体" w:hAnsi="宋体"/>
                <w:color w:val="auto"/>
                <w:sz w:val="24"/>
              </w:rPr>
            </w:pPr>
          </w:p>
        </w:tc>
        <w:tc>
          <w:tcPr>
            <w:tcW w:w="972" w:type="dxa"/>
            <w:vAlign w:val="center"/>
          </w:tcPr>
          <w:p w14:paraId="3CDFD2C1">
            <w:pPr>
              <w:jc w:val="center"/>
              <w:rPr>
                <w:rFonts w:hint="eastAsia" w:ascii="宋体" w:hAnsi="宋体"/>
                <w:color w:val="auto"/>
                <w:sz w:val="24"/>
              </w:rPr>
            </w:pPr>
            <w:r>
              <w:rPr>
                <w:rFonts w:hint="eastAsia" w:ascii="宋体" w:hAnsi="宋体"/>
                <w:color w:val="auto"/>
                <w:sz w:val="24"/>
              </w:rPr>
              <w:t>传  真</w:t>
            </w:r>
          </w:p>
        </w:tc>
        <w:tc>
          <w:tcPr>
            <w:tcW w:w="2651" w:type="dxa"/>
            <w:gridSpan w:val="3"/>
            <w:vAlign w:val="center"/>
          </w:tcPr>
          <w:p w14:paraId="71A50E27">
            <w:pPr>
              <w:jc w:val="center"/>
              <w:rPr>
                <w:rFonts w:hint="eastAsia" w:ascii="宋体" w:hAnsi="宋体"/>
                <w:color w:val="auto"/>
                <w:sz w:val="24"/>
              </w:rPr>
            </w:pPr>
          </w:p>
        </w:tc>
        <w:tc>
          <w:tcPr>
            <w:tcW w:w="1380" w:type="dxa"/>
            <w:vAlign w:val="center"/>
          </w:tcPr>
          <w:p w14:paraId="641CD86A">
            <w:pPr>
              <w:jc w:val="center"/>
              <w:rPr>
                <w:rFonts w:hint="eastAsia" w:ascii="宋体" w:hAnsi="宋体"/>
                <w:color w:val="auto"/>
                <w:sz w:val="24"/>
              </w:rPr>
            </w:pPr>
            <w:r>
              <w:rPr>
                <w:rFonts w:hint="eastAsia" w:ascii="宋体" w:hAnsi="宋体"/>
                <w:color w:val="auto"/>
                <w:sz w:val="24"/>
              </w:rPr>
              <w:t>网  址</w:t>
            </w:r>
          </w:p>
        </w:tc>
        <w:tc>
          <w:tcPr>
            <w:tcW w:w="2642" w:type="dxa"/>
            <w:gridSpan w:val="3"/>
            <w:vAlign w:val="center"/>
          </w:tcPr>
          <w:p w14:paraId="41A74A3A">
            <w:pPr>
              <w:jc w:val="center"/>
              <w:rPr>
                <w:rFonts w:hint="eastAsia" w:ascii="宋体" w:hAnsi="宋体"/>
                <w:color w:val="auto"/>
                <w:sz w:val="24"/>
              </w:rPr>
            </w:pPr>
          </w:p>
        </w:tc>
      </w:tr>
      <w:tr w14:paraId="3E1F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6" w:type="dxa"/>
            <w:vAlign w:val="center"/>
          </w:tcPr>
          <w:p w14:paraId="677A23D3">
            <w:pPr>
              <w:jc w:val="center"/>
              <w:rPr>
                <w:rFonts w:hint="eastAsia" w:ascii="宋体" w:hAnsi="宋体"/>
                <w:color w:val="auto"/>
                <w:sz w:val="24"/>
              </w:rPr>
            </w:pPr>
            <w:r>
              <w:rPr>
                <w:rFonts w:hint="eastAsia" w:ascii="宋体" w:hAnsi="宋体"/>
                <w:color w:val="auto"/>
                <w:sz w:val="24"/>
              </w:rPr>
              <w:t>法定代表人</w:t>
            </w:r>
          </w:p>
        </w:tc>
        <w:tc>
          <w:tcPr>
            <w:tcW w:w="972" w:type="dxa"/>
            <w:vAlign w:val="center"/>
          </w:tcPr>
          <w:p w14:paraId="53BD448C">
            <w:pPr>
              <w:jc w:val="center"/>
              <w:rPr>
                <w:rFonts w:hint="eastAsia" w:ascii="宋体" w:hAnsi="宋体"/>
                <w:color w:val="auto"/>
                <w:sz w:val="24"/>
              </w:rPr>
            </w:pPr>
            <w:r>
              <w:rPr>
                <w:rFonts w:hint="eastAsia" w:ascii="宋体" w:hAnsi="宋体"/>
                <w:color w:val="auto"/>
                <w:sz w:val="24"/>
              </w:rPr>
              <w:t>姓名</w:t>
            </w:r>
          </w:p>
        </w:tc>
        <w:tc>
          <w:tcPr>
            <w:tcW w:w="1315" w:type="dxa"/>
            <w:vAlign w:val="center"/>
          </w:tcPr>
          <w:p w14:paraId="1EFB821B">
            <w:pPr>
              <w:jc w:val="center"/>
              <w:rPr>
                <w:rFonts w:hint="eastAsia" w:ascii="宋体" w:hAnsi="宋体"/>
                <w:color w:val="auto"/>
                <w:sz w:val="24"/>
              </w:rPr>
            </w:pPr>
          </w:p>
        </w:tc>
        <w:tc>
          <w:tcPr>
            <w:tcW w:w="1336" w:type="dxa"/>
            <w:gridSpan w:val="2"/>
            <w:vAlign w:val="center"/>
          </w:tcPr>
          <w:p w14:paraId="31BB1815">
            <w:pPr>
              <w:jc w:val="center"/>
              <w:rPr>
                <w:rFonts w:hint="eastAsia" w:ascii="宋体" w:hAnsi="宋体"/>
                <w:color w:val="auto"/>
                <w:sz w:val="24"/>
              </w:rPr>
            </w:pPr>
            <w:r>
              <w:rPr>
                <w:rFonts w:hint="eastAsia" w:ascii="宋体" w:hAnsi="宋体"/>
                <w:color w:val="auto"/>
                <w:sz w:val="24"/>
              </w:rPr>
              <w:t>技术职称</w:t>
            </w:r>
          </w:p>
        </w:tc>
        <w:tc>
          <w:tcPr>
            <w:tcW w:w="1668" w:type="dxa"/>
            <w:gridSpan w:val="2"/>
            <w:vAlign w:val="center"/>
          </w:tcPr>
          <w:p w14:paraId="7197A209">
            <w:pPr>
              <w:jc w:val="center"/>
              <w:rPr>
                <w:rFonts w:hint="eastAsia" w:ascii="宋体" w:hAnsi="宋体"/>
                <w:color w:val="auto"/>
                <w:sz w:val="24"/>
              </w:rPr>
            </w:pPr>
          </w:p>
        </w:tc>
        <w:tc>
          <w:tcPr>
            <w:tcW w:w="785" w:type="dxa"/>
            <w:vAlign w:val="center"/>
          </w:tcPr>
          <w:p w14:paraId="61302D40">
            <w:pPr>
              <w:jc w:val="center"/>
              <w:rPr>
                <w:rFonts w:hint="eastAsia" w:ascii="宋体" w:hAnsi="宋体"/>
                <w:color w:val="auto"/>
                <w:sz w:val="24"/>
              </w:rPr>
            </w:pPr>
            <w:r>
              <w:rPr>
                <w:rFonts w:hint="eastAsia" w:ascii="宋体" w:hAnsi="宋体"/>
                <w:color w:val="auto"/>
                <w:sz w:val="24"/>
              </w:rPr>
              <w:t>电话</w:t>
            </w:r>
          </w:p>
        </w:tc>
        <w:tc>
          <w:tcPr>
            <w:tcW w:w="1569" w:type="dxa"/>
            <w:vAlign w:val="center"/>
          </w:tcPr>
          <w:p w14:paraId="1044E55E">
            <w:pPr>
              <w:jc w:val="center"/>
              <w:rPr>
                <w:rFonts w:hint="eastAsia" w:ascii="宋体" w:hAnsi="宋体"/>
                <w:color w:val="auto"/>
                <w:sz w:val="24"/>
              </w:rPr>
            </w:pPr>
          </w:p>
        </w:tc>
      </w:tr>
      <w:tr w14:paraId="5A14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6" w:type="dxa"/>
            <w:vAlign w:val="center"/>
          </w:tcPr>
          <w:p w14:paraId="6B51C422">
            <w:pPr>
              <w:jc w:val="center"/>
              <w:rPr>
                <w:rFonts w:hint="eastAsia" w:ascii="宋体" w:hAnsi="宋体"/>
                <w:color w:val="auto"/>
                <w:sz w:val="24"/>
              </w:rPr>
            </w:pPr>
            <w:r>
              <w:rPr>
                <w:rFonts w:hint="eastAsia" w:ascii="宋体" w:hAnsi="宋体"/>
                <w:color w:val="auto"/>
                <w:sz w:val="24"/>
              </w:rPr>
              <w:t>技术负责人</w:t>
            </w:r>
          </w:p>
        </w:tc>
        <w:tc>
          <w:tcPr>
            <w:tcW w:w="972" w:type="dxa"/>
            <w:vAlign w:val="center"/>
          </w:tcPr>
          <w:p w14:paraId="3ADE2FDB">
            <w:pPr>
              <w:jc w:val="center"/>
              <w:rPr>
                <w:rFonts w:hint="eastAsia" w:ascii="宋体" w:hAnsi="宋体"/>
                <w:color w:val="auto"/>
                <w:sz w:val="24"/>
              </w:rPr>
            </w:pPr>
            <w:r>
              <w:rPr>
                <w:rFonts w:hint="eastAsia" w:ascii="宋体" w:hAnsi="宋体"/>
                <w:color w:val="auto"/>
                <w:sz w:val="24"/>
              </w:rPr>
              <w:t>姓名</w:t>
            </w:r>
          </w:p>
        </w:tc>
        <w:tc>
          <w:tcPr>
            <w:tcW w:w="1315" w:type="dxa"/>
            <w:vAlign w:val="center"/>
          </w:tcPr>
          <w:p w14:paraId="78DEC6C9">
            <w:pPr>
              <w:jc w:val="center"/>
              <w:rPr>
                <w:rFonts w:hint="eastAsia" w:ascii="宋体" w:hAnsi="宋体"/>
                <w:color w:val="auto"/>
                <w:sz w:val="24"/>
              </w:rPr>
            </w:pPr>
          </w:p>
        </w:tc>
        <w:tc>
          <w:tcPr>
            <w:tcW w:w="1336" w:type="dxa"/>
            <w:gridSpan w:val="2"/>
            <w:vAlign w:val="center"/>
          </w:tcPr>
          <w:p w14:paraId="157D123F">
            <w:pPr>
              <w:jc w:val="center"/>
              <w:rPr>
                <w:rFonts w:hint="eastAsia" w:ascii="宋体" w:hAnsi="宋体"/>
                <w:color w:val="auto"/>
                <w:sz w:val="24"/>
              </w:rPr>
            </w:pPr>
            <w:r>
              <w:rPr>
                <w:rFonts w:hint="eastAsia" w:ascii="宋体" w:hAnsi="宋体"/>
                <w:color w:val="auto"/>
                <w:sz w:val="24"/>
              </w:rPr>
              <w:t>技术职称</w:t>
            </w:r>
          </w:p>
        </w:tc>
        <w:tc>
          <w:tcPr>
            <w:tcW w:w="1668" w:type="dxa"/>
            <w:gridSpan w:val="2"/>
            <w:vAlign w:val="center"/>
          </w:tcPr>
          <w:p w14:paraId="7A31ACDC">
            <w:pPr>
              <w:jc w:val="center"/>
              <w:rPr>
                <w:rFonts w:hint="eastAsia" w:ascii="宋体" w:hAnsi="宋体"/>
                <w:color w:val="auto"/>
                <w:sz w:val="24"/>
              </w:rPr>
            </w:pPr>
          </w:p>
        </w:tc>
        <w:tc>
          <w:tcPr>
            <w:tcW w:w="785" w:type="dxa"/>
            <w:vAlign w:val="center"/>
          </w:tcPr>
          <w:p w14:paraId="5EC17A0B">
            <w:pPr>
              <w:jc w:val="center"/>
              <w:rPr>
                <w:rFonts w:hint="eastAsia" w:ascii="宋体" w:hAnsi="宋体"/>
                <w:color w:val="auto"/>
                <w:sz w:val="24"/>
              </w:rPr>
            </w:pPr>
            <w:r>
              <w:rPr>
                <w:rFonts w:hint="eastAsia" w:ascii="宋体" w:hAnsi="宋体"/>
                <w:color w:val="auto"/>
                <w:sz w:val="24"/>
              </w:rPr>
              <w:t>电话</w:t>
            </w:r>
          </w:p>
        </w:tc>
        <w:tc>
          <w:tcPr>
            <w:tcW w:w="1569" w:type="dxa"/>
            <w:vAlign w:val="center"/>
          </w:tcPr>
          <w:p w14:paraId="3F73D73B">
            <w:pPr>
              <w:jc w:val="center"/>
              <w:rPr>
                <w:rFonts w:hint="eastAsia" w:ascii="宋体" w:hAnsi="宋体"/>
                <w:color w:val="auto"/>
                <w:sz w:val="24"/>
              </w:rPr>
            </w:pPr>
          </w:p>
        </w:tc>
      </w:tr>
      <w:tr w14:paraId="7BE5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6" w:type="dxa"/>
            <w:vAlign w:val="center"/>
          </w:tcPr>
          <w:p w14:paraId="6A271406">
            <w:pPr>
              <w:jc w:val="center"/>
              <w:rPr>
                <w:rFonts w:hint="eastAsia" w:ascii="宋体" w:hAnsi="宋体"/>
                <w:color w:val="auto"/>
                <w:sz w:val="24"/>
              </w:rPr>
            </w:pPr>
            <w:r>
              <w:rPr>
                <w:rFonts w:hint="eastAsia" w:ascii="宋体" w:hAnsi="宋体"/>
                <w:color w:val="auto"/>
                <w:sz w:val="24"/>
              </w:rPr>
              <w:t>成立时间</w:t>
            </w:r>
          </w:p>
        </w:tc>
        <w:tc>
          <w:tcPr>
            <w:tcW w:w="2287" w:type="dxa"/>
            <w:gridSpan w:val="2"/>
            <w:vAlign w:val="center"/>
          </w:tcPr>
          <w:p w14:paraId="78381360">
            <w:pPr>
              <w:jc w:val="center"/>
              <w:rPr>
                <w:rFonts w:hint="eastAsia" w:ascii="宋体" w:hAnsi="宋体"/>
                <w:color w:val="auto"/>
                <w:sz w:val="24"/>
              </w:rPr>
            </w:pPr>
          </w:p>
        </w:tc>
        <w:tc>
          <w:tcPr>
            <w:tcW w:w="5358" w:type="dxa"/>
            <w:gridSpan w:val="6"/>
            <w:vAlign w:val="center"/>
          </w:tcPr>
          <w:p w14:paraId="1A4C4AFB">
            <w:pPr>
              <w:jc w:val="center"/>
              <w:rPr>
                <w:rFonts w:hint="eastAsia" w:ascii="宋体" w:hAnsi="宋体"/>
                <w:color w:val="auto"/>
                <w:sz w:val="24"/>
              </w:rPr>
            </w:pPr>
            <w:r>
              <w:rPr>
                <w:rFonts w:hint="eastAsia" w:ascii="宋体" w:hAnsi="宋体"/>
                <w:color w:val="auto"/>
                <w:sz w:val="24"/>
              </w:rPr>
              <w:t>员工总人数：</w:t>
            </w:r>
          </w:p>
        </w:tc>
      </w:tr>
      <w:tr w14:paraId="5820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776" w:type="dxa"/>
            <w:vAlign w:val="center"/>
          </w:tcPr>
          <w:p w14:paraId="22A75123">
            <w:pPr>
              <w:jc w:val="center"/>
              <w:rPr>
                <w:rFonts w:hint="eastAsia" w:ascii="宋体" w:hAnsi="宋体"/>
                <w:color w:val="auto"/>
                <w:sz w:val="24"/>
              </w:rPr>
            </w:pPr>
            <w:r>
              <w:rPr>
                <w:rFonts w:hint="eastAsia" w:ascii="宋体" w:hAnsi="宋体"/>
                <w:color w:val="auto"/>
                <w:sz w:val="24"/>
              </w:rPr>
              <w:t>企业资质等级</w:t>
            </w:r>
          </w:p>
        </w:tc>
        <w:tc>
          <w:tcPr>
            <w:tcW w:w="2287" w:type="dxa"/>
            <w:gridSpan w:val="2"/>
            <w:vAlign w:val="center"/>
          </w:tcPr>
          <w:p w14:paraId="07E07A78">
            <w:pPr>
              <w:jc w:val="center"/>
              <w:rPr>
                <w:rFonts w:hint="eastAsia" w:ascii="宋体" w:hAnsi="宋体"/>
                <w:color w:val="auto"/>
                <w:sz w:val="24"/>
              </w:rPr>
            </w:pPr>
          </w:p>
        </w:tc>
        <w:tc>
          <w:tcPr>
            <w:tcW w:w="806" w:type="dxa"/>
            <w:vMerge w:val="restart"/>
            <w:vAlign w:val="center"/>
          </w:tcPr>
          <w:p w14:paraId="49C6FD66">
            <w:pPr>
              <w:jc w:val="center"/>
              <w:rPr>
                <w:rFonts w:hint="eastAsia" w:ascii="宋体" w:hAnsi="宋体"/>
                <w:color w:val="auto"/>
                <w:sz w:val="24"/>
              </w:rPr>
            </w:pPr>
            <w:r>
              <w:rPr>
                <w:rFonts w:hint="eastAsia" w:ascii="宋体" w:hAnsi="宋体"/>
                <w:color w:val="auto"/>
                <w:sz w:val="24"/>
              </w:rPr>
              <w:t>其中</w:t>
            </w:r>
          </w:p>
        </w:tc>
        <w:tc>
          <w:tcPr>
            <w:tcW w:w="2198" w:type="dxa"/>
            <w:gridSpan w:val="3"/>
            <w:vMerge w:val="restart"/>
            <w:vAlign w:val="center"/>
          </w:tcPr>
          <w:p w14:paraId="403BDBA0">
            <w:pPr>
              <w:jc w:val="center"/>
              <w:rPr>
                <w:rFonts w:hint="eastAsia" w:ascii="宋体" w:hAnsi="宋体"/>
                <w:color w:val="auto"/>
                <w:sz w:val="24"/>
              </w:rPr>
            </w:pPr>
            <w:r>
              <w:rPr>
                <w:rFonts w:hint="eastAsia" w:ascii="宋体" w:hAnsi="宋体"/>
                <w:color w:val="auto"/>
                <w:sz w:val="24"/>
              </w:rPr>
              <w:t>高级职称人员</w:t>
            </w:r>
          </w:p>
        </w:tc>
        <w:tc>
          <w:tcPr>
            <w:tcW w:w="2354" w:type="dxa"/>
            <w:gridSpan w:val="2"/>
            <w:vMerge w:val="restart"/>
            <w:vAlign w:val="center"/>
          </w:tcPr>
          <w:p w14:paraId="39D2695D">
            <w:pPr>
              <w:jc w:val="center"/>
              <w:rPr>
                <w:rFonts w:hint="eastAsia" w:ascii="宋体" w:hAnsi="宋体"/>
                <w:color w:val="auto"/>
                <w:sz w:val="24"/>
              </w:rPr>
            </w:pPr>
          </w:p>
        </w:tc>
      </w:tr>
      <w:tr w14:paraId="5B20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76" w:type="dxa"/>
            <w:vAlign w:val="center"/>
          </w:tcPr>
          <w:p w14:paraId="03B13351">
            <w:pPr>
              <w:jc w:val="center"/>
              <w:rPr>
                <w:rFonts w:hint="eastAsia" w:ascii="宋体" w:hAnsi="宋体"/>
                <w:color w:val="auto"/>
                <w:sz w:val="24"/>
              </w:rPr>
            </w:pPr>
            <w:r>
              <w:rPr>
                <w:rFonts w:hint="eastAsia" w:ascii="宋体" w:hAnsi="宋体"/>
                <w:color w:val="auto"/>
                <w:sz w:val="24"/>
              </w:rPr>
              <w:t>营业执照号</w:t>
            </w:r>
          </w:p>
        </w:tc>
        <w:tc>
          <w:tcPr>
            <w:tcW w:w="2287" w:type="dxa"/>
            <w:gridSpan w:val="2"/>
            <w:vAlign w:val="center"/>
          </w:tcPr>
          <w:p w14:paraId="400A5C41">
            <w:pPr>
              <w:jc w:val="center"/>
              <w:rPr>
                <w:rFonts w:hint="eastAsia" w:ascii="宋体" w:hAnsi="宋体"/>
                <w:color w:val="auto"/>
                <w:sz w:val="24"/>
              </w:rPr>
            </w:pPr>
          </w:p>
        </w:tc>
        <w:tc>
          <w:tcPr>
            <w:tcW w:w="806" w:type="dxa"/>
            <w:vMerge w:val="continue"/>
            <w:vAlign w:val="center"/>
          </w:tcPr>
          <w:p w14:paraId="6881FB6F">
            <w:pPr>
              <w:jc w:val="center"/>
              <w:rPr>
                <w:rFonts w:hint="eastAsia" w:ascii="宋体" w:hAnsi="宋体"/>
                <w:color w:val="auto"/>
                <w:sz w:val="24"/>
              </w:rPr>
            </w:pPr>
          </w:p>
        </w:tc>
        <w:tc>
          <w:tcPr>
            <w:tcW w:w="2198" w:type="dxa"/>
            <w:gridSpan w:val="3"/>
            <w:vMerge w:val="continue"/>
            <w:vAlign w:val="center"/>
          </w:tcPr>
          <w:p w14:paraId="5D97B8A6">
            <w:pPr>
              <w:jc w:val="center"/>
              <w:rPr>
                <w:rFonts w:hint="eastAsia" w:ascii="宋体" w:hAnsi="宋体"/>
                <w:color w:val="auto"/>
                <w:sz w:val="24"/>
              </w:rPr>
            </w:pPr>
          </w:p>
        </w:tc>
        <w:tc>
          <w:tcPr>
            <w:tcW w:w="2354" w:type="dxa"/>
            <w:gridSpan w:val="2"/>
            <w:vMerge w:val="continue"/>
            <w:vAlign w:val="center"/>
          </w:tcPr>
          <w:p w14:paraId="2093A4A7">
            <w:pPr>
              <w:jc w:val="center"/>
              <w:rPr>
                <w:rFonts w:hint="eastAsia" w:ascii="宋体" w:hAnsi="宋体"/>
                <w:color w:val="auto"/>
                <w:sz w:val="24"/>
              </w:rPr>
            </w:pPr>
          </w:p>
        </w:tc>
      </w:tr>
      <w:tr w14:paraId="7BC4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6" w:type="dxa"/>
            <w:vAlign w:val="center"/>
          </w:tcPr>
          <w:p w14:paraId="0522C7EC">
            <w:pPr>
              <w:jc w:val="center"/>
              <w:rPr>
                <w:rFonts w:hint="eastAsia" w:ascii="宋体" w:hAnsi="宋体"/>
                <w:color w:val="auto"/>
                <w:sz w:val="24"/>
              </w:rPr>
            </w:pPr>
            <w:r>
              <w:rPr>
                <w:rFonts w:hint="eastAsia" w:ascii="宋体" w:hAnsi="宋体"/>
                <w:color w:val="auto"/>
                <w:sz w:val="24"/>
              </w:rPr>
              <w:t>注册资金</w:t>
            </w:r>
          </w:p>
        </w:tc>
        <w:tc>
          <w:tcPr>
            <w:tcW w:w="2287" w:type="dxa"/>
            <w:gridSpan w:val="2"/>
            <w:vAlign w:val="center"/>
          </w:tcPr>
          <w:p w14:paraId="225C6069">
            <w:pPr>
              <w:jc w:val="center"/>
              <w:rPr>
                <w:rFonts w:hint="eastAsia" w:ascii="宋体" w:hAnsi="宋体"/>
                <w:color w:val="auto"/>
                <w:sz w:val="24"/>
              </w:rPr>
            </w:pPr>
          </w:p>
        </w:tc>
        <w:tc>
          <w:tcPr>
            <w:tcW w:w="806" w:type="dxa"/>
            <w:vMerge w:val="continue"/>
            <w:vAlign w:val="center"/>
          </w:tcPr>
          <w:p w14:paraId="4CEB4E0C">
            <w:pPr>
              <w:jc w:val="center"/>
              <w:rPr>
                <w:rFonts w:hint="eastAsia" w:ascii="宋体" w:hAnsi="宋体"/>
                <w:color w:val="auto"/>
                <w:sz w:val="24"/>
              </w:rPr>
            </w:pPr>
          </w:p>
        </w:tc>
        <w:tc>
          <w:tcPr>
            <w:tcW w:w="2198" w:type="dxa"/>
            <w:gridSpan w:val="3"/>
            <w:vAlign w:val="center"/>
          </w:tcPr>
          <w:p w14:paraId="7A1DFB25">
            <w:pPr>
              <w:jc w:val="center"/>
              <w:rPr>
                <w:rFonts w:hint="eastAsia" w:ascii="宋体" w:hAnsi="宋体"/>
                <w:color w:val="auto"/>
                <w:sz w:val="24"/>
              </w:rPr>
            </w:pPr>
            <w:r>
              <w:rPr>
                <w:rFonts w:hint="eastAsia" w:ascii="宋体" w:hAnsi="宋体"/>
                <w:color w:val="auto"/>
                <w:sz w:val="24"/>
              </w:rPr>
              <w:t>中级职称人员</w:t>
            </w:r>
          </w:p>
        </w:tc>
        <w:tc>
          <w:tcPr>
            <w:tcW w:w="2354" w:type="dxa"/>
            <w:gridSpan w:val="2"/>
            <w:vAlign w:val="center"/>
          </w:tcPr>
          <w:p w14:paraId="6B38C402">
            <w:pPr>
              <w:jc w:val="center"/>
              <w:rPr>
                <w:rFonts w:hint="eastAsia" w:ascii="宋体" w:hAnsi="宋体"/>
                <w:color w:val="auto"/>
                <w:sz w:val="24"/>
              </w:rPr>
            </w:pPr>
          </w:p>
        </w:tc>
      </w:tr>
      <w:tr w14:paraId="38EB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6" w:type="dxa"/>
            <w:vAlign w:val="center"/>
          </w:tcPr>
          <w:p w14:paraId="39A79DD5">
            <w:pPr>
              <w:jc w:val="center"/>
              <w:rPr>
                <w:rFonts w:hint="eastAsia" w:ascii="宋体" w:hAnsi="宋体"/>
                <w:color w:val="auto"/>
                <w:sz w:val="24"/>
              </w:rPr>
            </w:pPr>
            <w:r>
              <w:rPr>
                <w:rFonts w:hint="eastAsia" w:ascii="宋体" w:hAnsi="宋体"/>
                <w:color w:val="auto"/>
                <w:sz w:val="24"/>
              </w:rPr>
              <w:t>开户银行</w:t>
            </w:r>
          </w:p>
        </w:tc>
        <w:tc>
          <w:tcPr>
            <w:tcW w:w="2287" w:type="dxa"/>
            <w:gridSpan w:val="2"/>
            <w:vAlign w:val="center"/>
          </w:tcPr>
          <w:p w14:paraId="6E5ED21D">
            <w:pPr>
              <w:jc w:val="center"/>
              <w:rPr>
                <w:rFonts w:hint="eastAsia" w:ascii="宋体" w:hAnsi="宋体"/>
                <w:color w:val="auto"/>
                <w:sz w:val="24"/>
              </w:rPr>
            </w:pPr>
          </w:p>
        </w:tc>
        <w:tc>
          <w:tcPr>
            <w:tcW w:w="806" w:type="dxa"/>
            <w:vMerge w:val="continue"/>
            <w:vAlign w:val="center"/>
          </w:tcPr>
          <w:p w14:paraId="46AF854A">
            <w:pPr>
              <w:jc w:val="center"/>
              <w:rPr>
                <w:rFonts w:hint="eastAsia" w:ascii="宋体" w:hAnsi="宋体"/>
                <w:color w:val="auto"/>
                <w:sz w:val="24"/>
              </w:rPr>
            </w:pPr>
          </w:p>
        </w:tc>
        <w:tc>
          <w:tcPr>
            <w:tcW w:w="2198" w:type="dxa"/>
            <w:gridSpan w:val="3"/>
            <w:vAlign w:val="center"/>
          </w:tcPr>
          <w:p w14:paraId="5699514E">
            <w:pPr>
              <w:jc w:val="center"/>
              <w:rPr>
                <w:rFonts w:hint="eastAsia" w:ascii="宋体" w:hAnsi="宋体"/>
                <w:color w:val="auto"/>
                <w:sz w:val="24"/>
              </w:rPr>
            </w:pPr>
            <w:r>
              <w:rPr>
                <w:rFonts w:hint="eastAsia" w:ascii="宋体" w:hAnsi="宋体"/>
                <w:color w:val="auto"/>
                <w:sz w:val="24"/>
              </w:rPr>
              <w:t>初级职称人员</w:t>
            </w:r>
          </w:p>
        </w:tc>
        <w:tc>
          <w:tcPr>
            <w:tcW w:w="2354" w:type="dxa"/>
            <w:gridSpan w:val="2"/>
            <w:vAlign w:val="center"/>
          </w:tcPr>
          <w:p w14:paraId="52D10CFA">
            <w:pPr>
              <w:jc w:val="center"/>
              <w:rPr>
                <w:rFonts w:hint="eastAsia" w:ascii="宋体" w:hAnsi="宋体"/>
                <w:color w:val="auto"/>
                <w:sz w:val="24"/>
              </w:rPr>
            </w:pPr>
          </w:p>
        </w:tc>
      </w:tr>
      <w:tr w14:paraId="3FAC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6" w:type="dxa"/>
            <w:vAlign w:val="center"/>
          </w:tcPr>
          <w:p w14:paraId="48003663">
            <w:pPr>
              <w:jc w:val="center"/>
              <w:rPr>
                <w:rFonts w:hint="eastAsia" w:ascii="宋体" w:hAnsi="宋体"/>
                <w:color w:val="auto"/>
                <w:sz w:val="24"/>
              </w:rPr>
            </w:pPr>
            <w:r>
              <w:rPr>
                <w:rFonts w:hint="eastAsia" w:ascii="宋体" w:hAnsi="宋体"/>
                <w:color w:val="auto"/>
                <w:sz w:val="24"/>
              </w:rPr>
              <w:t>账号</w:t>
            </w:r>
          </w:p>
        </w:tc>
        <w:tc>
          <w:tcPr>
            <w:tcW w:w="2287" w:type="dxa"/>
            <w:gridSpan w:val="2"/>
            <w:vAlign w:val="center"/>
          </w:tcPr>
          <w:p w14:paraId="4B33627C">
            <w:pPr>
              <w:jc w:val="center"/>
              <w:rPr>
                <w:rFonts w:hint="eastAsia" w:ascii="宋体" w:hAnsi="宋体"/>
                <w:color w:val="auto"/>
                <w:sz w:val="24"/>
              </w:rPr>
            </w:pPr>
          </w:p>
        </w:tc>
        <w:tc>
          <w:tcPr>
            <w:tcW w:w="806" w:type="dxa"/>
            <w:vMerge w:val="continue"/>
            <w:vAlign w:val="center"/>
          </w:tcPr>
          <w:p w14:paraId="0D5605D1">
            <w:pPr>
              <w:jc w:val="center"/>
              <w:rPr>
                <w:rFonts w:hint="eastAsia" w:ascii="宋体" w:hAnsi="宋体"/>
                <w:color w:val="auto"/>
                <w:sz w:val="24"/>
              </w:rPr>
            </w:pPr>
          </w:p>
        </w:tc>
        <w:tc>
          <w:tcPr>
            <w:tcW w:w="2198" w:type="dxa"/>
            <w:gridSpan w:val="3"/>
            <w:vAlign w:val="center"/>
          </w:tcPr>
          <w:p w14:paraId="3829E371">
            <w:pPr>
              <w:jc w:val="center"/>
              <w:rPr>
                <w:rFonts w:hint="eastAsia" w:ascii="宋体" w:hAnsi="宋体"/>
                <w:color w:val="auto"/>
                <w:sz w:val="24"/>
              </w:rPr>
            </w:pPr>
            <w:r>
              <w:rPr>
                <w:rFonts w:hint="eastAsia" w:ascii="宋体" w:hAnsi="宋体"/>
                <w:color w:val="auto"/>
                <w:sz w:val="24"/>
              </w:rPr>
              <w:t>技  工</w:t>
            </w:r>
          </w:p>
        </w:tc>
        <w:tc>
          <w:tcPr>
            <w:tcW w:w="2354" w:type="dxa"/>
            <w:gridSpan w:val="2"/>
            <w:vAlign w:val="center"/>
          </w:tcPr>
          <w:p w14:paraId="3A072896">
            <w:pPr>
              <w:jc w:val="center"/>
              <w:rPr>
                <w:rFonts w:hint="eastAsia" w:ascii="宋体" w:hAnsi="宋体"/>
                <w:color w:val="auto"/>
                <w:sz w:val="24"/>
              </w:rPr>
            </w:pPr>
          </w:p>
        </w:tc>
      </w:tr>
      <w:tr w14:paraId="2C0E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1776" w:type="dxa"/>
            <w:vAlign w:val="center"/>
          </w:tcPr>
          <w:p w14:paraId="674266E4">
            <w:pPr>
              <w:jc w:val="center"/>
              <w:rPr>
                <w:rFonts w:hint="eastAsia" w:ascii="宋体" w:hAnsi="宋体"/>
                <w:color w:val="auto"/>
                <w:sz w:val="24"/>
              </w:rPr>
            </w:pPr>
            <w:r>
              <w:rPr>
                <w:rFonts w:hint="eastAsia" w:ascii="宋体" w:hAnsi="宋体"/>
                <w:color w:val="auto"/>
                <w:sz w:val="24"/>
              </w:rPr>
              <w:t>经营范围</w:t>
            </w:r>
          </w:p>
        </w:tc>
        <w:tc>
          <w:tcPr>
            <w:tcW w:w="7645" w:type="dxa"/>
            <w:gridSpan w:val="8"/>
            <w:vAlign w:val="center"/>
          </w:tcPr>
          <w:p w14:paraId="79722BFD">
            <w:pPr>
              <w:jc w:val="center"/>
              <w:rPr>
                <w:rFonts w:hint="eastAsia" w:ascii="宋体" w:hAnsi="宋体"/>
                <w:color w:val="auto"/>
                <w:sz w:val="24"/>
              </w:rPr>
            </w:pPr>
          </w:p>
        </w:tc>
      </w:tr>
      <w:tr w14:paraId="1F34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76" w:type="dxa"/>
            <w:vAlign w:val="center"/>
          </w:tcPr>
          <w:p w14:paraId="45BA432E">
            <w:pPr>
              <w:jc w:val="center"/>
              <w:rPr>
                <w:rFonts w:hint="eastAsia" w:ascii="宋体" w:hAnsi="宋体"/>
                <w:color w:val="auto"/>
                <w:sz w:val="24"/>
              </w:rPr>
            </w:pPr>
            <w:r>
              <w:rPr>
                <w:rFonts w:hint="eastAsia" w:ascii="宋体" w:hAnsi="宋体"/>
                <w:color w:val="auto"/>
                <w:sz w:val="24"/>
              </w:rPr>
              <w:t>备注</w:t>
            </w:r>
          </w:p>
        </w:tc>
        <w:tc>
          <w:tcPr>
            <w:tcW w:w="7645" w:type="dxa"/>
            <w:gridSpan w:val="8"/>
            <w:vAlign w:val="center"/>
          </w:tcPr>
          <w:p w14:paraId="15B0157A">
            <w:pPr>
              <w:jc w:val="center"/>
              <w:rPr>
                <w:rFonts w:hint="eastAsia" w:ascii="宋体" w:hAnsi="宋体"/>
                <w:color w:val="auto"/>
                <w:sz w:val="24"/>
              </w:rPr>
            </w:pPr>
          </w:p>
        </w:tc>
      </w:tr>
      <w:bookmarkEnd w:id="150"/>
    </w:tbl>
    <w:p w14:paraId="43EB27B1">
      <w:pPr>
        <w:spacing w:line="360" w:lineRule="auto"/>
        <w:jc w:val="center"/>
        <w:outlineLvl w:val="2"/>
        <w:rPr>
          <w:rFonts w:hint="eastAsia" w:ascii="宋体" w:hAnsi="宋体"/>
          <w:b/>
          <w:bCs/>
          <w:color w:val="auto"/>
          <w:sz w:val="32"/>
          <w:szCs w:val="32"/>
        </w:rPr>
      </w:pPr>
      <w:r>
        <w:rPr>
          <w:rFonts w:asciiTheme="minorEastAsia" w:hAnsiTheme="minorEastAsia" w:eastAsiaTheme="minorEastAsia" w:cstheme="minorEastAsia"/>
          <w:color w:val="auto"/>
          <w:szCs w:val="28"/>
        </w:rPr>
        <w:br w:type="page"/>
      </w:r>
      <w:bookmarkStart w:id="193" w:name="_Toc7995"/>
      <w:bookmarkStart w:id="194" w:name="_Toc8605"/>
      <w:bookmarkStart w:id="195" w:name="_Toc28408"/>
      <w:bookmarkStart w:id="196" w:name="_Toc20317"/>
      <w:bookmarkStart w:id="197" w:name="_Toc5271"/>
      <w:r>
        <w:rPr>
          <w:rStyle w:val="133"/>
          <w:rFonts w:hint="eastAsia" w:ascii="宋体" w:hAnsi="宋体" w:eastAsia="宋体" w:cs="宋体"/>
          <w:color w:val="auto"/>
          <w:sz w:val="28"/>
          <w:szCs w:val="28"/>
        </w:rPr>
        <w:t>（二）</w:t>
      </w:r>
      <w:r>
        <w:rPr>
          <w:rStyle w:val="133"/>
          <w:rFonts w:hint="eastAsia" w:ascii="宋体" w:hAnsi="宋体" w:cs="宋体"/>
          <w:color w:val="auto"/>
          <w:sz w:val="28"/>
          <w:szCs w:val="28"/>
          <w:lang w:eastAsia="zh-CN"/>
        </w:rPr>
        <w:t>供应商</w:t>
      </w:r>
      <w:r>
        <w:rPr>
          <w:rStyle w:val="133"/>
          <w:rFonts w:hint="eastAsia" w:ascii="宋体" w:hAnsi="宋体" w:eastAsia="宋体" w:cs="宋体"/>
          <w:color w:val="auto"/>
          <w:sz w:val="28"/>
          <w:szCs w:val="28"/>
        </w:rPr>
        <w:t>的资格要求</w:t>
      </w:r>
      <w:bookmarkEnd w:id="193"/>
      <w:bookmarkEnd w:id="194"/>
      <w:bookmarkEnd w:id="195"/>
      <w:bookmarkEnd w:id="196"/>
    </w:p>
    <w:p w14:paraId="2F5E7F27">
      <w:pPr>
        <w:spacing w:line="360" w:lineRule="auto"/>
        <w:jc w:val="center"/>
        <w:rPr>
          <w:color w:val="auto"/>
          <w:sz w:val="24"/>
          <w:szCs w:val="32"/>
        </w:rPr>
      </w:pPr>
      <w:r>
        <w:rPr>
          <w:rFonts w:hint="eastAsia"/>
          <w:color w:val="auto"/>
          <w:sz w:val="24"/>
          <w:szCs w:val="32"/>
        </w:rPr>
        <w:t>（此章节格式自拟）</w:t>
      </w:r>
      <w:bookmarkEnd w:id="197"/>
    </w:p>
    <w:p w14:paraId="5740CA71">
      <w:pPr>
        <w:spacing w:line="480" w:lineRule="exact"/>
        <w:rPr>
          <w:rFonts w:hint="eastAsia" w:asciiTheme="minorEastAsia" w:hAnsiTheme="minorEastAsia" w:eastAsiaTheme="minorEastAsia" w:cstheme="minorEastAsia"/>
          <w:b/>
          <w:bCs/>
          <w:color w:val="auto"/>
          <w:sz w:val="24"/>
          <w:szCs w:val="21"/>
        </w:rPr>
      </w:pPr>
      <w:r>
        <w:rPr>
          <w:rFonts w:hint="eastAsia" w:asciiTheme="minorEastAsia" w:hAnsiTheme="minorEastAsia" w:eastAsiaTheme="minorEastAsia" w:cstheme="minorEastAsia"/>
          <w:b/>
          <w:bCs/>
          <w:color w:val="auto"/>
          <w:sz w:val="24"/>
          <w:szCs w:val="21"/>
        </w:rPr>
        <w:t>（一）满足《中华人民共和国政府采购法》第二十二条规定，提供下列资料：</w:t>
      </w:r>
    </w:p>
    <w:p w14:paraId="6BA331A2">
      <w:pPr>
        <w:spacing w:line="360" w:lineRule="auto"/>
        <w:rPr>
          <w:rFonts w:hint="eastAsia" w:ascii="宋体" w:hAnsi="宋体"/>
          <w:color w:val="auto"/>
          <w:kern w:val="0"/>
          <w:sz w:val="24"/>
        </w:rPr>
      </w:pPr>
      <w:r>
        <w:rPr>
          <w:rFonts w:hint="eastAsia" w:ascii="宋体" w:hAnsi="宋体"/>
          <w:color w:val="auto"/>
          <w:kern w:val="0"/>
          <w:sz w:val="24"/>
        </w:rPr>
        <w:t>1.</w:t>
      </w:r>
      <w:r>
        <w:rPr>
          <w:rFonts w:hint="eastAsia" w:ascii="宋体" w:hAnsi="宋体" w:cs="宋体"/>
          <w:color w:val="auto"/>
          <w:sz w:val="24"/>
          <w:szCs w:val="21"/>
        </w:rPr>
        <w:t>具有独立承担民事责任的能力（提供有效的营业执照或其他组织证明或自然人身份证明）；</w:t>
      </w:r>
    </w:p>
    <w:p w14:paraId="6EB3F2DC">
      <w:pPr>
        <w:spacing w:line="360" w:lineRule="auto"/>
        <w:rPr>
          <w:rFonts w:hint="eastAsia" w:ascii="宋体" w:hAnsi="宋体"/>
          <w:color w:val="auto"/>
          <w:kern w:val="0"/>
          <w:sz w:val="24"/>
        </w:rPr>
      </w:pPr>
    </w:p>
    <w:p w14:paraId="0878C80E">
      <w:pPr>
        <w:spacing w:line="360" w:lineRule="auto"/>
        <w:rPr>
          <w:rFonts w:hint="eastAsia" w:ascii="宋体" w:hAnsi="宋体"/>
          <w:color w:val="auto"/>
          <w:kern w:val="0"/>
          <w:sz w:val="24"/>
        </w:rPr>
      </w:pPr>
      <w:r>
        <w:rPr>
          <w:rFonts w:hint="eastAsia" w:ascii="宋体" w:hAnsi="宋体"/>
          <w:color w:val="auto"/>
          <w:kern w:val="0"/>
          <w:sz w:val="24"/>
        </w:rPr>
        <w:t>2.</w:t>
      </w:r>
      <w:r>
        <w:rPr>
          <w:rFonts w:hint="eastAsia" w:ascii="宋体" w:hAnsi="宋体" w:cs="宋体"/>
          <w:color w:val="auto"/>
          <w:sz w:val="24"/>
          <w:szCs w:val="21"/>
        </w:rPr>
        <w:t>具有良好的商业信誉和健全的财务会计制度（提供2022年至今任意一年的财务报表或经第三方审计的财务报告（包括资产负债表、现金流量表、利润表或损益表及会计报表附注），2025年1月以后成立的提供成立至本项目公告发布前一个月的财务报表或开户银行出具的资信证明或资金存款证明）；</w:t>
      </w:r>
    </w:p>
    <w:p w14:paraId="1C9F6461">
      <w:pPr>
        <w:spacing w:line="360" w:lineRule="auto"/>
        <w:rPr>
          <w:rFonts w:hint="eastAsia" w:ascii="宋体" w:hAnsi="宋体"/>
          <w:color w:val="auto"/>
          <w:kern w:val="0"/>
          <w:sz w:val="24"/>
        </w:rPr>
      </w:pPr>
    </w:p>
    <w:p w14:paraId="29DAA5EC">
      <w:pPr>
        <w:spacing w:line="360" w:lineRule="auto"/>
        <w:rPr>
          <w:rFonts w:hint="eastAsia" w:ascii="宋体" w:hAnsi="宋体"/>
          <w:color w:val="auto"/>
          <w:kern w:val="0"/>
          <w:sz w:val="24"/>
        </w:rPr>
      </w:pPr>
      <w:r>
        <w:rPr>
          <w:rFonts w:hint="eastAsia" w:ascii="宋体" w:hAnsi="宋体"/>
          <w:color w:val="auto"/>
          <w:kern w:val="0"/>
          <w:sz w:val="24"/>
        </w:rPr>
        <w:t>3.</w:t>
      </w:r>
      <w:r>
        <w:rPr>
          <w:rFonts w:hint="eastAsia" w:ascii="宋体" w:hAnsi="宋体" w:cs="宋体"/>
          <w:color w:val="auto"/>
          <w:sz w:val="24"/>
          <w:szCs w:val="21"/>
        </w:rPr>
        <w:t>具有履行合同所必需的设备和专业技术能力（提供相关证明材料或承诺）；</w:t>
      </w:r>
    </w:p>
    <w:p w14:paraId="441C098E">
      <w:pPr>
        <w:spacing w:line="360" w:lineRule="auto"/>
        <w:rPr>
          <w:rFonts w:hint="eastAsia" w:ascii="宋体" w:hAnsi="宋体"/>
          <w:color w:val="auto"/>
          <w:kern w:val="0"/>
          <w:sz w:val="24"/>
        </w:rPr>
      </w:pPr>
    </w:p>
    <w:p w14:paraId="02A7569F">
      <w:pPr>
        <w:spacing w:line="360" w:lineRule="auto"/>
        <w:rPr>
          <w:rFonts w:hint="eastAsia" w:ascii="宋体" w:hAnsi="宋体"/>
          <w:color w:val="auto"/>
          <w:kern w:val="0"/>
          <w:sz w:val="24"/>
        </w:rPr>
      </w:pPr>
      <w:r>
        <w:rPr>
          <w:rFonts w:hint="eastAsia" w:ascii="宋体" w:hAnsi="宋体"/>
          <w:color w:val="auto"/>
          <w:kern w:val="0"/>
          <w:sz w:val="24"/>
        </w:rPr>
        <w:t>4.</w:t>
      </w:r>
      <w:r>
        <w:rPr>
          <w:rFonts w:hint="eastAsia" w:ascii="宋体" w:hAnsi="宋体" w:cs="宋体"/>
          <w:color w:val="auto"/>
          <w:sz w:val="24"/>
          <w:szCs w:val="21"/>
        </w:rPr>
        <w:t>有依法缴纳税收和社会保障资金的良好记录（提供2024年6月至采购截止时间前任意3个月依法缴纳税收和缴纳社会保障资金的证明（新成立公司提供已有资料，如依法免税或不需要缴纳社会保障资金的，应提供相应文件证明）；</w:t>
      </w:r>
    </w:p>
    <w:p w14:paraId="68B2B08E">
      <w:pPr>
        <w:spacing w:line="360" w:lineRule="auto"/>
        <w:rPr>
          <w:rFonts w:hint="eastAsia" w:ascii="宋体" w:hAnsi="宋体"/>
          <w:color w:val="auto"/>
          <w:kern w:val="0"/>
          <w:sz w:val="24"/>
        </w:rPr>
      </w:pPr>
    </w:p>
    <w:p w14:paraId="2A2C2A88">
      <w:pPr>
        <w:spacing w:line="360" w:lineRule="auto"/>
        <w:rPr>
          <w:rFonts w:hint="eastAsia" w:ascii="宋体" w:hAnsi="宋体"/>
          <w:color w:val="auto"/>
          <w:kern w:val="0"/>
          <w:sz w:val="24"/>
        </w:rPr>
      </w:pPr>
      <w:r>
        <w:rPr>
          <w:rFonts w:hint="eastAsia" w:ascii="宋体" w:hAnsi="宋体"/>
          <w:color w:val="auto"/>
          <w:kern w:val="0"/>
          <w:sz w:val="24"/>
        </w:rPr>
        <w:t>5.</w:t>
      </w:r>
      <w:r>
        <w:rPr>
          <w:rFonts w:hint="eastAsia" w:ascii="宋体" w:hAnsi="宋体" w:cs="宋体"/>
          <w:color w:val="auto"/>
          <w:sz w:val="24"/>
          <w:szCs w:val="21"/>
        </w:rPr>
        <w:t>参加政府采购活动前三年内，在经营活动中没有重大违法记录（提供书面声明）；</w:t>
      </w:r>
    </w:p>
    <w:p w14:paraId="7B685FF2">
      <w:pPr>
        <w:spacing w:line="360" w:lineRule="auto"/>
        <w:rPr>
          <w:rFonts w:hint="eastAsia" w:ascii="宋体" w:hAnsi="宋体"/>
          <w:color w:val="auto"/>
          <w:kern w:val="0"/>
          <w:sz w:val="24"/>
        </w:rPr>
      </w:pPr>
    </w:p>
    <w:p w14:paraId="6E35BE1F">
      <w:pPr>
        <w:spacing w:line="360" w:lineRule="auto"/>
        <w:rPr>
          <w:rFonts w:hint="eastAsia" w:ascii="宋体" w:hAnsi="宋体"/>
          <w:color w:val="auto"/>
          <w:kern w:val="0"/>
          <w:sz w:val="24"/>
        </w:rPr>
      </w:pPr>
      <w:r>
        <w:rPr>
          <w:rFonts w:hint="eastAsia" w:ascii="宋体" w:hAnsi="宋体"/>
          <w:color w:val="auto"/>
          <w:kern w:val="0"/>
          <w:sz w:val="24"/>
        </w:rPr>
        <w:t>6.法律、行政法规规定的其他条件。</w:t>
      </w:r>
    </w:p>
    <w:p w14:paraId="1ECBAB2B">
      <w:pPr>
        <w:spacing w:line="360" w:lineRule="auto"/>
        <w:rPr>
          <w:rFonts w:hint="eastAsia" w:ascii="宋体" w:hAnsi="宋体"/>
          <w:color w:val="auto"/>
          <w:kern w:val="0"/>
          <w:sz w:val="24"/>
        </w:rPr>
      </w:pPr>
      <w:r>
        <w:rPr>
          <w:rFonts w:hint="eastAsia" w:ascii="宋体" w:hAnsi="宋体"/>
          <w:color w:val="auto"/>
          <w:kern w:val="0"/>
          <w:sz w:val="24"/>
        </w:rPr>
        <w:t>（1）单位负责人为同一人或者存在直接控股、管理关系的不同</w:t>
      </w:r>
      <w:r>
        <w:rPr>
          <w:rFonts w:hint="eastAsia" w:ascii="宋体" w:hAnsi="宋体"/>
          <w:color w:val="auto"/>
          <w:kern w:val="0"/>
          <w:sz w:val="24"/>
          <w:lang w:eastAsia="zh-CN"/>
        </w:rPr>
        <w:t>供应商</w:t>
      </w:r>
      <w:r>
        <w:rPr>
          <w:rFonts w:hint="eastAsia" w:ascii="宋体" w:hAnsi="宋体"/>
          <w:color w:val="auto"/>
          <w:kern w:val="0"/>
          <w:sz w:val="24"/>
        </w:rPr>
        <w:t>，不得参加同一合同项下的政府采购活动。为采购项目提供整体设计、规范编制或者项目管理、监理、检测等服务的</w:t>
      </w:r>
      <w:r>
        <w:rPr>
          <w:rFonts w:hint="eastAsia" w:ascii="宋体" w:hAnsi="宋体"/>
          <w:color w:val="auto"/>
          <w:kern w:val="0"/>
          <w:sz w:val="24"/>
          <w:lang w:eastAsia="zh-CN"/>
        </w:rPr>
        <w:t>供应商</w:t>
      </w:r>
      <w:r>
        <w:rPr>
          <w:rFonts w:hint="eastAsia" w:ascii="宋体" w:hAnsi="宋体"/>
          <w:color w:val="auto"/>
          <w:kern w:val="0"/>
          <w:sz w:val="24"/>
        </w:rPr>
        <w:t>，不得再参加该采购项目的其他采购活动。</w:t>
      </w:r>
    </w:p>
    <w:p w14:paraId="06724680">
      <w:pPr>
        <w:adjustRightInd w:val="0"/>
        <w:snapToGrid w:val="0"/>
        <w:spacing w:line="360" w:lineRule="auto"/>
        <w:rPr>
          <w:rFonts w:hint="eastAsia" w:ascii="宋体" w:hAnsi="宋体"/>
          <w:color w:val="auto"/>
          <w:kern w:val="0"/>
          <w:sz w:val="24"/>
        </w:rPr>
      </w:pPr>
    </w:p>
    <w:p w14:paraId="6907409D">
      <w:pPr>
        <w:adjustRightInd w:val="0"/>
        <w:snapToGrid w:val="0"/>
        <w:spacing w:line="360" w:lineRule="auto"/>
        <w:rPr>
          <w:rFonts w:hint="eastAsia" w:ascii="宋体" w:hAnsi="宋体" w:cs="宋体"/>
          <w:color w:val="auto"/>
          <w:sz w:val="24"/>
          <w:szCs w:val="21"/>
        </w:rPr>
      </w:pPr>
      <w:r>
        <w:rPr>
          <w:rFonts w:hint="eastAsia" w:ascii="宋体" w:hAnsi="宋体"/>
          <w:color w:val="auto"/>
          <w:kern w:val="0"/>
          <w:sz w:val="24"/>
        </w:rPr>
        <w:t>（2）</w:t>
      </w:r>
      <w:r>
        <w:rPr>
          <w:rFonts w:hint="eastAsia" w:ascii="宋体" w:hAnsi="宋体" w:cs="宋体"/>
          <w:color w:val="auto"/>
          <w:sz w:val="24"/>
          <w:szCs w:val="21"/>
          <w:lang w:eastAsia="zh-CN"/>
        </w:rPr>
        <w:t>供应商不得被“信用中国”网站（www.creditchina.gov.cn）列入失信被执行人或重大税收违法失信主体名单、不得为“中国政府采购网”（www.ccgp.gov.cn）政府采购严重违法失信行为记录名单中被财政部门禁止参加政府采购活动的供应商（处罚决定规定的时间和地域范围内）（信誉查询时间截点：本项目采购公告发布之日起至响应文件递交截止时间止。代理机构在响应文件递交截止时间止对潜在供应商信誉情况进行查询，并交由评标委员会进行复核评审）。</w:t>
      </w:r>
      <w:r>
        <w:rPr>
          <w:rFonts w:hint="eastAsia" w:ascii="宋体" w:hAnsi="宋体" w:cs="宋体"/>
          <w:color w:val="auto"/>
          <w:sz w:val="24"/>
          <w:szCs w:val="21"/>
        </w:rPr>
        <w:t>截止时间止对潜在</w:t>
      </w:r>
      <w:r>
        <w:rPr>
          <w:rFonts w:hint="eastAsia" w:ascii="宋体" w:hAnsi="宋体" w:cs="宋体"/>
          <w:color w:val="auto"/>
          <w:sz w:val="24"/>
          <w:szCs w:val="21"/>
          <w:lang w:eastAsia="zh-CN"/>
        </w:rPr>
        <w:t>供应商</w:t>
      </w:r>
      <w:r>
        <w:rPr>
          <w:rFonts w:hint="eastAsia" w:ascii="宋体" w:hAnsi="宋体" w:cs="宋体"/>
          <w:color w:val="auto"/>
          <w:sz w:val="24"/>
          <w:szCs w:val="21"/>
        </w:rPr>
        <w:t>信誉情况进行查询，并交由评标委员会进行复核评审）。</w:t>
      </w:r>
    </w:p>
    <w:p w14:paraId="5646B601">
      <w:pPr>
        <w:spacing w:line="360" w:lineRule="auto"/>
        <w:rPr>
          <w:rFonts w:hint="eastAsia" w:ascii="宋体" w:hAnsi="宋体" w:cs="宋体"/>
          <w:b/>
          <w:bCs/>
          <w:color w:val="auto"/>
          <w:sz w:val="24"/>
          <w:szCs w:val="21"/>
        </w:rPr>
      </w:pPr>
      <w:r>
        <w:rPr>
          <w:rFonts w:hint="eastAsia" w:ascii="宋体" w:hAnsi="宋体" w:cs="宋体"/>
          <w:b/>
          <w:bCs/>
          <w:color w:val="auto"/>
          <w:sz w:val="24"/>
          <w:szCs w:val="21"/>
        </w:rPr>
        <w:t>（二）落实政府采购政策需满足的资格要求：</w:t>
      </w:r>
    </w:p>
    <w:p w14:paraId="71C11E93">
      <w:pPr>
        <w:pStyle w:val="50"/>
        <w:spacing w:line="360" w:lineRule="auto"/>
        <w:ind w:firstLine="480" w:firstLineChars="200"/>
        <w:rPr>
          <w:rFonts w:hint="eastAsia" w:hAnsi="宋体"/>
          <w:color w:val="auto"/>
          <w:kern w:val="2"/>
        </w:rPr>
      </w:pPr>
      <w:r>
        <w:rPr>
          <w:rFonts w:hint="eastAsia" w:hAnsi="宋体"/>
          <w:color w:val="auto"/>
          <w:kern w:val="2"/>
          <w:lang w:eastAsia="zh-CN"/>
        </w:rPr>
        <w:t>本项目专门面向中小型企业采购，根据《关于进一步加大政府采购支持中小企业力度的通知》（财库〔2022〕19号），不再执行价格评审优惠的扶持政策，监狱企业及残疾人福利性单位视同小微企业。根据《关于印发中小企业划型标准规定的通知》（工信部联企业〔2011〕300号）文件规定的划分标准，本项目对应的中小企业划分标准所属行业为：</w:t>
      </w:r>
      <w:r>
        <w:rPr>
          <w:rFonts w:hint="eastAsia" w:hAnsi="宋体"/>
          <w:color w:val="auto"/>
          <w:u w:val="single"/>
        </w:rPr>
        <w:t>工业</w:t>
      </w:r>
      <w:r>
        <w:rPr>
          <w:rFonts w:hint="eastAsia" w:hAnsi="宋体"/>
          <w:color w:val="auto"/>
          <w:kern w:val="2"/>
        </w:rPr>
        <w:t>。</w:t>
      </w:r>
    </w:p>
    <w:p w14:paraId="18BEE1EB">
      <w:pPr>
        <w:pStyle w:val="50"/>
        <w:spacing w:line="360" w:lineRule="auto"/>
        <w:ind w:firstLine="480" w:firstLineChars="200"/>
        <w:rPr>
          <w:rFonts w:hint="eastAsia" w:hAnsi="宋体"/>
          <w:color w:val="auto"/>
        </w:rPr>
      </w:pPr>
      <w:r>
        <w:rPr>
          <w:rFonts w:hint="eastAsia" w:cs="Times New Roman"/>
          <w:color w:val="auto"/>
          <w:kern w:val="2"/>
        </w:rPr>
        <w:t>（此章节按附件格式1、格式2、格式3填写）</w:t>
      </w:r>
    </w:p>
    <w:p w14:paraId="6DEDB93A">
      <w:pPr>
        <w:pStyle w:val="50"/>
        <w:rPr>
          <w:color w:val="auto"/>
        </w:rPr>
      </w:pPr>
    </w:p>
    <w:p w14:paraId="53E7E380">
      <w:pPr>
        <w:spacing w:line="480" w:lineRule="exact"/>
        <w:rPr>
          <w:rFonts w:hint="eastAsia" w:asciiTheme="minorEastAsia" w:hAnsiTheme="minorEastAsia" w:eastAsiaTheme="minorEastAsia" w:cstheme="minorEastAsia"/>
          <w:color w:val="auto"/>
          <w:sz w:val="24"/>
          <w:szCs w:val="21"/>
        </w:rPr>
      </w:pPr>
    </w:p>
    <w:p w14:paraId="020F820A">
      <w:pPr>
        <w:spacing w:line="480" w:lineRule="exact"/>
        <w:rPr>
          <w:rFonts w:hint="eastAsia" w:asciiTheme="minorEastAsia" w:hAnsiTheme="minorEastAsia" w:eastAsiaTheme="minorEastAsia" w:cstheme="minorEastAsia"/>
          <w:color w:val="auto"/>
          <w:sz w:val="24"/>
          <w:szCs w:val="21"/>
        </w:rPr>
      </w:pPr>
    </w:p>
    <w:p w14:paraId="27FC79A0">
      <w:pPr>
        <w:spacing w:line="480" w:lineRule="exact"/>
        <w:rPr>
          <w:rFonts w:hint="eastAsia" w:asciiTheme="minorEastAsia" w:hAnsiTheme="minorEastAsia" w:eastAsiaTheme="minorEastAsia" w:cstheme="minorEastAsia"/>
          <w:b/>
          <w:bCs/>
          <w:color w:val="auto"/>
          <w:sz w:val="24"/>
          <w:szCs w:val="21"/>
        </w:rPr>
      </w:pPr>
    </w:p>
    <w:p w14:paraId="1BD2A740">
      <w:pPr>
        <w:spacing w:line="480" w:lineRule="exact"/>
        <w:rPr>
          <w:rFonts w:hint="eastAsia" w:asciiTheme="minorEastAsia" w:hAnsiTheme="minorEastAsia" w:eastAsiaTheme="minorEastAsia" w:cstheme="minorEastAsia"/>
          <w:b/>
          <w:bCs/>
          <w:color w:val="auto"/>
          <w:sz w:val="24"/>
          <w:szCs w:val="21"/>
        </w:rPr>
      </w:pPr>
    </w:p>
    <w:p w14:paraId="7B670E99">
      <w:pPr>
        <w:rPr>
          <w:rFonts w:hint="eastAsia" w:asciiTheme="minorEastAsia" w:hAnsiTheme="minorEastAsia" w:eastAsiaTheme="minorEastAsia" w:cstheme="minorEastAsia"/>
          <w:color w:val="auto"/>
          <w:sz w:val="24"/>
        </w:rPr>
      </w:pPr>
    </w:p>
    <w:p w14:paraId="3BA8074E">
      <w:pPr>
        <w:spacing w:line="360" w:lineRule="auto"/>
        <w:rPr>
          <w:rStyle w:val="61"/>
          <w:rFonts w:hint="eastAsia" w:ascii="宋体" w:hAnsi="宋体" w:eastAsia="宋体" w:cs="宋体"/>
          <w:bCs/>
          <w:color w:val="auto"/>
          <w:szCs w:val="28"/>
        </w:rPr>
      </w:pPr>
      <w:bookmarkStart w:id="198" w:name="_Toc8168214"/>
      <w:bookmarkStart w:id="199" w:name="_Toc89692946"/>
      <w:bookmarkStart w:id="200" w:name="_Toc22701"/>
      <w:bookmarkStart w:id="201" w:name="_Toc80095558"/>
      <w:bookmarkStart w:id="202" w:name="_Toc89692655"/>
      <w:r>
        <w:rPr>
          <w:rFonts w:hint="eastAsia" w:asciiTheme="minorEastAsia" w:hAnsiTheme="minorEastAsia" w:eastAsiaTheme="minorEastAsia" w:cstheme="minorEastAsia"/>
          <w:b/>
          <w:bCs/>
          <w:color w:val="auto"/>
          <w:sz w:val="24"/>
          <w:szCs w:val="21"/>
        </w:rPr>
        <w:br w:type="page"/>
      </w:r>
      <w:bookmarkEnd w:id="198"/>
      <w:bookmarkEnd w:id="199"/>
      <w:bookmarkEnd w:id="200"/>
      <w:bookmarkEnd w:id="201"/>
      <w:bookmarkEnd w:id="202"/>
      <w:bookmarkStart w:id="203" w:name="_Toc29539"/>
      <w:bookmarkStart w:id="204" w:name="_Toc2364"/>
      <w:bookmarkStart w:id="205" w:name="_Toc31866"/>
      <w:r>
        <w:rPr>
          <w:rStyle w:val="61"/>
          <w:rFonts w:hint="eastAsia" w:ascii="宋体" w:hAnsi="宋体" w:eastAsia="宋体" w:cs="宋体"/>
          <w:bCs/>
          <w:color w:val="auto"/>
          <w:szCs w:val="28"/>
        </w:rPr>
        <w:t>附件</w:t>
      </w:r>
    </w:p>
    <w:bookmarkEnd w:id="203"/>
    <w:bookmarkEnd w:id="204"/>
    <w:bookmarkEnd w:id="205"/>
    <w:p w14:paraId="382D21C4">
      <w:pPr>
        <w:rPr>
          <w:rFonts w:hint="eastAsia" w:ascii="宋体" w:hAnsi="宋体" w:cs="宋体"/>
          <w:color w:val="auto"/>
          <w:sz w:val="24"/>
        </w:rPr>
      </w:pPr>
      <w:bookmarkStart w:id="206" w:name="_Toc6403"/>
      <w:bookmarkStart w:id="207" w:name="_Toc3320"/>
      <w:r>
        <w:rPr>
          <w:rFonts w:hint="eastAsia"/>
          <w:b/>
          <w:bCs/>
          <w:color w:val="auto"/>
          <w:sz w:val="24"/>
        </w:rPr>
        <w:t>格式1：</w:t>
      </w:r>
      <w:bookmarkEnd w:id="206"/>
      <w:bookmarkEnd w:id="207"/>
    </w:p>
    <w:p w14:paraId="36751B4B">
      <w:pPr>
        <w:pStyle w:val="15"/>
        <w:spacing w:line="360" w:lineRule="auto"/>
        <w:jc w:val="center"/>
        <w:rPr>
          <w:rFonts w:ascii="Times New Roman" w:hAnsi="Times New Roman" w:cs="宋体"/>
          <w:bCs/>
          <w:color w:val="auto"/>
          <w:sz w:val="24"/>
        </w:rPr>
      </w:pPr>
      <w:bookmarkStart w:id="208" w:name="_Toc10365"/>
      <w:bookmarkStart w:id="209" w:name="_Toc32356"/>
      <w:bookmarkStart w:id="210" w:name="_Toc12777"/>
      <w:bookmarkStart w:id="211" w:name="_Toc6065"/>
      <w:r>
        <w:rPr>
          <w:rFonts w:hint="eastAsia" w:ascii="Times New Roman" w:hAnsi="Times New Roman" w:cs="宋体"/>
          <w:bCs/>
          <w:color w:val="auto"/>
          <w:sz w:val="24"/>
        </w:rPr>
        <w:t>中小企业声明函</w:t>
      </w:r>
      <w:bookmarkEnd w:id="208"/>
      <w:bookmarkEnd w:id="209"/>
      <w:bookmarkEnd w:id="210"/>
      <w:bookmarkEnd w:id="211"/>
      <w:r>
        <w:rPr>
          <w:rFonts w:hint="eastAsia" w:ascii="Times New Roman" w:hAnsi="Times New Roman" w:cs="宋体"/>
          <w:bCs/>
          <w:color w:val="auto"/>
          <w:sz w:val="24"/>
        </w:rPr>
        <w:t>（货物）</w:t>
      </w:r>
    </w:p>
    <w:p w14:paraId="45A4E3D6">
      <w:pPr>
        <w:autoSpaceDE w:val="0"/>
        <w:autoSpaceDN w:val="0"/>
        <w:adjustRightInd w:val="0"/>
        <w:spacing w:line="360" w:lineRule="auto"/>
        <w:ind w:firstLine="720" w:firstLineChars="300"/>
        <w:jc w:val="left"/>
        <w:rPr>
          <w:rFonts w:hint="eastAsia" w:ascii="宋体" w:hAnsi="宋体" w:cs="宋体"/>
          <w:color w:val="auto"/>
          <w:kern w:val="0"/>
          <w:sz w:val="24"/>
        </w:rPr>
      </w:pPr>
      <w:r>
        <w:rPr>
          <w:rFonts w:hint="eastAsia" w:ascii="宋体" w:hAnsi="宋体" w:cs="宋体"/>
          <w:color w:val="auto"/>
          <w:kern w:val="0"/>
          <w:sz w:val="24"/>
          <w:u w:val="none"/>
        </w:rPr>
        <w:t>本公司郑重声明，根据《政府采购促进中小企业发展管理办法》（财库﹝2020﹞46号）的规定，本公司参</w:t>
      </w:r>
      <w:r>
        <w:rPr>
          <w:rFonts w:hint="eastAsia" w:ascii="宋体" w:hAnsi="宋体" w:cs="宋体"/>
          <w:color w:val="auto"/>
          <w:kern w:val="0"/>
          <w:sz w:val="24"/>
        </w:rPr>
        <w:t>加</w:t>
      </w:r>
      <w:r>
        <w:rPr>
          <w:rFonts w:hint="eastAsia" w:ascii="宋体" w:hAnsi="宋体" w:cs="宋体"/>
          <w:color w:val="auto"/>
          <w:kern w:val="0"/>
          <w:sz w:val="24"/>
          <w:u w:val="single"/>
        </w:rPr>
        <w:t>（单位名称）</w:t>
      </w:r>
      <w:r>
        <w:rPr>
          <w:rFonts w:hint="eastAsia" w:ascii="宋体" w:hAnsi="宋体" w:cs="宋体"/>
          <w:color w:val="auto"/>
          <w:kern w:val="0"/>
          <w:sz w:val="24"/>
        </w:rPr>
        <w:t>的</w:t>
      </w:r>
      <w:r>
        <w:rPr>
          <w:rFonts w:hint="eastAsia" w:ascii="宋体" w:hAnsi="宋体" w:cs="宋体"/>
          <w:color w:val="auto"/>
          <w:kern w:val="0"/>
          <w:sz w:val="24"/>
          <w:u w:val="single"/>
        </w:rPr>
        <w:t>（项目名称）</w:t>
      </w:r>
      <w:r>
        <w:rPr>
          <w:rFonts w:hint="eastAsia" w:ascii="宋体" w:hAnsi="宋体" w:cs="宋体"/>
          <w:color w:val="auto"/>
          <w:kern w:val="0"/>
          <w:sz w:val="24"/>
        </w:rPr>
        <w:t>采购活动，提供的货物全部由符合政策要求的中小企业制造。相关企业（含联合体中的中小企业、签订分包意向协议的中小企业）的具体情况如下：</w:t>
      </w:r>
    </w:p>
    <w:p w14:paraId="61C56F8B">
      <w:pPr>
        <w:autoSpaceDE w:val="0"/>
        <w:autoSpaceDN w:val="0"/>
        <w:adjustRightIn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u w:val="single"/>
        </w:rPr>
        <w:t>（标的名称）</w:t>
      </w:r>
      <w:r>
        <w:rPr>
          <w:rFonts w:hint="eastAsia" w:ascii="宋体" w:hAnsi="宋体" w:cs="宋体"/>
          <w:color w:val="auto"/>
          <w:kern w:val="0"/>
          <w:sz w:val="24"/>
        </w:rPr>
        <w:t>，属于</w:t>
      </w:r>
      <w:r>
        <w:rPr>
          <w:rFonts w:hint="eastAsia" w:ascii="宋体" w:hAnsi="宋体" w:cs="宋体"/>
          <w:color w:val="auto"/>
          <w:kern w:val="0"/>
          <w:sz w:val="24"/>
          <w:u w:val="single"/>
        </w:rPr>
        <w:t>（采购文件中明确的所属行业）</w:t>
      </w:r>
      <w:r>
        <w:rPr>
          <w:rFonts w:hint="eastAsia" w:ascii="宋体" w:hAnsi="宋体" w:cs="宋体"/>
          <w:color w:val="auto"/>
          <w:kern w:val="0"/>
          <w:sz w:val="24"/>
        </w:rPr>
        <w:t>行业；制造商为</w:t>
      </w:r>
      <w:r>
        <w:rPr>
          <w:rFonts w:hint="eastAsia" w:ascii="宋体" w:hAnsi="宋体" w:cs="宋体"/>
          <w:color w:val="auto"/>
          <w:kern w:val="0"/>
          <w:sz w:val="24"/>
          <w:u w:val="single"/>
        </w:rPr>
        <w:t>（企业名称）</w:t>
      </w:r>
      <w:r>
        <w:rPr>
          <w:rFonts w:hint="eastAsia" w:ascii="宋体" w:hAnsi="宋体" w:cs="宋体"/>
          <w:color w:val="auto"/>
          <w:kern w:val="0"/>
          <w:sz w:val="24"/>
        </w:rPr>
        <w:t>，从业人员</w:t>
      </w:r>
      <w:r>
        <w:rPr>
          <w:rFonts w:hint="eastAsia" w:ascii="宋体" w:hAnsi="宋体" w:cs="宋体"/>
          <w:color w:val="auto"/>
          <w:kern w:val="0"/>
          <w:sz w:val="24"/>
          <w:u w:val="single"/>
        </w:rPr>
        <w:t xml:space="preserve">    </w:t>
      </w:r>
      <w:r>
        <w:rPr>
          <w:rFonts w:hint="eastAsia" w:ascii="宋体" w:hAnsi="宋体" w:cs="宋体"/>
          <w:color w:val="auto"/>
          <w:kern w:val="0"/>
          <w:sz w:val="24"/>
        </w:rPr>
        <w:t>人，营业收入为</w:t>
      </w:r>
      <w:r>
        <w:rPr>
          <w:rFonts w:hint="eastAsia" w:ascii="宋体" w:hAnsi="宋体" w:cs="宋体"/>
          <w:color w:val="auto"/>
          <w:kern w:val="0"/>
          <w:sz w:val="24"/>
          <w:u w:val="single"/>
        </w:rPr>
        <w:t xml:space="preserve">    </w:t>
      </w:r>
      <w:r>
        <w:rPr>
          <w:rFonts w:hint="eastAsia" w:ascii="宋体" w:hAnsi="宋体" w:cs="宋体"/>
          <w:color w:val="auto"/>
          <w:kern w:val="0"/>
          <w:sz w:val="24"/>
        </w:rPr>
        <w:t>万元，资产总额为</w:t>
      </w:r>
      <w:r>
        <w:rPr>
          <w:rFonts w:hint="eastAsia" w:ascii="宋体" w:hAnsi="宋体" w:cs="宋体"/>
          <w:color w:val="auto"/>
          <w:kern w:val="0"/>
          <w:sz w:val="24"/>
          <w:u w:val="single"/>
        </w:rPr>
        <w:t xml:space="preserve">    </w:t>
      </w:r>
      <w:r>
        <w:rPr>
          <w:rFonts w:hint="eastAsia" w:ascii="宋体" w:hAnsi="宋体" w:cs="宋体"/>
          <w:color w:val="auto"/>
          <w:kern w:val="0"/>
          <w:sz w:val="24"/>
        </w:rPr>
        <w:t>万元，属于</w:t>
      </w:r>
      <w:r>
        <w:rPr>
          <w:rFonts w:hint="eastAsia" w:ascii="宋体" w:hAnsi="宋体" w:cs="宋体"/>
          <w:color w:val="auto"/>
          <w:kern w:val="0"/>
          <w:sz w:val="24"/>
          <w:u w:val="single"/>
        </w:rPr>
        <w:t>（中型企业、小型企业、微型企业）</w:t>
      </w:r>
      <w:r>
        <w:rPr>
          <w:rFonts w:hint="eastAsia" w:ascii="宋体" w:hAnsi="宋体" w:cs="宋体"/>
          <w:color w:val="auto"/>
          <w:kern w:val="0"/>
          <w:sz w:val="24"/>
        </w:rPr>
        <w:t>；</w:t>
      </w:r>
    </w:p>
    <w:p w14:paraId="6E55096D">
      <w:pPr>
        <w:autoSpaceDE w:val="0"/>
        <w:autoSpaceDN w:val="0"/>
        <w:adjustRightIn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u w:val="single"/>
        </w:rPr>
        <w:t>（标的名称）</w:t>
      </w:r>
      <w:r>
        <w:rPr>
          <w:rFonts w:hint="eastAsia" w:ascii="宋体" w:hAnsi="宋体" w:cs="宋体"/>
          <w:color w:val="auto"/>
          <w:kern w:val="0"/>
          <w:sz w:val="24"/>
        </w:rPr>
        <w:t>，属于</w:t>
      </w:r>
      <w:r>
        <w:rPr>
          <w:rFonts w:hint="eastAsia" w:ascii="宋体" w:hAnsi="宋体" w:cs="宋体"/>
          <w:color w:val="auto"/>
          <w:kern w:val="0"/>
          <w:sz w:val="24"/>
          <w:u w:val="single"/>
        </w:rPr>
        <w:t>（采购文件中明确的所属行业）</w:t>
      </w:r>
      <w:r>
        <w:rPr>
          <w:rFonts w:hint="eastAsia" w:ascii="宋体" w:hAnsi="宋体" w:cs="宋体"/>
          <w:color w:val="auto"/>
          <w:kern w:val="0"/>
          <w:sz w:val="24"/>
        </w:rPr>
        <w:t>行业；制造商为</w:t>
      </w:r>
      <w:r>
        <w:rPr>
          <w:rFonts w:hint="eastAsia" w:ascii="宋体" w:hAnsi="宋体" w:cs="宋体"/>
          <w:color w:val="auto"/>
          <w:kern w:val="0"/>
          <w:sz w:val="24"/>
          <w:u w:val="single"/>
        </w:rPr>
        <w:t>（企业名称）</w:t>
      </w:r>
      <w:r>
        <w:rPr>
          <w:rFonts w:hint="eastAsia" w:ascii="宋体" w:hAnsi="宋体" w:cs="宋体"/>
          <w:color w:val="auto"/>
          <w:kern w:val="0"/>
          <w:sz w:val="24"/>
        </w:rPr>
        <w:t>，从业人员</w:t>
      </w:r>
      <w:r>
        <w:rPr>
          <w:rFonts w:hint="eastAsia" w:ascii="宋体" w:hAnsi="宋体" w:cs="宋体"/>
          <w:color w:val="auto"/>
          <w:kern w:val="0"/>
          <w:sz w:val="24"/>
          <w:u w:val="single"/>
        </w:rPr>
        <w:t xml:space="preserve">    </w:t>
      </w:r>
      <w:r>
        <w:rPr>
          <w:rFonts w:hint="eastAsia" w:ascii="宋体" w:hAnsi="宋体" w:cs="宋体"/>
          <w:color w:val="auto"/>
          <w:kern w:val="0"/>
          <w:sz w:val="24"/>
        </w:rPr>
        <w:t>人，营业收入为</w:t>
      </w:r>
      <w:r>
        <w:rPr>
          <w:rFonts w:hint="eastAsia" w:ascii="宋体" w:hAnsi="宋体" w:cs="宋体"/>
          <w:color w:val="auto"/>
          <w:kern w:val="0"/>
          <w:sz w:val="24"/>
          <w:u w:val="single"/>
        </w:rPr>
        <w:t xml:space="preserve">    </w:t>
      </w:r>
      <w:r>
        <w:rPr>
          <w:rFonts w:hint="eastAsia" w:ascii="宋体" w:hAnsi="宋体" w:cs="宋体"/>
          <w:color w:val="auto"/>
          <w:kern w:val="0"/>
          <w:sz w:val="24"/>
        </w:rPr>
        <w:t>万元，资产总额为</w:t>
      </w:r>
      <w:r>
        <w:rPr>
          <w:rFonts w:hint="eastAsia" w:ascii="宋体" w:hAnsi="宋体" w:cs="宋体"/>
          <w:color w:val="auto"/>
          <w:kern w:val="0"/>
          <w:sz w:val="24"/>
          <w:u w:val="single"/>
        </w:rPr>
        <w:t xml:space="preserve">    </w:t>
      </w:r>
      <w:r>
        <w:rPr>
          <w:rFonts w:hint="eastAsia" w:ascii="宋体" w:hAnsi="宋体" w:cs="宋体"/>
          <w:color w:val="auto"/>
          <w:kern w:val="0"/>
          <w:sz w:val="24"/>
        </w:rPr>
        <w:t>万元，属于</w:t>
      </w:r>
      <w:r>
        <w:rPr>
          <w:rFonts w:hint="eastAsia" w:ascii="宋体" w:hAnsi="宋体" w:cs="宋体"/>
          <w:color w:val="auto"/>
          <w:kern w:val="0"/>
          <w:sz w:val="24"/>
          <w:u w:val="single"/>
        </w:rPr>
        <w:t>（中型企业、小型企业、微型企业）</w:t>
      </w:r>
      <w:r>
        <w:rPr>
          <w:rFonts w:hint="eastAsia" w:ascii="宋体" w:hAnsi="宋体" w:cs="宋体"/>
          <w:color w:val="auto"/>
          <w:kern w:val="0"/>
          <w:sz w:val="24"/>
        </w:rPr>
        <w:t>；</w:t>
      </w:r>
    </w:p>
    <w:p w14:paraId="4F5783F2">
      <w:pPr>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w:t>
      </w:r>
    </w:p>
    <w:p w14:paraId="6B6DC3BD">
      <w:pPr>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以上企业，不属于大企业的分支机构，不存在控股股东为大企业的情形，也不存在与大企业的负责人为同一人的情形。</w:t>
      </w:r>
    </w:p>
    <w:p w14:paraId="6CFB07EB">
      <w:pPr>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 xml:space="preserve">本企业对上述声明内容的真实性负责。如有虚假，将依法承担相应责任。 </w:t>
      </w:r>
    </w:p>
    <w:p w14:paraId="756BAFB0">
      <w:pPr>
        <w:spacing w:line="360" w:lineRule="auto"/>
        <w:ind w:firstLine="480" w:firstLineChars="200"/>
        <w:rPr>
          <w:rFonts w:hint="eastAsia" w:ascii="宋体" w:hAnsi="宋体" w:cs="宋体"/>
          <w:color w:val="auto"/>
          <w:sz w:val="24"/>
        </w:rPr>
      </w:pPr>
    </w:p>
    <w:p w14:paraId="3F3FF3BD">
      <w:pPr>
        <w:spacing w:line="360" w:lineRule="auto"/>
        <w:ind w:firstLine="480" w:firstLineChars="200"/>
        <w:jc w:val="left"/>
        <w:rPr>
          <w:rFonts w:hint="eastAsia" w:ascii="宋体" w:hAnsi="宋体"/>
          <w:bCs/>
          <w:color w:val="auto"/>
          <w:sz w:val="24"/>
          <w:u w:val="single"/>
        </w:rPr>
      </w:pPr>
      <w:r>
        <w:rPr>
          <w:rFonts w:hint="eastAsia" w:ascii="宋体" w:hAnsi="宋体"/>
          <w:bCs/>
          <w:color w:val="auto"/>
          <w:sz w:val="24"/>
        </w:rPr>
        <w:t>企业名称（电子签章）：</w:t>
      </w:r>
      <w:r>
        <w:rPr>
          <w:rFonts w:hint="eastAsia" w:ascii="宋体" w:hAnsi="宋体"/>
          <w:bCs/>
          <w:color w:val="auto"/>
          <w:sz w:val="24"/>
          <w:u w:val="single"/>
        </w:rPr>
        <w:t xml:space="preserve">            </w:t>
      </w:r>
    </w:p>
    <w:p w14:paraId="13767CCB">
      <w:pPr>
        <w:spacing w:line="360" w:lineRule="auto"/>
        <w:ind w:firstLine="480" w:firstLineChars="200"/>
        <w:jc w:val="left"/>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439E3723">
      <w:pPr>
        <w:spacing w:line="360" w:lineRule="auto"/>
        <w:ind w:firstLine="420" w:firstLineChars="200"/>
        <w:rPr>
          <w:rFonts w:hint="eastAsia" w:ascii="宋体" w:hAnsi="宋体" w:cs="宋体"/>
          <w:color w:val="auto"/>
          <w:szCs w:val="21"/>
        </w:rPr>
      </w:pPr>
    </w:p>
    <w:p w14:paraId="27B606D1">
      <w:pPr>
        <w:autoSpaceDE w:val="0"/>
        <w:autoSpaceDN w:val="0"/>
        <w:adjustRightInd w:val="0"/>
        <w:rPr>
          <w:rFonts w:hint="eastAsia" w:ascii="宋体" w:hAnsi="宋体" w:cs="宋体"/>
          <w:b/>
          <w:bCs/>
          <w:color w:val="auto"/>
          <w:szCs w:val="21"/>
        </w:rPr>
      </w:pPr>
      <w:r>
        <w:rPr>
          <w:rFonts w:hint="eastAsia" w:ascii="宋体" w:hAnsi="宋体" w:cs="宋体"/>
          <w:color w:val="auto"/>
          <w:szCs w:val="21"/>
        </w:rPr>
        <w:t>注：</w:t>
      </w:r>
      <w:r>
        <w:rPr>
          <w:rFonts w:hint="eastAsia" w:ascii="宋体" w:hAnsi="宋体" w:cs="宋体"/>
          <w:b/>
          <w:bCs/>
          <w:color w:val="auto"/>
          <w:szCs w:val="21"/>
        </w:rPr>
        <w:t>1、货物承接企业全部为小微型企业时，</w:t>
      </w:r>
      <w:r>
        <w:rPr>
          <w:rFonts w:hint="eastAsia" w:ascii="宋体" w:hAnsi="宋体" w:cs="宋体"/>
          <w:b/>
          <w:bCs/>
          <w:color w:val="auto"/>
          <w:szCs w:val="21"/>
          <w:lang w:eastAsia="zh-CN"/>
        </w:rPr>
        <w:t>供应商</w:t>
      </w:r>
      <w:r>
        <w:rPr>
          <w:rFonts w:hint="eastAsia" w:ascii="宋体" w:hAnsi="宋体" w:cs="宋体"/>
          <w:b/>
          <w:bCs/>
          <w:color w:val="auto"/>
          <w:szCs w:val="21"/>
        </w:rPr>
        <w:t>应当出具《中小企业声明函》，否则不得享</w:t>
      </w:r>
    </w:p>
    <w:p w14:paraId="0D30563F">
      <w:pPr>
        <w:autoSpaceDE w:val="0"/>
        <w:autoSpaceDN w:val="0"/>
        <w:adjustRightInd w:val="0"/>
        <w:rPr>
          <w:rFonts w:hint="eastAsia" w:ascii="宋体" w:hAnsi="宋体" w:cs="宋体"/>
          <w:b/>
          <w:bCs/>
          <w:color w:val="auto"/>
          <w:szCs w:val="21"/>
        </w:rPr>
      </w:pPr>
      <w:r>
        <w:rPr>
          <w:rFonts w:hint="eastAsia" w:ascii="宋体" w:hAnsi="宋体" w:cs="宋体"/>
          <w:b/>
          <w:bCs/>
          <w:color w:val="auto"/>
          <w:szCs w:val="21"/>
        </w:rPr>
        <w:t>受相关小微企业扶持政策(详见</w:t>
      </w:r>
      <w:r>
        <w:rPr>
          <w:rFonts w:hint="eastAsia" w:ascii="宋体" w:hAnsi="宋体" w:cs="宋体"/>
          <w:b/>
          <w:bCs/>
          <w:color w:val="auto"/>
          <w:szCs w:val="21"/>
          <w:lang w:eastAsia="zh-CN"/>
        </w:rPr>
        <w:t>招标</w:t>
      </w:r>
      <w:r>
        <w:rPr>
          <w:rFonts w:hint="eastAsia" w:ascii="宋体" w:hAnsi="宋体" w:cs="宋体"/>
          <w:b/>
          <w:bCs/>
          <w:color w:val="auto"/>
          <w:szCs w:val="21"/>
        </w:rPr>
        <w:t>文件第二章第10条)。</w:t>
      </w:r>
    </w:p>
    <w:p w14:paraId="12696BF5">
      <w:pPr>
        <w:autoSpaceDE w:val="0"/>
        <w:autoSpaceDN w:val="0"/>
        <w:adjustRightInd w:val="0"/>
        <w:rPr>
          <w:rFonts w:hint="eastAsia" w:ascii="宋体" w:hAnsi="宋体" w:cs="宋体"/>
          <w:b/>
          <w:bCs/>
          <w:color w:val="auto"/>
          <w:szCs w:val="21"/>
        </w:rPr>
      </w:pPr>
      <w:r>
        <w:rPr>
          <w:rFonts w:hint="eastAsia" w:ascii="宋体" w:hAnsi="宋体" w:cs="宋体"/>
          <w:b/>
          <w:bCs/>
          <w:color w:val="auto"/>
          <w:szCs w:val="21"/>
        </w:rPr>
        <w:t>2、从业人员、营业收入、资产总额填报上一年度数据，无上一年度数据的新成立企业可不填</w:t>
      </w:r>
    </w:p>
    <w:p w14:paraId="715F4AE7">
      <w:pPr>
        <w:autoSpaceDE w:val="0"/>
        <w:autoSpaceDN w:val="0"/>
        <w:adjustRightInd w:val="0"/>
        <w:rPr>
          <w:rFonts w:hint="eastAsia" w:ascii="宋体" w:hAnsi="宋体" w:cs="宋体"/>
          <w:b/>
          <w:bCs/>
          <w:color w:val="auto"/>
          <w:szCs w:val="21"/>
        </w:rPr>
      </w:pPr>
      <w:r>
        <w:rPr>
          <w:rFonts w:hint="eastAsia" w:ascii="宋体" w:hAnsi="宋体" w:cs="宋体"/>
          <w:b/>
          <w:bCs/>
          <w:color w:val="auto"/>
          <w:szCs w:val="21"/>
        </w:rPr>
        <w:t>报。</w:t>
      </w:r>
    </w:p>
    <w:p w14:paraId="6FC962E5">
      <w:pPr>
        <w:autoSpaceDE w:val="0"/>
        <w:autoSpaceDN w:val="0"/>
        <w:adjustRightInd w:val="0"/>
        <w:rPr>
          <w:rFonts w:hint="eastAsia" w:ascii="宋体" w:hAnsi="宋体" w:cs="宋体"/>
          <w:b/>
          <w:bCs/>
          <w:color w:val="auto"/>
          <w:szCs w:val="21"/>
        </w:rPr>
      </w:pPr>
      <w:r>
        <w:rPr>
          <w:rFonts w:hint="eastAsia" w:ascii="宋体" w:hAnsi="宋体" w:cs="宋体"/>
          <w:b/>
          <w:bCs/>
          <w:color w:val="auto"/>
          <w:szCs w:val="21"/>
        </w:rPr>
        <w:t>3、成交</w:t>
      </w:r>
      <w:r>
        <w:rPr>
          <w:rFonts w:hint="eastAsia" w:ascii="宋体" w:hAnsi="宋体" w:cs="宋体"/>
          <w:b/>
          <w:bCs/>
          <w:color w:val="auto"/>
          <w:szCs w:val="21"/>
          <w:lang w:eastAsia="zh-CN"/>
        </w:rPr>
        <w:t>供应商</w:t>
      </w:r>
      <w:r>
        <w:rPr>
          <w:rFonts w:hint="eastAsia" w:ascii="宋体" w:hAnsi="宋体" w:cs="宋体"/>
          <w:b/>
          <w:bCs/>
          <w:color w:val="auto"/>
          <w:szCs w:val="21"/>
        </w:rPr>
        <w:t>享受小微企业扶持政策的，其《中小企业声明函》将随成交结果公开。</w:t>
      </w:r>
    </w:p>
    <w:p w14:paraId="1BE3E973">
      <w:pPr>
        <w:autoSpaceDE w:val="0"/>
        <w:autoSpaceDN w:val="0"/>
        <w:adjustRightInd w:val="0"/>
        <w:rPr>
          <w:rFonts w:hint="eastAsia" w:ascii="宋体" w:hAnsi="宋体" w:cs="宋体"/>
          <w:b/>
          <w:bCs/>
          <w:color w:val="auto"/>
          <w:szCs w:val="21"/>
        </w:rPr>
      </w:pPr>
      <w:r>
        <w:rPr>
          <w:rFonts w:hint="eastAsia" w:ascii="宋体" w:hAnsi="宋体" w:cs="宋体"/>
          <w:b/>
          <w:bCs/>
          <w:color w:val="auto"/>
          <w:szCs w:val="21"/>
        </w:rPr>
        <w:t>4、</w:t>
      </w:r>
      <w:r>
        <w:rPr>
          <w:rFonts w:hint="eastAsia" w:ascii="宋体" w:hAnsi="宋体" w:cs="宋体"/>
          <w:b/>
          <w:bCs/>
          <w:color w:val="auto"/>
          <w:szCs w:val="21"/>
          <w:lang w:eastAsia="zh-CN"/>
        </w:rPr>
        <w:t>供应商</w:t>
      </w:r>
      <w:r>
        <w:rPr>
          <w:rFonts w:hint="eastAsia" w:ascii="宋体" w:hAnsi="宋体" w:cs="宋体"/>
          <w:b/>
          <w:bCs/>
          <w:color w:val="auto"/>
          <w:szCs w:val="21"/>
        </w:rPr>
        <w:t>提供的声明函内容不实，属于提供虚假材料谋职成交的，依照《中华人民共和国政府采购法》等国家有关规定追究相应责任。</w:t>
      </w:r>
    </w:p>
    <w:p w14:paraId="117F96CE">
      <w:pPr>
        <w:autoSpaceDE w:val="0"/>
        <w:autoSpaceDN w:val="0"/>
        <w:adjustRightInd w:val="0"/>
        <w:rPr>
          <w:rFonts w:hint="eastAsia" w:ascii="宋体" w:hAnsi="宋体" w:cs="宋体"/>
          <w:color w:val="auto"/>
          <w:szCs w:val="21"/>
        </w:rPr>
      </w:pPr>
      <w:r>
        <w:rPr>
          <w:rFonts w:hint="eastAsia" w:ascii="宋体" w:hAnsi="宋体" w:cs="宋体"/>
          <w:b/>
          <w:bCs/>
          <w:color w:val="auto"/>
          <w:szCs w:val="21"/>
        </w:rPr>
        <w:t>5、中小企业划型标准详见工信部联企业(2011)300号“关于印发中小企业划型标准规定的通知”中的《中小企业划型标准规定》;“采购文件中明确的所属行业”详见《</w:t>
      </w:r>
      <w:r>
        <w:rPr>
          <w:rFonts w:hint="eastAsia" w:ascii="宋体" w:hAnsi="宋体" w:cs="宋体"/>
          <w:b/>
          <w:bCs/>
          <w:color w:val="auto"/>
          <w:szCs w:val="21"/>
          <w:lang w:eastAsia="zh-CN"/>
        </w:rPr>
        <w:t>供应商</w:t>
      </w:r>
      <w:r>
        <w:rPr>
          <w:rFonts w:hint="eastAsia" w:ascii="宋体" w:hAnsi="宋体" w:cs="宋体"/>
          <w:b/>
          <w:bCs/>
          <w:color w:val="auto"/>
          <w:szCs w:val="21"/>
        </w:rPr>
        <w:t>须知前附表》。</w:t>
      </w:r>
    </w:p>
    <w:p w14:paraId="66C90EE3">
      <w:pPr>
        <w:rPr>
          <w:rFonts w:hint="eastAsia" w:ascii="宋体" w:hAnsi="宋体" w:cs="宋体"/>
          <w:color w:val="auto"/>
          <w:szCs w:val="21"/>
        </w:rPr>
      </w:pPr>
      <w:r>
        <w:rPr>
          <w:rFonts w:hint="eastAsia" w:ascii="宋体" w:hAnsi="宋体" w:cs="宋体"/>
          <w:color w:val="auto"/>
          <w:szCs w:val="21"/>
        </w:rPr>
        <w:br w:type="page"/>
      </w:r>
    </w:p>
    <w:p w14:paraId="4A4D0131">
      <w:pPr>
        <w:widowControl/>
        <w:spacing w:before="163" w:beforeLines="50" w:line="480" w:lineRule="auto"/>
        <w:rPr>
          <w:color w:val="auto"/>
          <w:sz w:val="24"/>
        </w:rPr>
      </w:pPr>
      <w:bookmarkStart w:id="212" w:name="_Toc617"/>
      <w:bookmarkStart w:id="213" w:name="_Toc8819"/>
      <w:r>
        <w:rPr>
          <w:rFonts w:hint="eastAsia"/>
          <w:b/>
          <w:bCs/>
          <w:color w:val="auto"/>
          <w:sz w:val="24"/>
        </w:rPr>
        <w:t>格式2：</w:t>
      </w:r>
      <w:bookmarkEnd w:id="212"/>
      <w:bookmarkEnd w:id="213"/>
    </w:p>
    <w:p w14:paraId="07338FC4">
      <w:pPr>
        <w:widowControl/>
        <w:spacing w:line="588" w:lineRule="exact"/>
        <w:jc w:val="center"/>
        <w:rPr>
          <w:rFonts w:cs="宋体"/>
          <w:b/>
          <w:color w:val="auto"/>
          <w:spacing w:val="6"/>
          <w:sz w:val="24"/>
        </w:rPr>
      </w:pPr>
      <w:bookmarkStart w:id="214" w:name="_Toc28206"/>
      <w:bookmarkStart w:id="215" w:name="_Toc11684"/>
      <w:bookmarkStart w:id="216" w:name="_Toc19693"/>
      <w:r>
        <w:rPr>
          <w:rFonts w:hint="eastAsia" w:cs="宋体"/>
          <w:b/>
          <w:color w:val="auto"/>
          <w:spacing w:val="6"/>
          <w:sz w:val="24"/>
        </w:rPr>
        <w:t>残疾人福利性单位声明函（若为残疾人福利性单位的才须填写）</w:t>
      </w:r>
      <w:bookmarkEnd w:id="214"/>
      <w:bookmarkEnd w:id="215"/>
      <w:bookmarkEnd w:id="216"/>
    </w:p>
    <w:p w14:paraId="601F194F">
      <w:pPr>
        <w:widowControl/>
        <w:spacing w:line="600" w:lineRule="exact"/>
        <w:ind w:firstLine="504" w:firstLineChars="200"/>
        <w:rPr>
          <w:rFonts w:cs="宋体"/>
          <w:color w:val="auto"/>
          <w:spacing w:val="6"/>
          <w:sz w:val="24"/>
        </w:rPr>
      </w:pPr>
      <w:r>
        <w:rPr>
          <w:rFonts w:hint="eastAsia" w:cs="宋体"/>
          <w:color w:val="auto"/>
          <w:spacing w:val="6"/>
          <w:sz w:val="24"/>
        </w:rPr>
        <w:t>本单位郑重声明，根据《财政部 民政部 中国残疾人联合会关于促进残疾人就业政府采购政策的通知》（财库</w:t>
      </w:r>
      <w:r>
        <w:rPr>
          <w:rFonts w:hint="eastAsia" w:cs="宋体"/>
          <w:color w:val="auto"/>
          <w:sz w:val="24"/>
        </w:rPr>
        <w:t>〔2017〕 141</w:t>
      </w:r>
      <w:r>
        <w:rPr>
          <w:rFonts w:hint="eastAsia" w:cs="宋体"/>
          <w:color w:val="auto"/>
          <w:spacing w:val="6"/>
          <w:sz w:val="24"/>
        </w:rPr>
        <w:t>号）的规定，本单位为符合条件的残疾人福利性单位，且本单位参加</w:t>
      </w:r>
      <w:r>
        <w:rPr>
          <w:rFonts w:hint="eastAsia" w:cs="宋体"/>
          <w:color w:val="auto"/>
          <w:spacing w:val="6"/>
          <w:sz w:val="24"/>
          <w:u w:val="single"/>
        </w:rPr>
        <w:t xml:space="preserve">      </w:t>
      </w:r>
      <w:r>
        <w:rPr>
          <w:rFonts w:hint="eastAsia" w:cs="宋体"/>
          <w:color w:val="auto"/>
          <w:spacing w:val="6"/>
          <w:sz w:val="24"/>
        </w:rPr>
        <w:t>单位的</w:t>
      </w:r>
      <w:r>
        <w:rPr>
          <w:rFonts w:hint="eastAsia" w:cs="宋体"/>
          <w:color w:val="auto"/>
          <w:spacing w:val="6"/>
          <w:sz w:val="24"/>
          <w:u w:val="single"/>
        </w:rPr>
        <w:t xml:space="preserve">      </w:t>
      </w:r>
      <w:r>
        <w:rPr>
          <w:rFonts w:hint="eastAsia" w:cs="宋体"/>
          <w:color w:val="auto"/>
          <w:spacing w:val="6"/>
          <w:sz w:val="24"/>
        </w:rPr>
        <w:t>项目采购活动提供本单位制造的货物（由本单位承担工程/提供服务），或者提供其他残疾人福利性单位制造的货物（不包括使用非残疾人福利性单位注册商标的货物）。</w:t>
      </w:r>
    </w:p>
    <w:p w14:paraId="241AD400">
      <w:pPr>
        <w:widowControl/>
        <w:spacing w:line="600" w:lineRule="exact"/>
        <w:ind w:firstLine="504" w:firstLineChars="200"/>
        <w:rPr>
          <w:rFonts w:cs="宋体"/>
          <w:color w:val="auto"/>
          <w:spacing w:val="6"/>
          <w:sz w:val="24"/>
        </w:rPr>
      </w:pPr>
      <w:r>
        <w:rPr>
          <w:rFonts w:hint="eastAsia" w:cs="宋体"/>
          <w:color w:val="auto"/>
          <w:spacing w:val="6"/>
          <w:sz w:val="24"/>
        </w:rPr>
        <w:t>本单位对上述声明的真实性负责。如有虚假，将依法承担相应责任。</w:t>
      </w:r>
    </w:p>
    <w:p w14:paraId="3443D7D9">
      <w:pPr>
        <w:widowControl/>
        <w:spacing w:line="600" w:lineRule="exact"/>
        <w:ind w:firstLine="504" w:firstLineChars="200"/>
        <w:rPr>
          <w:rFonts w:cs="宋体"/>
          <w:color w:val="auto"/>
          <w:spacing w:val="6"/>
          <w:sz w:val="24"/>
        </w:rPr>
      </w:pPr>
    </w:p>
    <w:p w14:paraId="29BC5D20">
      <w:pPr>
        <w:widowControl/>
        <w:spacing w:line="600" w:lineRule="exact"/>
        <w:ind w:firstLine="504" w:firstLineChars="200"/>
        <w:rPr>
          <w:rFonts w:cs="宋体"/>
          <w:color w:val="auto"/>
          <w:spacing w:val="6"/>
          <w:sz w:val="24"/>
        </w:rPr>
      </w:pPr>
    </w:p>
    <w:p w14:paraId="3A4D5E6E">
      <w:pPr>
        <w:spacing w:line="360" w:lineRule="auto"/>
        <w:ind w:firstLine="480" w:firstLineChars="200"/>
        <w:jc w:val="left"/>
        <w:rPr>
          <w:rFonts w:hint="eastAsia" w:ascii="宋体" w:hAnsi="宋体"/>
          <w:bCs/>
          <w:color w:val="auto"/>
          <w:sz w:val="24"/>
          <w:u w:val="single"/>
        </w:rPr>
      </w:pPr>
      <w:r>
        <w:rPr>
          <w:rFonts w:hint="eastAsia" w:ascii="宋体" w:hAnsi="宋体"/>
          <w:bCs/>
          <w:color w:val="auto"/>
          <w:sz w:val="24"/>
        </w:rPr>
        <w:t>企业名称（电子签章）：</w:t>
      </w:r>
      <w:r>
        <w:rPr>
          <w:rFonts w:hint="eastAsia" w:ascii="宋体" w:hAnsi="宋体"/>
          <w:bCs/>
          <w:color w:val="auto"/>
          <w:sz w:val="24"/>
          <w:u w:val="single"/>
        </w:rPr>
        <w:t xml:space="preserve">            </w:t>
      </w:r>
    </w:p>
    <w:p w14:paraId="452C7894">
      <w:pPr>
        <w:spacing w:line="480" w:lineRule="auto"/>
        <w:ind w:firstLine="480" w:firstLineChars="200"/>
        <w:jc w:val="left"/>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561A9EB4">
      <w:pPr>
        <w:widowControl/>
        <w:rPr>
          <w:b/>
          <w:bCs/>
          <w:color w:val="auto"/>
          <w:sz w:val="24"/>
        </w:rPr>
      </w:pPr>
      <w:r>
        <w:rPr>
          <w:rFonts w:hint="eastAsia"/>
          <w:color w:val="auto"/>
          <w:szCs w:val="21"/>
        </w:rPr>
        <w:br w:type="page"/>
      </w:r>
      <w:bookmarkStart w:id="217" w:name="_Toc6017"/>
      <w:r>
        <w:rPr>
          <w:rFonts w:hint="eastAsia"/>
          <w:b/>
          <w:bCs/>
          <w:color w:val="auto"/>
          <w:sz w:val="24"/>
        </w:rPr>
        <w:t>格式3：</w:t>
      </w:r>
      <w:bookmarkEnd w:id="217"/>
    </w:p>
    <w:p w14:paraId="56475088">
      <w:pPr>
        <w:widowControl/>
        <w:spacing w:line="588" w:lineRule="exact"/>
        <w:jc w:val="center"/>
        <w:rPr>
          <w:rFonts w:cs="宋体"/>
          <w:b/>
          <w:color w:val="auto"/>
          <w:spacing w:val="6"/>
          <w:sz w:val="24"/>
        </w:rPr>
      </w:pPr>
      <w:bookmarkStart w:id="218" w:name="_Toc19100"/>
      <w:bookmarkStart w:id="219" w:name="_Toc19129"/>
      <w:bookmarkStart w:id="220" w:name="_Toc24417"/>
      <w:r>
        <w:rPr>
          <w:rFonts w:hint="eastAsia" w:cs="宋体"/>
          <w:b/>
          <w:color w:val="auto"/>
          <w:spacing w:val="6"/>
          <w:sz w:val="24"/>
        </w:rPr>
        <w:t>监狱企业证明文件（若为监狱企业的才须填写）</w:t>
      </w:r>
      <w:bookmarkEnd w:id="218"/>
      <w:bookmarkEnd w:id="219"/>
      <w:bookmarkEnd w:id="220"/>
    </w:p>
    <w:p w14:paraId="08E955E4">
      <w:pPr>
        <w:spacing w:line="480" w:lineRule="exact"/>
        <w:ind w:firstLine="480" w:firstLineChars="200"/>
        <w:rPr>
          <w:color w:val="auto"/>
          <w:sz w:val="24"/>
        </w:rPr>
      </w:pPr>
      <w:r>
        <w:rPr>
          <w:rFonts w:hint="eastAsia"/>
          <w:color w:val="auto"/>
          <w:sz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90AF31">
      <w:pPr>
        <w:spacing w:line="480" w:lineRule="exact"/>
        <w:ind w:firstLine="480" w:firstLineChars="200"/>
        <w:rPr>
          <w:color w:val="auto"/>
          <w:sz w:val="24"/>
        </w:rPr>
      </w:pPr>
      <w:r>
        <w:rPr>
          <w:rFonts w:hint="eastAsia"/>
          <w:color w:val="auto"/>
          <w:sz w:val="24"/>
        </w:rPr>
        <w:t>监狱企业参加政府采购活动时，应当提供由省级以上监狱管理局、戒毒管理局（含新疆生产建设兵团）出具的属于监狱企业的证明文件。</w:t>
      </w:r>
    </w:p>
    <w:p w14:paraId="1B9DE0D1">
      <w:pPr>
        <w:spacing w:line="480" w:lineRule="exact"/>
        <w:ind w:firstLine="480" w:firstLineChars="200"/>
        <w:rPr>
          <w:color w:val="auto"/>
          <w:sz w:val="24"/>
        </w:rPr>
      </w:pPr>
      <w:r>
        <w:rPr>
          <w:rFonts w:hint="eastAsia"/>
          <w:color w:val="auto"/>
          <w:sz w:val="24"/>
        </w:rPr>
        <w:t>注：符合条件的监狱企业在参加政府采购活动时，应当按《财政部 司法部关于政府采购支持监狱企业发展有关问题的通知》（财库[2014]68号）提供规定的《监狱企业证明文件》，并对声明的真实性负责。</w:t>
      </w:r>
    </w:p>
    <w:p w14:paraId="12C668B4">
      <w:pPr>
        <w:pStyle w:val="24"/>
        <w:ind w:left="0" w:leftChars="0"/>
        <w:rPr>
          <w:color w:val="auto"/>
        </w:rPr>
      </w:pPr>
    </w:p>
    <w:p w14:paraId="60AB6C66">
      <w:pPr>
        <w:spacing w:line="360" w:lineRule="auto"/>
        <w:ind w:firstLine="480" w:firstLineChars="200"/>
        <w:jc w:val="left"/>
        <w:rPr>
          <w:rFonts w:hint="eastAsia" w:ascii="宋体" w:hAnsi="宋体"/>
          <w:bCs/>
          <w:color w:val="auto"/>
          <w:sz w:val="24"/>
          <w:u w:val="single"/>
        </w:rPr>
      </w:pPr>
      <w:r>
        <w:rPr>
          <w:rFonts w:hint="eastAsia" w:ascii="宋体" w:hAnsi="宋体"/>
          <w:bCs/>
          <w:color w:val="auto"/>
          <w:sz w:val="24"/>
        </w:rPr>
        <w:t>企业名称（电子签章）：</w:t>
      </w:r>
      <w:r>
        <w:rPr>
          <w:rFonts w:hint="eastAsia" w:ascii="宋体" w:hAnsi="宋体"/>
          <w:bCs/>
          <w:color w:val="auto"/>
          <w:sz w:val="24"/>
          <w:u w:val="single"/>
        </w:rPr>
        <w:t xml:space="preserve">            </w:t>
      </w:r>
    </w:p>
    <w:p w14:paraId="2B6A68F0">
      <w:pPr>
        <w:spacing w:line="480" w:lineRule="auto"/>
        <w:ind w:firstLine="480" w:firstLineChars="200"/>
        <w:jc w:val="left"/>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2C487789">
      <w:pPr>
        <w:rPr>
          <w:rFonts w:hint="eastAsia" w:asciiTheme="minorEastAsia" w:hAnsiTheme="minorEastAsia" w:eastAsiaTheme="minorEastAsia" w:cstheme="minorEastAsia"/>
          <w:color w:val="auto"/>
        </w:rPr>
      </w:pPr>
    </w:p>
    <w:p w14:paraId="731E8D05">
      <w:pPr>
        <w:spacing w:line="360" w:lineRule="auto"/>
        <w:ind w:firstLine="424" w:firstLineChars="202"/>
        <w:rPr>
          <w:rFonts w:hint="eastAsia" w:asciiTheme="minorEastAsia" w:hAnsiTheme="minorEastAsia" w:eastAsiaTheme="minorEastAsia" w:cstheme="minorEastAsia"/>
          <w:color w:val="auto"/>
        </w:rPr>
      </w:pPr>
    </w:p>
    <w:p w14:paraId="7614F93E">
      <w:pPr>
        <w:spacing w:line="360" w:lineRule="auto"/>
        <w:ind w:firstLine="424" w:firstLineChars="202"/>
        <w:rPr>
          <w:rFonts w:hint="eastAsia" w:asciiTheme="minorEastAsia" w:hAnsiTheme="minorEastAsia" w:eastAsiaTheme="minorEastAsia" w:cstheme="minorEastAsia"/>
          <w:color w:val="auto"/>
        </w:rPr>
      </w:pPr>
    </w:p>
    <w:p w14:paraId="1DAAA641">
      <w:pPr>
        <w:spacing w:line="360" w:lineRule="auto"/>
        <w:ind w:firstLine="424" w:firstLineChars="202"/>
        <w:rPr>
          <w:rFonts w:hint="eastAsia" w:asciiTheme="minorEastAsia" w:hAnsiTheme="minorEastAsia" w:eastAsiaTheme="minorEastAsia" w:cstheme="minorEastAsia"/>
          <w:color w:val="auto"/>
        </w:rPr>
      </w:pPr>
    </w:p>
    <w:p w14:paraId="36B8C04A">
      <w:pPr>
        <w:spacing w:line="360" w:lineRule="auto"/>
        <w:ind w:firstLine="424" w:firstLineChars="202"/>
        <w:rPr>
          <w:rFonts w:hint="eastAsia" w:asciiTheme="minorEastAsia" w:hAnsiTheme="minorEastAsia" w:eastAsiaTheme="minorEastAsia" w:cstheme="minorEastAsia"/>
          <w:color w:val="auto"/>
        </w:rPr>
      </w:pPr>
    </w:p>
    <w:p w14:paraId="68B5A4F5">
      <w:pPr>
        <w:spacing w:line="360" w:lineRule="auto"/>
        <w:ind w:firstLine="424" w:firstLineChars="202"/>
        <w:rPr>
          <w:rFonts w:hint="eastAsia" w:asciiTheme="minorEastAsia" w:hAnsiTheme="minorEastAsia" w:eastAsiaTheme="minorEastAsia" w:cstheme="minorEastAsia"/>
          <w:color w:val="auto"/>
        </w:rPr>
      </w:pPr>
    </w:p>
    <w:p w14:paraId="1B862F30">
      <w:pPr>
        <w:spacing w:line="360" w:lineRule="auto"/>
        <w:ind w:firstLine="424" w:firstLineChars="202"/>
        <w:rPr>
          <w:rFonts w:hint="eastAsia" w:asciiTheme="minorEastAsia" w:hAnsiTheme="minorEastAsia" w:eastAsiaTheme="minorEastAsia" w:cstheme="minorEastAsia"/>
          <w:color w:val="auto"/>
        </w:rPr>
      </w:pPr>
    </w:p>
    <w:p w14:paraId="05CCF24C">
      <w:pPr>
        <w:spacing w:line="360" w:lineRule="auto"/>
        <w:ind w:firstLine="424" w:firstLineChars="202"/>
        <w:rPr>
          <w:rFonts w:hint="eastAsia" w:asciiTheme="minorEastAsia" w:hAnsiTheme="minorEastAsia" w:eastAsiaTheme="minorEastAsia" w:cstheme="minorEastAsia"/>
          <w:color w:val="auto"/>
        </w:rPr>
      </w:pPr>
    </w:p>
    <w:p w14:paraId="22780762">
      <w:pPr>
        <w:spacing w:line="360" w:lineRule="auto"/>
        <w:ind w:firstLine="424" w:firstLineChars="202"/>
        <w:rPr>
          <w:rFonts w:hint="eastAsia" w:asciiTheme="minorEastAsia" w:hAnsiTheme="minorEastAsia" w:eastAsiaTheme="minorEastAsia" w:cstheme="minorEastAsia"/>
          <w:color w:val="auto"/>
        </w:rPr>
      </w:pPr>
    </w:p>
    <w:p w14:paraId="71BFEFCC">
      <w:pPr>
        <w:spacing w:line="360" w:lineRule="auto"/>
        <w:ind w:firstLine="424" w:firstLineChars="202"/>
        <w:rPr>
          <w:rFonts w:hint="eastAsia" w:asciiTheme="minorEastAsia" w:hAnsiTheme="minorEastAsia" w:eastAsiaTheme="minorEastAsia" w:cstheme="minorEastAsia"/>
          <w:color w:val="auto"/>
        </w:rPr>
      </w:pPr>
    </w:p>
    <w:p w14:paraId="6B5F63F6">
      <w:pPr>
        <w:spacing w:line="360" w:lineRule="auto"/>
        <w:ind w:firstLine="424" w:firstLineChars="202"/>
        <w:rPr>
          <w:rFonts w:hint="eastAsia" w:asciiTheme="minorEastAsia" w:hAnsiTheme="minorEastAsia" w:eastAsiaTheme="minorEastAsia" w:cstheme="minorEastAsia"/>
          <w:color w:val="auto"/>
        </w:rPr>
      </w:pPr>
    </w:p>
    <w:p w14:paraId="458AC223">
      <w:pPr>
        <w:rPr>
          <w:rStyle w:val="133"/>
          <w:rFonts w:hint="eastAsia" w:ascii="宋体" w:hAnsi="宋体" w:eastAsia="宋体" w:cs="宋体"/>
          <w:color w:val="auto"/>
        </w:rPr>
      </w:pPr>
      <w:bookmarkStart w:id="221" w:name="_Toc10592"/>
      <w:bookmarkStart w:id="222" w:name="_Toc8503"/>
      <w:r>
        <w:rPr>
          <w:rStyle w:val="133"/>
          <w:rFonts w:hint="eastAsia" w:ascii="宋体" w:hAnsi="宋体" w:eastAsia="宋体" w:cs="宋体"/>
          <w:color w:val="auto"/>
        </w:rPr>
        <w:br w:type="page"/>
      </w:r>
    </w:p>
    <w:p w14:paraId="77469699">
      <w:pPr>
        <w:spacing w:line="360" w:lineRule="auto"/>
        <w:jc w:val="center"/>
        <w:outlineLvl w:val="2"/>
        <w:rPr>
          <w:rFonts w:hint="eastAsia" w:ascii="宋体" w:hAnsi="宋体" w:eastAsia="宋体" w:cs="宋体"/>
          <w:b/>
          <w:bCs/>
          <w:color w:val="auto"/>
          <w:sz w:val="24"/>
          <w:szCs w:val="21"/>
        </w:rPr>
      </w:pPr>
      <w:bookmarkStart w:id="223" w:name="_Toc32130"/>
      <w:bookmarkStart w:id="224" w:name="_Toc8405"/>
      <w:bookmarkStart w:id="225" w:name="_Toc15356"/>
      <w:bookmarkStart w:id="226" w:name="_Toc10074"/>
      <w:bookmarkStart w:id="227" w:name="_Toc20017"/>
      <w:r>
        <w:rPr>
          <w:rStyle w:val="133"/>
          <w:rFonts w:hint="eastAsia" w:ascii="宋体" w:hAnsi="宋体" w:eastAsia="宋体" w:cs="宋体"/>
          <w:color w:val="auto"/>
          <w:sz w:val="28"/>
          <w:szCs w:val="28"/>
        </w:rPr>
        <w:t>（三）</w:t>
      </w:r>
      <w:r>
        <w:rPr>
          <w:rStyle w:val="133"/>
          <w:rFonts w:hint="eastAsia" w:ascii="宋体" w:hAnsi="宋体" w:eastAsia="宋体" w:cs="宋体"/>
          <w:color w:val="auto"/>
          <w:sz w:val="28"/>
          <w:szCs w:val="28"/>
          <w:lang w:eastAsia="zh-CN"/>
        </w:rPr>
        <w:t>供应商</w:t>
      </w:r>
      <w:r>
        <w:rPr>
          <w:rStyle w:val="133"/>
          <w:rFonts w:hint="eastAsia" w:ascii="宋体" w:hAnsi="宋体" w:eastAsia="宋体" w:cs="宋体"/>
          <w:color w:val="auto"/>
          <w:sz w:val="28"/>
          <w:szCs w:val="28"/>
        </w:rPr>
        <w:t>承诺书</w:t>
      </w:r>
      <w:bookmarkEnd w:id="223"/>
      <w:bookmarkEnd w:id="224"/>
      <w:bookmarkEnd w:id="225"/>
      <w:bookmarkEnd w:id="226"/>
      <w:bookmarkEnd w:id="227"/>
    </w:p>
    <w:p w14:paraId="6A0C5C4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本企业参与</w:t>
      </w:r>
      <w:r>
        <w:rPr>
          <w:rFonts w:hint="eastAsia" w:ascii="宋体" w:hAnsi="宋体" w:eastAsia="宋体" w:cs="宋体"/>
          <w:color w:val="auto"/>
          <w:sz w:val="24"/>
          <w:u w:val="single"/>
        </w:rPr>
        <w:t>（采购项目名称）</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）项目的投标，现作如下承诺：</w:t>
      </w:r>
    </w:p>
    <w:p w14:paraId="773CCA7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1.我公司参与此次投标活动所提交的所有资料都是合法、真实、有效的。</w:t>
      </w:r>
    </w:p>
    <w:p w14:paraId="722FF35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2.不与其他</w:t>
      </w:r>
      <w:r>
        <w:rPr>
          <w:rFonts w:hint="eastAsia" w:ascii="宋体" w:hAnsi="宋体" w:eastAsia="宋体" w:cs="宋体"/>
          <w:color w:val="auto"/>
          <w:sz w:val="24"/>
          <w:lang w:eastAsia="zh-CN"/>
        </w:rPr>
        <w:t>供应商</w:t>
      </w:r>
      <w:r>
        <w:rPr>
          <w:rFonts w:hint="eastAsia" w:ascii="宋体" w:hAnsi="宋体" w:eastAsia="宋体" w:cs="宋体"/>
          <w:color w:val="auto"/>
          <w:sz w:val="24"/>
        </w:rPr>
        <w:t>串通投标、围标，依法、依规公平竞争，不损害采购人或其他</w:t>
      </w:r>
      <w:r>
        <w:rPr>
          <w:rFonts w:hint="eastAsia" w:ascii="宋体" w:hAnsi="宋体" w:eastAsia="宋体" w:cs="宋体"/>
          <w:color w:val="auto"/>
          <w:sz w:val="24"/>
          <w:lang w:eastAsia="zh-CN"/>
        </w:rPr>
        <w:t>供应商</w:t>
      </w:r>
      <w:r>
        <w:rPr>
          <w:rFonts w:hint="eastAsia" w:ascii="宋体" w:hAnsi="宋体" w:eastAsia="宋体" w:cs="宋体"/>
          <w:color w:val="auto"/>
          <w:sz w:val="24"/>
        </w:rPr>
        <w:t>的合法权益。</w:t>
      </w:r>
    </w:p>
    <w:p w14:paraId="349684B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3.不转让、出租、出借资质证书、人员岗位证书，不以法律、法规禁止的方式投标。</w:t>
      </w:r>
    </w:p>
    <w:p w14:paraId="0D6DC73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4.不与采购人或采购代理机构串通投标，不损害国家利益、社会公共利益或其他当事人的合法权益。</w:t>
      </w:r>
    </w:p>
    <w:p w14:paraId="4780F41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5.不向采购人、评标委员会成员、监督人员行贿。</w:t>
      </w:r>
    </w:p>
    <w:p w14:paraId="3921893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6.不扰乱公共资源交易活动正常秩序。</w:t>
      </w:r>
    </w:p>
    <w:p w14:paraId="569937C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7.不进行虚假恶意投诉。</w:t>
      </w:r>
    </w:p>
    <w:p w14:paraId="4EFCB2D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8.因违反法律、法规或相关规定被查处的，不干预案件查处。</w:t>
      </w:r>
    </w:p>
    <w:p w14:paraId="4F66BAA0">
      <w:pPr>
        <w:keepNext w:val="0"/>
        <w:keepLines w:val="0"/>
        <w:pageBreakBefore w:val="0"/>
        <w:widowControl w:val="0"/>
        <w:kinsoku/>
        <w:wordWrap/>
        <w:overflowPunct/>
        <w:topLinePunct w:val="0"/>
        <w:autoSpaceDE/>
        <w:autoSpaceDN/>
        <w:bidi w:val="0"/>
        <w:adjustRightInd/>
        <w:snapToGrid/>
        <w:spacing w:before="100" w:after="10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如出现违法、违规或不良行为，甘愿接受公共资源交易监督管理部门、纪检监察机关或司法机关调查处理。违法、违规或不良行为事实成立的，本</w:t>
      </w:r>
      <w:r>
        <w:rPr>
          <w:rFonts w:hint="eastAsia" w:ascii="宋体" w:hAnsi="宋体" w:eastAsia="宋体" w:cs="宋体"/>
          <w:color w:val="auto"/>
          <w:sz w:val="24"/>
          <w:lang w:eastAsia="zh-CN"/>
        </w:rPr>
        <w:t>供应商</w:t>
      </w:r>
      <w:r>
        <w:rPr>
          <w:rFonts w:hint="eastAsia" w:ascii="宋体" w:hAnsi="宋体" w:eastAsia="宋体" w:cs="宋体"/>
          <w:color w:val="auto"/>
          <w:sz w:val="24"/>
        </w:rPr>
        <w:t>承担相关责任。给采购人造成损失的，依法承担赔偿责任。</w:t>
      </w:r>
    </w:p>
    <w:p w14:paraId="33126D02">
      <w:pPr>
        <w:spacing w:before="100" w:after="100" w:line="360" w:lineRule="auto"/>
        <w:rPr>
          <w:rFonts w:hint="eastAsia" w:asciiTheme="minorEastAsia" w:hAnsiTheme="minorEastAsia" w:eastAsiaTheme="minorEastAsia" w:cstheme="minorEastAsia"/>
          <w:color w:val="auto"/>
          <w:sz w:val="24"/>
        </w:rPr>
      </w:pPr>
    </w:p>
    <w:p w14:paraId="64ECBA3E">
      <w:pPr>
        <w:spacing w:line="480" w:lineRule="auto"/>
        <w:ind w:firstLine="480" w:firstLineChars="200"/>
        <w:rPr>
          <w:rFonts w:hint="eastAsia" w:ascii="宋体" w:hAnsi="宋体"/>
          <w:bCs/>
          <w:color w:val="auto"/>
          <w:sz w:val="24"/>
          <w:u w:val="single"/>
        </w:rPr>
      </w:pPr>
      <w:r>
        <w:rPr>
          <w:rFonts w:hint="eastAsia" w:ascii="宋体" w:hAnsi="宋体"/>
          <w:bCs/>
          <w:color w:val="auto"/>
          <w:sz w:val="24"/>
          <w:lang w:eastAsia="zh-CN"/>
        </w:rPr>
        <w:t>供应商</w:t>
      </w:r>
      <w:r>
        <w:rPr>
          <w:rFonts w:hint="eastAsia" w:ascii="宋体" w:hAnsi="宋体"/>
          <w:bCs/>
          <w:color w:val="auto"/>
          <w:sz w:val="24"/>
        </w:rPr>
        <w:t>：</w:t>
      </w:r>
      <w:r>
        <w:rPr>
          <w:rFonts w:hint="eastAsia" w:ascii="宋体" w:hAnsi="宋体"/>
          <w:bCs/>
          <w:color w:val="auto"/>
          <w:sz w:val="24"/>
          <w:u w:val="single"/>
        </w:rPr>
        <w:t xml:space="preserve">                             </w:t>
      </w:r>
      <w:r>
        <w:rPr>
          <w:rFonts w:hint="eastAsia" w:ascii="宋体" w:hAnsi="宋体"/>
          <w:bCs/>
          <w:color w:val="auto"/>
          <w:sz w:val="24"/>
        </w:rPr>
        <w:t xml:space="preserve">(电子签章) </w:t>
      </w:r>
    </w:p>
    <w:p w14:paraId="68B1D887">
      <w:pPr>
        <w:spacing w:line="480" w:lineRule="auto"/>
        <w:ind w:firstLine="480" w:firstLineChars="200"/>
        <w:rPr>
          <w:rFonts w:hint="eastAsia" w:ascii="宋体" w:hAnsi="宋体"/>
          <w:bCs/>
          <w:color w:val="auto"/>
          <w:sz w:val="24"/>
        </w:rPr>
      </w:pPr>
      <w:r>
        <w:rPr>
          <w:rFonts w:hint="eastAsia" w:ascii="宋体" w:hAnsi="宋体"/>
          <w:bCs/>
          <w:color w:val="auto"/>
          <w:sz w:val="24"/>
        </w:rPr>
        <w:t>法定代表人或其委托代理人：</w:t>
      </w:r>
      <w:r>
        <w:rPr>
          <w:rFonts w:hint="eastAsia" w:ascii="宋体" w:hAnsi="宋体"/>
          <w:bCs/>
          <w:color w:val="auto"/>
          <w:sz w:val="24"/>
          <w:u w:val="single"/>
        </w:rPr>
        <w:t xml:space="preserve">          </w:t>
      </w:r>
      <w:r>
        <w:rPr>
          <w:rFonts w:hint="eastAsia" w:ascii="宋体" w:hAnsi="宋体"/>
          <w:bCs/>
          <w:color w:val="auto"/>
          <w:sz w:val="24"/>
        </w:rPr>
        <w:t xml:space="preserve">(电子签章或签名) </w:t>
      </w:r>
    </w:p>
    <w:p w14:paraId="09CCA47D">
      <w:pPr>
        <w:spacing w:line="480" w:lineRule="auto"/>
        <w:ind w:firstLine="480" w:firstLineChars="200"/>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0ACF030A">
      <w:pPr>
        <w:rPr>
          <w:rFonts w:hint="eastAsia" w:asciiTheme="minorEastAsia" w:hAnsiTheme="minorEastAsia" w:eastAsiaTheme="minorEastAsia" w:cstheme="minorEastAsia"/>
          <w:color w:val="auto"/>
          <w:szCs w:val="21"/>
        </w:rPr>
      </w:pPr>
    </w:p>
    <w:p w14:paraId="42B44FE1">
      <w:pPr>
        <w:rPr>
          <w:rStyle w:val="133"/>
          <w:rFonts w:hint="eastAsia" w:ascii="宋体" w:hAnsi="宋体" w:eastAsia="宋体" w:cs="宋体"/>
          <w:color w:val="auto"/>
        </w:rPr>
      </w:pPr>
      <w:r>
        <w:rPr>
          <w:rStyle w:val="133"/>
          <w:rFonts w:hint="eastAsia" w:ascii="宋体" w:hAnsi="宋体" w:eastAsia="宋体" w:cs="宋体"/>
          <w:color w:val="auto"/>
        </w:rPr>
        <w:br w:type="page"/>
      </w:r>
    </w:p>
    <w:p w14:paraId="1A693BE3">
      <w:pPr>
        <w:spacing w:line="440" w:lineRule="exact"/>
        <w:jc w:val="center"/>
        <w:outlineLvl w:val="1"/>
        <w:rPr>
          <w:rFonts w:hint="eastAsia" w:ascii="宋体" w:hAnsi="宋体"/>
          <w:b/>
          <w:color w:val="auto"/>
          <w:sz w:val="28"/>
          <w:szCs w:val="28"/>
        </w:rPr>
      </w:pPr>
      <w:bookmarkStart w:id="228" w:name="_Toc6091"/>
      <w:bookmarkStart w:id="229" w:name="_Toc15798"/>
      <w:r>
        <w:rPr>
          <w:rStyle w:val="133"/>
          <w:rFonts w:hint="eastAsia" w:ascii="宋体" w:hAnsi="宋体" w:eastAsia="宋体" w:cs="宋体"/>
          <w:color w:val="auto"/>
        </w:rPr>
        <w:t>四、响应文件技术部分格式</w:t>
      </w:r>
      <w:bookmarkEnd w:id="221"/>
      <w:bookmarkEnd w:id="222"/>
      <w:bookmarkEnd w:id="228"/>
      <w:bookmarkEnd w:id="229"/>
      <w:bookmarkStart w:id="230" w:name="_Toc205017035"/>
      <w:bookmarkStart w:id="231" w:name="_Toc204749340"/>
      <w:bookmarkStart w:id="232" w:name="_Toc350930014"/>
      <w:bookmarkStart w:id="233" w:name="_Toc272421895"/>
      <w:bookmarkStart w:id="234" w:name="_Toc350330514"/>
      <w:bookmarkStart w:id="235" w:name="_Toc351117898"/>
      <w:bookmarkStart w:id="236" w:name="_Toc350930229"/>
    </w:p>
    <w:bookmarkEnd w:id="230"/>
    <w:bookmarkEnd w:id="231"/>
    <w:bookmarkEnd w:id="232"/>
    <w:bookmarkEnd w:id="233"/>
    <w:bookmarkEnd w:id="234"/>
    <w:bookmarkEnd w:id="235"/>
    <w:bookmarkEnd w:id="236"/>
    <w:p w14:paraId="522B4270">
      <w:pPr>
        <w:pStyle w:val="4"/>
        <w:jc w:val="center"/>
        <w:rPr>
          <w:rFonts w:hint="eastAsia" w:asciiTheme="minorEastAsia" w:hAnsiTheme="minorEastAsia" w:eastAsiaTheme="minorEastAsia" w:cstheme="minorEastAsia"/>
          <w:color w:val="auto"/>
          <w:szCs w:val="28"/>
        </w:rPr>
      </w:pPr>
      <w:bookmarkStart w:id="237" w:name="_Toc497322844"/>
      <w:bookmarkStart w:id="238" w:name="_Toc7496"/>
      <w:bookmarkStart w:id="239" w:name="_Toc213141099"/>
      <w:bookmarkStart w:id="240" w:name="_Toc493600041"/>
      <w:bookmarkStart w:id="241" w:name="_Toc507412343"/>
      <w:bookmarkStart w:id="242" w:name="_Toc502175768"/>
      <w:bookmarkStart w:id="243" w:name="_Toc7201"/>
      <w:bookmarkStart w:id="244" w:name="_Toc17575"/>
      <w:bookmarkStart w:id="245" w:name="_Toc4776"/>
      <w:bookmarkStart w:id="246" w:name="_Toc15253"/>
      <w:r>
        <w:rPr>
          <w:rFonts w:hint="eastAsia" w:asciiTheme="minorEastAsia" w:hAnsiTheme="minorEastAsia" w:eastAsiaTheme="minorEastAsia" w:cstheme="minorEastAsia"/>
          <w:color w:val="auto"/>
          <w:szCs w:val="28"/>
        </w:rPr>
        <w:t>（一） 技术规格偏离表</w:t>
      </w:r>
      <w:bookmarkEnd w:id="237"/>
      <w:bookmarkEnd w:id="238"/>
      <w:bookmarkEnd w:id="239"/>
      <w:bookmarkEnd w:id="240"/>
      <w:bookmarkEnd w:id="241"/>
      <w:bookmarkEnd w:id="242"/>
      <w:bookmarkEnd w:id="243"/>
    </w:p>
    <w:p w14:paraId="60A0ADC2">
      <w:pPr>
        <w:spacing w:line="360" w:lineRule="auto"/>
        <w:rPr>
          <w:rFonts w:hint="eastAsia" w:ascii="宋体" w:hAnsi="宋体" w:cs="宋体"/>
          <w:color w:val="auto"/>
          <w:sz w:val="24"/>
        </w:rPr>
      </w:pPr>
      <w:r>
        <w:rPr>
          <w:rFonts w:hint="eastAsia" w:ascii="宋体" w:hAnsi="宋体" w:cs="宋体"/>
          <w:color w:val="auto"/>
          <w:sz w:val="24"/>
        </w:rPr>
        <w:t>请按投标产品的实际技术参数，逐条对应招标文件的“采购需求”中要求的技术参数认真填写该表。</w:t>
      </w:r>
    </w:p>
    <w:p w14:paraId="0F36DAF9">
      <w:pPr>
        <w:spacing w:line="360" w:lineRule="auto"/>
        <w:rPr>
          <w:rFonts w:hint="eastAsia" w:ascii="宋体" w:hAnsi="宋体" w:cs="宋体"/>
          <w:b/>
          <w:bCs/>
          <w:color w:val="auto"/>
          <w:sz w:val="24"/>
        </w:rPr>
      </w:pPr>
      <w:r>
        <w:rPr>
          <w:rFonts w:hint="eastAsia" w:ascii="宋体" w:hAnsi="宋体" w:cs="宋体"/>
          <w:b/>
          <w:bCs/>
          <w:color w:val="auto"/>
          <w:sz w:val="24"/>
        </w:rPr>
        <w:t>项目名称：</w:t>
      </w:r>
      <w:r>
        <w:rPr>
          <w:rFonts w:hint="eastAsia" w:ascii="宋体" w:hAnsi="宋体" w:cs="宋体"/>
          <w:b/>
          <w:bCs/>
          <w:color w:val="auto"/>
          <w:sz w:val="24"/>
          <w:u w:val="single"/>
        </w:rPr>
        <w:t xml:space="preserve">                     </w:t>
      </w:r>
      <w:r>
        <w:rPr>
          <w:rFonts w:hint="eastAsia" w:ascii="宋体" w:hAnsi="宋体" w:cs="宋体"/>
          <w:b/>
          <w:bCs/>
          <w:color w:val="auto"/>
          <w:sz w:val="24"/>
        </w:rPr>
        <w:t xml:space="preserve">   </w:t>
      </w:r>
    </w:p>
    <w:p w14:paraId="467B40B9">
      <w:pPr>
        <w:spacing w:line="360" w:lineRule="auto"/>
        <w:rPr>
          <w:rFonts w:hint="eastAsia" w:ascii="宋体" w:hAnsi="宋体" w:cs="宋体"/>
          <w:b/>
          <w:bCs/>
          <w:color w:val="auto"/>
          <w:sz w:val="24"/>
        </w:rPr>
      </w:pPr>
      <w:r>
        <w:rPr>
          <w:rFonts w:hint="eastAsia" w:ascii="宋体" w:hAnsi="宋体" w:cs="宋体"/>
          <w:b/>
          <w:bCs/>
          <w:color w:val="auto"/>
          <w:sz w:val="24"/>
        </w:rPr>
        <w:t>项目编号：</w:t>
      </w:r>
      <w:r>
        <w:rPr>
          <w:rFonts w:hint="eastAsia" w:ascii="宋体" w:hAnsi="宋体" w:cs="宋体"/>
          <w:b/>
          <w:bCs/>
          <w:color w:val="auto"/>
          <w:sz w:val="24"/>
          <w:u w:val="single"/>
        </w:rPr>
        <w:t xml:space="preserve">                      </w:t>
      </w:r>
      <w:r>
        <w:rPr>
          <w:rFonts w:hint="eastAsia" w:ascii="宋体" w:hAnsi="宋体" w:cs="宋体"/>
          <w:b/>
          <w:bCs/>
          <w:color w:val="auto"/>
          <w:sz w:val="24"/>
        </w:rPr>
        <w:t xml:space="preserve">             </w:t>
      </w:r>
    </w:p>
    <w:tbl>
      <w:tblPr>
        <w:tblStyle w:val="41"/>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283"/>
        <w:gridCol w:w="2967"/>
        <w:gridCol w:w="866"/>
        <w:gridCol w:w="2317"/>
      </w:tblGrid>
      <w:tr w14:paraId="7DC1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46" w:type="dxa"/>
            <w:vAlign w:val="center"/>
          </w:tcPr>
          <w:p w14:paraId="016ED0E1">
            <w:pPr>
              <w:jc w:val="center"/>
              <w:rPr>
                <w:rFonts w:hint="eastAsia" w:ascii="宋体" w:hAnsi="宋体" w:cs="宋体"/>
                <w:b/>
                <w:color w:val="auto"/>
                <w:sz w:val="24"/>
              </w:rPr>
            </w:pPr>
            <w:r>
              <w:rPr>
                <w:rFonts w:hint="eastAsia" w:ascii="宋体" w:hAnsi="宋体" w:cs="宋体"/>
                <w:b/>
                <w:color w:val="auto"/>
                <w:kern w:val="0"/>
                <w:sz w:val="24"/>
              </w:rPr>
              <w:t>名称</w:t>
            </w:r>
          </w:p>
        </w:tc>
        <w:tc>
          <w:tcPr>
            <w:tcW w:w="2283" w:type="dxa"/>
            <w:vAlign w:val="center"/>
          </w:tcPr>
          <w:p w14:paraId="134FE8C9">
            <w:pPr>
              <w:jc w:val="center"/>
              <w:rPr>
                <w:rFonts w:hint="eastAsia" w:ascii="宋体" w:hAnsi="宋体" w:cs="宋体"/>
                <w:b/>
                <w:color w:val="auto"/>
                <w:sz w:val="24"/>
              </w:rPr>
            </w:pPr>
            <w:r>
              <w:rPr>
                <w:rFonts w:hint="eastAsia" w:ascii="宋体" w:hAnsi="宋体" w:cs="宋体"/>
                <w:b/>
                <w:color w:val="auto"/>
                <w:sz w:val="24"/>
              </w:rPr>
              <w:t>招标文件技术需求</w:t>
            </w:r>
          </w:p>
        </w:tc>
        <w:tc>
          <w:tcPr>
            <w:tcW w:w="2967" w:type="dxa"/>
            <w:vAlign w:val="center"/>
          </w:tcPr>
          <w:p w14:paraId="7BA21E77">
            <w:pPr>
              <w:jc w:val="center"/>
              <w:rPr>
                <w:rFonts w:hint="eastAsia" w:ascii="宋体" w:hAnsi="宋体" w:cs="宋体"/>
                <w:b/>
                <w:color w:val="auto"/>
                <w:sz w:val="24"/>
              </w:rPr>
            </w:pPr>
            <w:r>
              <w:rPr>
                <w:rFonts w:hint="eastAsia" w:ascii="宋体" w:hAnsi="宋体" w:cs="宋体"/>
                <w:b/>
                <w:color w:val="auto"/>
                <w:sz w:val="24"/>
              </w:rPr>
              <w:t>技术参数（指标）偏离值对比及说明（与招标文件采购需求逐条对照）参数</w:t>
            </w:r>
          </w:p>
        </w:tc>
        <w:tc>
          <w:tcPr>
            <w:tcW w:w="866" w:type="dxa"/>
            <w:vAlign w:val="center"/>
          </w:tcPr>
          <w:p w14:paraId="1577B075">
            <w:pPr>
              <w:jc w:val="center"/>
              <w:rPr>
                <w:rFonts w:hint="eastAsia" w:ascii="宋体" w:hAnsi="宋体" w:cs="宋体"/>
                <w:b/>
                <w:color w:val="auto"/>
                <w:sz w:val="24"/>
              </w:rPr>
            </w:pPr>
            <w:r>
              <w:rPr>
                <w:rFonts w:hint="eastAsia" w:ascii="宋体" w:hAnsi="宋体" w:cs="宋体"/>
                <w:b/>
                <w:color w:val="auto"/>
                <w:sz w:val="24"/>
              </w:rPr>
              <w:t>偏离</w:t>
            </w:r>
          </w:p>
        </w:tc>
        <w:tc>
          <w:tcPr>
            <w:tcW w:w="2317" w:type="dxa"/>
            <w:vAlign w:val="center"/>
          </w:tcPr>
          <w:p w14:paraId="2BB9460E">
            <w:pPr>
              <w:jc w:val="center"/>
              <w:rPr>
                <w:rFonts w:hint="eastAsia" w:ascii="宋体" w:hAnsi="宋体" w:cs="宋体"/>
                <w:b/>
                <w:color w:val="auto"/>
                <w:sz w:val="24"/>
              </w:rPr>
            </w:pPr>
            <w:r>
              <w:rPr>
                <w:rFonts w:hint="eastAsia" w:ascii="宋体" w:hAnsi="宋体" w:cs="宋体"/>
                <w:b/>
                <w:color w:val="auto"/>
                <w:sz w:val="24"/>
              </w:rPr>
              <w:t>技术支持资料索引（页码或条目号等）</w:t>
            </w:r>
          </w:p>
        </w:tc>
      </w:tr>
      <w:tr w14:paraId="586F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46" w:type="dxa"/>
          </w:tcPr>
          <w:p w14:paraId="7EAD55E5">
            <w:pPr>
              <w:rPr>
                <w:rFonts w:hint="eastAsia" w:ascii="宋体" w:hAnsi="宋体" w:cs="宋体"/>
                <w:color w:val="auto"/>
                <w:sz w:val="24"/>
              </w:rPr>
            </w:pPr>
          </w:p>
        </w:tc>
        <w:tc>
          <w:tcPr>
            <w:tcW w:w="2283" w:type="dxa"/>
          </w:tcPr>
          <w:p w14:paraId="5AC53624">
            <w:pPr>
              <w:rPr>
                <w:rFonts w:hint="eastAsia" w:ascii="宋体" w:hAnsi="宋体" w:cs="宋体"/>
                <w:color w:val="auto"/>
                <w:sz w:val="24"/>
              </w:rPr>
            </w:pPr>
          </w:p>
        </w:tc>
        <w:tc>
          <w:tcPr>
            <w:tcW w:w="2967" w:type="dxa"/>
          </w:tcPr>
          <w:p w14:paraId="5ABAD7F8">
            <w:pPr>
              <w:rPr>
                <w:rFonts w:hint="eastAsia" w:ascii="宋体" w:hAnsi="宋体" w:cs="宋体"/>
                <w:color w:val="auto"/>
                <w:sz w:val="24"/>
              </w:rPr>
            </w:pPr>
          </w:p>
        </w:tc>
        <w:tc>
          <w:tcPr>
            <w:tcW w:w="866" w:type="dxa"/>
          </w:tcPr>
          <w:p w14:paraId="4CFC3D94">
            <w:pPr>
              <w:rPr>
                <w:rFonts w:hint="eastAsia" w:ascii="宋体" w:hAnsi="宋体" w:cs="宋体"/>
                <w:color w:val="auto"/>
                <w:sz w:val="24"/>
              </w:rPr>
            </w:pPr>
          </w:p>
        </w:tc>
        <w:tc>
          <w:tcPr>
            <w:tcW w:w="2317" w:type="dxa"/>
            <w:vAlign w:val="center"/>
          </w:tcPr>
          <w:p w14:paraId="03D3339B">
            <w:pPr>
              <w:rPr>
                <w:rFonts w:hint="eastAsia" w:ascii="宋体" w:hAnsi="宋体" w:cs="宋体"/>
                <w:color w:val="auto"/>
                <w:sz w:val="24"/>
              </w:rPr>
            </w:pPr>
          </w:p>
        </w:tc>
      </w:tr>
      <w:tr w14:paraId="313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246" w:type="dxa"/>
          </w:tcPr>
          <w:p w14:paraId="472DB133">
            <w:pPr>
              <w:rPr>
                <w:rFonts w:hint="eastAsia" w:ascii="宋体" w:hAnsi="宋体" w:cs="宋体"/>
                <w:color w:val="auto"/>
                <w:sz w:val="24"/>
              </w:rPr>
            </w:pPr>
          </w:p>
        </w:tc>
        <w:tc>
          <w:tcPr>
            <w:tcW w:w="2283" w:type="dxa"/>
          </w:tcPr>
          <w:p w14:paraId="3EF3CEBD">
            <w:pPr>
              <w:rPr>
                <w:rFonts w:hint="eastAsia" w:ascii="宋体" w:hAnsi="宋体" w:cs="宋体"/>
                <w:color w:val="auto"/>
                <w:sz w:val="24"/>
              </w:rPr>
            </w:pPr>
          </w:p>
        </w:tc>
        <w:tc>
          <w:tcPr>
            <w:tcW w:w="2967" w:type="dxa"/>
          </w:tcPr>
          <w:p w14:paraId="2A4F0101">
            <w:pPr>
              <w:rPr>
                <w:rFonts w:hint="eastAsia" w:ascii="宋体" w:hAnsi="宋体" w:cs="宋体"/>
                <w:color w:val="auto"/>
                <w:sz w:val="24"/>
              </w:rPr>
            </w:pPr>
          </w:p>
        </w:tc>
        <w:tc>
          <w:tcPr>
            <w:tcW w:w="866" w:type="dxa"/>
          </w:tcPr>
          <w:p w14:paraId="33E63CC2">
            <w:pPr>
              <w:rPr>
                <w:rFonts w:hint="eastAsia" w:ascii="宋体" w:hAnsi="宋体" w:cs="宋体"/>
                <w:color w:val="auto"/>
                <w:sz w:val="24"/>
              </w:rPr>
            </w:pPr>
          </w:p>
        </w:tc>
        <w:tc>
          <w:tcPr>
            <w:tcW w:w="2317" w:type="dxa"/>
            <w:vAlign w:val="center"/>
          </w:tcPr>
          <w:p w14:paraId="22B5BD90">
            <w:pPr>
              <w:rPr>
                <w:rFonts w:hint="eastAsia" w:ascii="宋体" w:hAnsi="宋体" w:cs="宋体"/>
                <w:color w:val="auto"/>
                <w:sz w:val="24"/>
              </w:rPr>
            </w:pPr>
          </w:p>
        </w:tc>
      </w:tr>
      <w:tr w14:paraId="07C1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246" w:type="dxa"/>
          </w:tcPr>
          <w:p w14:paraId="004605D2">
            <w:pPr>
              <w:rPr>
                <w:rFonts w:hint="eastAsia" w:ascii="宋体" w:hAnsi="宋体" w:cs="宋体"/>
                <w:color w:val="auto"/>
                <w:sz w:val="24"/>
              </w:rPr>
            </w:pPr>
          </w:p>
        </w:tc>
        <w:tc>
          <w:tcPr>
            <w:tcW w:w="2283" w:type="dxa"/>
          </w:tcPr>
          <w:p w14:paraId="195A0B61">
            <w:pPr>
              <w:rPr>
                <w:rFonts w:hint="eastAsia" w:ascii="宋体" w:hAnsi="宋体" w:cs="宋体"/>
                <w:color w:val="auto"/>
                <w:sz w:val="24"/>
              </w:rPr>
            </w:pPr>
          </w:p>
        </w:tc>
        <w:tc>
          <w:tcPr>
            <w:tcW w:w="2967" w:type="dxa"/>
          </w:tcPr>
          <w:p w14:paraId="2E7343A9">
            <w:pPr>
              <w:rPr>
                <w:rFonts w:hint="eastAsia" w:ascii="宋体" w:hAnsi="宋体" w:cs="宋体"/>
                <w:color w:val="auto"/>
                <w:sz w:val="24"/>
              </w:rPr>
            </w:pPr>
          </w:p>
        </w:tc>
        <w:tc>
          <w:tcPr>
            <w:tcW w:w="866" w:type="dxa"/>
          </w:tcPr>
          <w:p w14:paraId="16F76DD0">
            <w:pPr>
              <w:rPr>
                <w:rFonts w:hint="eastAsia" w:ascii="宋体" w:hAnsi="宋体" w:cs="宋体"/>
                <w:color w:val="auto"/>
                <w:sz w:val="24"/>
              </w:rPr>
            </w:pPr>
          </w:p>
        </w:tc>
        <w:tc>
          <w:tcPr>
            <w:tcW w:w="2317" w:type="dxa"/>
            <w:vAlign w:val="center"/>
          </w:tcPr>
          <w:p w14:paraId="2D3C9231">
            <w:pPr>
              <w:rPr>
                <w:rFonts w:hint="eastAsia" w:ascii="宋体" w:hAnsi="宋体" w:cs="宋体"/>
                <w:color w:val="auto"/>
                <w:sz w:val="24"/>
              </w:rPr>
            </w:pPr>
          </w:p>
        </w:tc>
      </w:tr>
      <w:tr w14:paraId="2C4F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246" w:type="dxa"/>
          </w:tcPr>
          <w:p w14:paraId="16628A92">
            <w:pPr>
              <w:rPr>
                <w:rFonts w:hint="eastAsia" w:ascii="宋体" w:hAnsi="宋体" w:cs="宋体"/>
                <w:color w:val="auto"/>
                <w:sz w:val="24"/>
              </w:rPr>
            </w:pPr>
          </w:p>
        </w:tc>
        <w:tc>
          <w:tcPr>
            <w:tcW w:w="2283" w:type="dxa"/>
          </w:tcPr>
          <w:p w14:paraId="5D6ABA8F">
            <w:pPr>
              <w:rPr>
                <w:rFonts w:hint="eastAsia" w:ascii="宋体" w:hAnsi="宋体" w:cs="宋体"/>
                <w:color w:val="auto"/>
                <w:sz w:val="24"/>
              </w:rPr>
            </w:pPr>
          </w:p>
        </w:tc>
        <w:tc>
          <w:tcPr>
            <w:tcW w:w="2967" w:type="dxa"/>
          </w:tcPr>
          <w:p w14:paraId="6283F0A4">
            <w:pPr>
              <w:rPr>
                <w:rFonts w:hint="eastAsia" w:ascii="宋体" w:hAnsi="宋体" w:cs="宋体"/>
                <w:color w:val="auto"/>
                <w:sz w:val="24"/>
              </w:rPr>
            </w:pPr>
          </w:p>
        </w:tc>
        <w:tc>
          <w:tcPr>
            <w:tcW w:w="866" w:type="dxa"/>
          </w:tcPr>
          <w:p w14:paraId="7AB3A49B">
            <w:pPr>
              <w:rPr>
                <w:rFonts w:hint="eastAsia" w:ascii="宋体" w:hAnsi="宋体" w:cs="宋体"/>
                <w:color w:val="auto"/>
                <w:sz w:val="24"/>
              </w:rPr>
            </w:pPr>
          </w:p>
        </w:tc>
        <w:tc>
          <w:tcPr>
            <w:tcW w:w="2317" w:type="dxa"/>
            <w:vAlign w:val="center"/>
          </w:tcPr>
          <w:p w14:paraId="58BED720">
            <w:pPr>
              <w:rPr>
                <w:rFonts w:hint="eastAsia" w:ascii="宋体" w:hAnsi="宋体" w:cs="宋体"/>
                <w:color w:val="auto"/>
                <w:sz w:val="24"/>
              </w:rPr>
            </w:pPr>
          </w:p>
        </w:tc>
      </w:tr>
      <w:tr w14:paraId="6E05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246" w:type="dxa"/>
          </w:tcPr>
          <w:p w14:paraId="0E7FB9E6">
            <w:pPr>
              <w:rPr>
                <w:rFonts w:hint="eastAsia" w:ascii="宋体" w:hAnsi="宋体" w:cs="宋体"/>
                <w:color w:val="auto"/>
                <w:sz w:val="24"/>
              </w:rPr>
            </w:pPr>
          </w:p>
        </w:tc>
        <w:tc>
          <w:tcPr>
            <w:tcW w:w="2283" w:type="dxa"/>
          </w:tcPr>
          <w:p w14:paraId="550B7742">
            <w:pPr>
              <w:rPr>
                <w:rFonts w:hint="eastAsia" w:ascii="宋体" w:hAnsi="宋体" w:cs="宋体"/>
                <w:color w:val="auto"/>
                <w:sz w:val="24"/>
              </w:rPr>
            </w:pPr>
          </w:p>
        </w:tc>
        <w:tc>
          <w:tcPr>
            <w:tcW w:w="2967" w:type="dxa"/>
          </w:tcPr>
          <w:p w14:paraId="33EAFC7D">
            <w:pPr>
              <w:rPr>
                <w:rFonts w:hint="eastAsia" w:ascii="宋体" w:hAnsi="宋体" w:cs="宋体"/>
                <w:color w:val="auto"/>
                <w:sz w:val="24"/>
              </w:rPr>
            </w:pPr>
          </w:p>
        </w:tc>
        <w:tc>
          <w:tcPr>
            <w:tcW w:w="866" w:type="dxa"/>
          </w:tcPr>
          <w:p w14:paraId="58E51542">
            <w:pPr>
              <w:rPr>
                <w:rFonts w:hint="eastAsia" w:ascii="宋体" w:hAnsi="宋体" w:cs="宋体"/>
                <w:color w:val="auto"/>
                <w:sz w:val="24"/>
              </w:rPr>
            </w:pPr>
          </w:p>
        </w:tc>
        <w:tc>
          <w:tcPr>
            <w:tcW w:w="2317" w:type="dxa"/>
            <w:vAlign w:val="center"/>
          </w:tcPr>
          <w:p w14:paraId="676D7A9D">
            <w:pPr>
              <w:rPr>
                <w:rFonts w:hint="eastAsia" w:ascii="宋体" w:hAnsi="宋体" w:cs="宋体"/>
                <w:color w:val="auto"/>
                <w:sz w:val="24"/>
              </w:rPr>
            </w:pPr>
          </w:p>
        </w:tc>
      </w:tr>
      <w:tr w14:paraId="42AF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6" w:type="dxa"/>
          </w:tcPr>
          <w:p w14:paraId="6CAEC168">
            <w:pPr>
              <w:rPr>
                <w:rFonts w:hint="eastAsia" w:ascii="宋体" w:hAnsi="宋体" w:cs="宋体"/>
                <w:color w:val="auto"/>
                <w:sz w:val="24"/>
              </w:rPr>
            </w:pPr>
            <w:r>
              <w:rPr>
                <w:rFonts w:hint="eastAsia" w:ascii="宋体" w:hAnsi="宋体" w:cs="宋体"/>
                <w:color w:val="auto"/>
                <w:sz w:val="24"/>
              </w:rPr>
              <w:t>.......</w:t>
            </w:r>
          </w:p>
        </w:tc>
        <w:tc>
          <w:tcPr>
            <w:tcW w:w="2283" w:type="dxa"/>
          </w:tcPr>
          <w:p w14:paraId="073E98EA">
            <w:pPr>
              <w:rPr>
                <w:rFonts w:hint="eastAsia" w:ascii="宋体" w:hAnsi="宋体" w:cs="宋体"/>
                <w:color w:val="auto"/>
                <w:sz w:val="24"/>
              </w:rPr>
            </w:pPr>
          </w:p>
        </w:tc>
        <w:tc>
          <w:tcPr>
            <w:tcW w:w="2967" w:type="dxa"/>
          </w:tcPr>
          <w:p w14:paraId="077CEC4E">
            <w:pPr>
              <w:rPr>
                <w:rFonts w:hint="eastAsia" w:ascii="宋体" w:hAnsi="宋体" w:cs="宋体"/>
                <w:color w:val="auto"/>
                <w:sz w:val="24"/>
              </w:rPr>
            </w:pPr>
          </w:p>
        </w:tc>
        <w:tc>
          <w:tcPr>
            <w:tcW w:w="866" w:type="dxa"/>
          </w:tcPr>
          <w:p w14:paraId="5E820EA7">
            <w:pPr>
              <w:rPr>
                <w:rFonts w:hint="eastAsia" w:ascii="宋体" w:hAnsi="宋体" w:cs="宋体"/>
                <w:color w:val="auto"/>
                <w:sz w:val="24"/>
              </w:rPr>
            </w:pPr>
          </w:p>
        </w:tc>
        <w:tc>
          <w:tcPr>
            <w:tcW w:w="2317" w:type="dxa"/>
            <w:vAlign w:val="center"/>
          </w:tcPr>
          <w:p w14:paraId="3E78FDDA">
            <w:pPr>
              <w:rPr>
                <w:rFonts w:hint="eastAsia" w:ascii="宋体" w:hAnsi="宋体" w:cs="宋体"/>
                <w:color w:val="auto"/>
                <w:sz w:val="24"/>
              </w:rPr>
            </w:pPr>
          </w:p>
        </w:tc>
      </w:tr>
    </w:tbl>
    <w:p w14:paraId="5CBE9C3A">
      <w:pPr>
        <w:spacing w:line="360" w:lineRule="auto"/>
        <w:rPr>
          <w:rFonts w:hint="eastAsia" w:ascii="宋体" w:hAnsi="宋体" w:cs="宋体"/>
          <w:color w:val="auto"/>
          <w:sz w:val="24"/>
        </w:rPr>
      </w:pPr>
      <w:r>
        <w:rPr>
          <w:rFonts w:hint="eastAsia" w:ascii="宋体" w:hAnsi="宋体" w:cs="宋体"/>
          <w:color w:val="auto"/>
          <w:sz w:val="24"/>
        </w:rPr>
        <w:t>注：1、表格中“偏离”一列，</w:t>
      </w:r>
      <w:r>
        <w:rPr>
          <w:rFonts w:hint="eastAsia" w:ascii="宋体" w:hAnsi="宋体" w:cs="宋体"/>
          <w:color w:val="auto"/>
          <w:sz w:val="24"/>
          <w:lang w:eastAsia="zh-CN"/>
        </w:rPr>
        <w:t>供应商</w:t>
      </w:r>
      <w:r>
        <w:rPr>
          <w:rFonts w:hint="eastAsia" w:ascii="宋体" w:hAnsi="宋体" w:cs="宋体"/>
          <w:color w:val="auto"/>
          <w:sz w:val="24"/>
        </w:rPr>
        <w:t>只能如实填写“正偏离”、“负偏离”或“无偏离”。凡优于招标文件要求的，按“正偏离”填写；低于招标文件要求的，按“负偏离”填写；满足招标文件要求的，按“无偏离”填写。并在“技术参数（指标）偏离值对比及说明（与招标文件采购需求逐条对照）参数”一列中写明技术参数，本表按参数指标章节内容顺序扩张。</w:t>
      </w:r>
    </w:p>
    <w:p w14:paraId="177C5003">
      <w:pPr>
        <w:spacing w:line="360" w:lineRule="auto"/>
        <w:rPr>
          <w:rFonts w:hint="eastAsia" w:ascii="宋体" w:hAnsi="宋体" w:cs="宋体"/>
          <w:color w:val="auto"/>
          <w:sz w:val="24"/>
        </w:rPr>
      </w:pPr>
      <w:r>
        <w:rPr>
          <w:rFonts w:hint="eastAsia" w:ascii="宋体" w:hAnsi="宋体" w:cs="宋体"/>
          <w:color w:val="auto"/>
          <w:sz w:val="24"/>
        </w:rPr>
        <w:t>2、序号应对应该产品在第五章《采购需求》主要技术参数要求中的序号。</w:t>
      </w:r>
    </w:p>
    <w:p w14:paraId="17164EFF">
      <w:pPr>
        <w:spacing w:line="360" w:lineRule="auto"/>
        <w:rPr>
          <w:rFonts w:hint="eastAsia" w:ascii="宋体" w:hAnsi="宋体" w:cs="宋体"/>
          <w:color w:val="auto"/>
          <w:sz w:val="24"/>
        </w:rPr>
      </w:pPr>
      <w:r>
        <w:rPr>
          <w:rFonts w:hint="eastAsia" w:ascii="宋体" w:hAnsi="宋体" w:cs="宋体"/>
          <w:color w:val="auto"/>
          <w:sz w:val="24"/>
        </w:rPr>
        <w:t>3、各</w:t>
      </w:r>
      <w:r>
        <w:rPr>
          <w:rFonts w:hint="eastAsia" w:ascii="宋体" w:hAnsi="宋体" w:cs="宋体"/>
          <w:color w:val="auto"/>
          <w:sz w:val="24"/>
          <w:lang w:eastAsia="zh-CN"/>
        </w:rPr>
        <w:t>供应商</w:t>
      </w:r>
      <w:r>
        <w:rPr>
          <w:rFonts w:hint="eastAsia" w:ascii="宋体" w:hAnsi="宋体" w:cs="宋体"/>
          <w:color w:val="auto"/>
          <w:sz w:val="24"/>
        </w:rPr>
        <w:t>必须对招标文件第五章《采购需求》中的技术参数要求作出全面、真实的反映，</w:t>
      </w:r>
      <w:r>
        <w:rPr>
          <w:rFonts w:hint="eastAsia" w:ascii="宋体" w:hAnsi="宋体" w:cs="宋体"/>
          <w:color w:val="auto"/>
          <w:sz w:val="24"/>
          <w:lang w:eastAsia="zh-CN"/>
        </w:rPr>
        <w:t>供应商</w:t>
      </w:r>
      <w:r>
        <w:rPr>
          <w:rFonts w:hint="eastAsia" w:ascii="宋体" w:hAnsi="宋体" w:cs="宋体"/>
          <w:color w:val="auto"/>
          <w:sz w:val="24"/>
        </w:rPr>
        <w:t>除如实填写技术规格偏离表外，本招标文件中对于指标要求提供证明材料的，</w:t>
      </w:r>
      <w:r>
        <w:rPr>
          <w:rFonts w:hint="eastAsia" w:ascii="宋体" w:hAnsi="宋体" w:cs="宋体"/>
          <w:color w:val="auto"/>
          <w:sz w:val="24"/>
          <w:lang w:eastAsia="zh-CN"/>
        </w:rPr>
        <w:t>供应商</w:t>
      </w:r>
      <w:r>
        <w:rPr>
          <w:rFonts w:hint="eastAsia" w:ascii="宋体" w:hAnsi="宋体" w:cs="宋体"/>
          <w:color w:val="auto"/>
          <w:sz w:val="24"/>
        </w:rPr>
        <w:t>应当按要求执行。</w:t>
      </w:r>
    </w:p>
    <w:p w14:paraId="4DE14030">
      <w:pPr>
        <w:pStyle w:val="50"/>
        <w:rPr>
          <w:color w:val="auto"/>
        </w:rPr>
      </w:pPr>
      <w:r>
        <w:rPr>
          <w:rFonts w:hint="eastAsia" w:hAnsi="宋体"/>
          <w:color w:val="auto"/>
        </w:rPr>
        <w:t>4、其他。</w:t>
      </w:r>
    </w:p>
    <w:p w14:paraId="55684A14">
      <w:pPr>
        <w:spacing w:line="360" w:lineRule="auto"/>
        <w:ind w:firstLine="480" w:firstLineChars="200"/>
        <w:rPr>
          <w:rFonts w:hint="eastAsia" w:ascii="宋体" w:hAnsi="宋体" w:cs="宋体"/>
          <w:color w:val="auto"/>
          <w:sz w:val="24"/>
        </w:rPr>
      </w:pPr>
      <w:r>
        <w:rPr>
          <w:rFonts w:hint="eastAsia" w:ascii="宋体" w:hAnsi="宋体" w:cs="宋体"/>
          <w:color w:val="auto"/>
          <w:sz w:val="24"/>
        </w:rPr>
        <w:t>（1）证明材料形式：①第三方机构检验报告，②制造厂商官方网站截图、产品白皮书、技术规格书，③其他具有效力的证明材料（如涉及定制产品必须提供证明材料，且加盖相关证明人鲜章）。</w:t>
      </w:r>
    </w:p>
    <w:p w14:paraId="1CEEB689">
      <w:pPr>
        <w:spacing w:line="360" w:lineRule="auto"/>
        <w:ind w:firstLine="480" w:firstLineChars="200"/>
        <w:rPr>
          <w:rFonts w:hint="eastAsia" w:ascii="宋体" w:hAnsi="宋体" w:cs="宋体"/>
          <w:color w:val="auto"/>
          <w:sz w:val="24"/>
        </w:rPr>
      </w:pPr>
      <w:r>
        <w:rPr>
          <w:rFonts w:hint="eastAsia" w:ascii="宋体" w:hAnsi="宋体" w:cs="宋体"/>
          <w:color w:val="auto"/>
          <w:sz w:val="24"/>
        </w:rPr>
        <w:t>（2）证明材料效力：第三方机构检验报告＞制造厂商官方网站截图、产品白皮书、技术规格书＞其他相关证明材料。注：如同一指标有多份证明材料且证明材料内容相互冲突的，以证明材料落款日期最为接近本项目招标公告发布日期的为准。</w:t>
      </w:r>
    </w:p>
    <w:p w14:paraId="0CDD745F">
      <w:pPr>
        <w:spacing w:line="360" w:lineRule="auto"/>
        <w:ind w:firstLine="480" w:firstLineChars="200"/>
        <w:rPr>
          <w:rFonts w:hint="eastAsia" w:ascii="宋体" w:hAnsi="宋体" w:cs="宋体"/>
          <w:color w:val="auto"/>
          <w:sz w:val="24"/>
        </w:rPr>
      </w:pPr>
      <w:r>
        <w:rPr>
          <w:rFonts w:hint="eastAsia" w:ascii="宋体" w:hAnsi="宋体" w:cs="宋体"/>
          <w:color w:val="auto"/>
          <w:sz w:val="24"/>
        </w:rPr>
        <w:t>（3）证明材料要求：</w:t>
      </w:r>
      <w:r>
        <w:rPr>
          <w:rFonts w:hint="eastAsia" w:ascii="宋体" w:hAnsi="宋体" w:cs="宋体"/>
          <w:color w:val="auto"/>
          <w:sz w:val="24"/>
          <w:lang w:eastAsia="zh-CN"/>
        </w:rPr>
        <w:t>供应商</w:t>
      </w:r>
      <w:r>
        <w:rPr>
          <w:rFonts w:hint="eastAsia" w:ascii="宋体" w:hAnsi="宋体" w:cs="宋体"/>
          <w:color w:val="auto"/>
          <w:sz w:val="24"/>
        </w:rPr>
        <w:t>应当确保证明材料的真实有效，提供虚假材料的自行承担不利后果。</w:t>
      </w:r>
      <w:r>
        <w:rPr>
          <w:rFonts w:hint="eastAsia" w:ascii="宋体" w:hAnsi="宋体" w:cs="宋体"/>
          <w:color w:val="auto"/>
          <w:sz w:val="24"/>
          <w:lang w:eastAsia="zh-CN"/>
        </w:rPr>
        <w:t>供应商</w:t>
      </w:r>
      <w:r>
        <w:rPr>
          <w:rFonts w:hint="eastAsia" w:ascii="宋体" w:hAnsi="宋体" w:cs="宋体"/>
          <w:color w:val="auto"/>
          <w:sz w:val="24"/>
        </w:rPr>
        <w:t>在填写《产品技术偏离表》时，应当在表格“页码索引”处填写证明材料所在页码。未提供有效证明材料或证明材料中内容与所填报指标不一致的，该指标按不满足处理。</w:t>
      </w:r>
    </w:p>
    <w:p w14:paraId="26C628BF">
      <w:pPr>
        <w:spacing w:line="480" w:lineRule="auto"/>
        <w:ind w:firstLine="480" w:firstLineChars="200"/>
        <w:jc w:val="left"/>
        <w:rPr>
          <w:rFonts w:hint="eastAsia" w:ascii="宋体" w:hAnsi="宋体"/>
          <w:bCs/>
          <w:color w:val="auto"/>
          <w:sz w:val="24"/>
        </w:rPr>
      </w:pPr>
    </w:p>
    <w:p w14:paraId="1B15DEC3">
      <w:pPr>
        <w:spacing w:line="480" w:lineRule="auto"/>
        <w:ind w:firstLine="480" w:firstLineChars="200"/>
        <w:jc w:val="left"/>
        <w:rPr>
          <w:rFonts w:hint="eastAsia" w:ascii="宋体" w:hAnsi="宋体"/>
          <w:bCs/>
          <w:color w:val="auto"/>
          <w:sz w:val="24"/>
          <w:u w:val="single"/>
        </w:rPr>
      </w:pPr>
      <w:r>
        <w:rPr>
          <w:rFonts w:hint="eastAsia" w:ascii="宋体" w:hAnsi="宋体"/>
          <w:bCs/>
          <w:color w:val="auto"/>
          <w:sz w:val="24"/>
          <w:lang w:eastAsia="zh-CN"/>
        </w:rPr>
        <w:t>供应商</w:t>
      </w:r>
      <w:r>
        <w:rPr>
          <w:rFonts w:hint="eastAsia" w:ascii="宋体" w:hAnsi="宋体"/>
          <w:bCs/>
          <w:color w:val="auto"/>
          <w:sz w:val="24"/>
        </w:rPr>
        <w:t>：</w:t>
      </w:r>
      <w:r>
        <w:rPr>
          <w:rFonts w:hint="eastAsia" w:ascii="宋体" w:hAnsi="宋体"/>
          <w:bCs/>
          <w:color w:val="auto"/>
          <w:sz w:val="24"/>
          <w:u w:val="single"/>
        </w:rPr>
        <w:t xml:space="preserve">                             </w:t>
      </w:r>
      <w:r>
        <w:rPr>
          <w:rFonts w:hint="eastAsia" w:ascii="宋体" w:hAnsi="宋体"/>
          <w:bCs/>
          <w:color w:val="auto"/>
          <w:sz w:val="24"/>
        </w:rPr>
        <w:t xml:space="preserve">(电子签章) </w:t>
      </w:r>
    </w:p>
    <w:p w14:paraId="310F9B3C">
      <w:pPr>
        <w:spacing w:line="480" w:lineRule="auto"/>
        <w:ind w:firstLine="480" w:firstLineChars="200"/>
        <w:jc w:val="left"/>
        <w:rPr>
          <w:rFonts w:hint="eastAsia" w:ascii="宋体" w:hAnsi="宋体"/>
          <w:bCs/>
          <w:color w:val="auto"/>
          <w:sz w:val="24"/>
        </w:rPr>
      </w:pPr>
      <w:r>
        <w:rPr>
          <w:rFonts w:hint="eastAsia" w:ascii="宋体" w:hAnsi="宋体"/>
          <w:bCs/>
          <w:color w:val="auto"/>
          <w:sz w:val="24"/>
        </w:rPr>
        <w:t>法定代表人或其委托代理人：</w:t>
      </w:r>
      <w:r>
        <w:rPr>
          <w:rFonts w:hint="eastAsia" w:ascii="宋体" w:hAnsi="宋体"/>
          <w:bCs/>
          <w:color w:val="auto"/>
          <w:sz w:val="24"/>
          <w:u w:val="single"/>
        </w:rPr>
        <w:t xml:space="preserve">          </w:t>
      </w:r>
      <w:r>
        <w:rPr>
          <w:rFonts w:hint="eastAsia" w:ascii="宋体" w:hAnsi="宋体"/>
          <w:bCs/>
          <w:color w:val="auto"/>
          <w:sz w:val="24"/>
        </w:rPr>
        <w:t xml:space="preserve">(电子签章或签名) </w:t>
      </w:r>
    </w:p>
    <w:p w14:paraId="3EC30FB5">
      <w:pPr>
        <w:spacing w:line="480" w:lineRule="auto"/>
        <w:ind w:firstLine="480" w:firstLineChars="200"/>
        <w:jc w:val="left"/>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5C3E7476">
      <w:pPr>
        <w:spacing w:line="480" w:lineRule="auto"/>
        <w:ind w:firstLine="562" w:firstLineChars="200"/>
        <w:jc w:val="left"/>
        <w:rPr>
          <w:rFonts w:hint="eastAsia" w:ascii="宋体" w:hAnsi="宋体"/>
          <w:bCs/>
          <w:color w:val="auto"/>
          <w:sz w:val="24"/>
        </w:rPr>
      </w:pPr>
      <w:r>
        <w:rPr>
          <w:rFonts w:hint="eastAsia" w:asciiTheme="minorEastAsia" w:hAnsiTheme="minorEastAsia" w:eastAsiaTheme="minorEastAsia" w:cstheme="minorEastAsia"/>
          <w:b/>
          <w:color w:val="auto"/>
          <w:kern w:val="0"/>
          <w:sz w:val="28"/>
          <w:szCs w:val="28"/>
        </w:rPr>
        <w:br w:type="page"/>
      </w:r>
    </w:p>
    <w:bookmarkEnd w:id="244"/>
    <w:bookmarkEnd w:id="245"/>
    <w:p w14:paraId="6306A74F">
      <w:pPr>
        <w:pStyle w:val="4"/>
        <w:jc w:val="center"/>
        <w:rPr>
          <w:rFonts w:eastAsia="宋体"/>
          <w:bCs/>
          <w:color w:val="auto"/>
          <w:sz w:val="24"/>
          <w:szCs w:val="24"/>
        </w:rPr>
      </w:pPr>
      <w:bookmarkStart w:id="247" w:name="_Toc12960"/>
      <w:bookmarkStart w:id="248" w:name="_Toc24569"/>
      <w:bookmarkStart w:id="249" w:name="_Toc1908"/>
      <w:bookmarkStart w:id="250" w:name="_Toc21668"/>
      <w:r>
        <w:rPr>
          <w:rFonts w:hint="eastAsia" w:asciiTheme="minorEastAsia" w:hAnsiTheme="minorEastAsia" w:eastAsiaTheme="minorEastAsia" w:cstheme="minorEastAsia"/>
          <w:color w:val="auto"/>
          <w:szCs w:val="28"/>
        </w:rPr>
        <w:t>（二）类似项目业绩表</w:t>
      </w:r>
      <w:bookmarkEnd w:id="246"/>
      <w:bookmarkEnd w:id="247"/>
      <w:bookmarkEnd w:id="248"/>
      <w:bookmarkEnd w:id="249"/>
      <w:bookmarkEnd w:id="250"/>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036"/>
        <w:gridCol w:w="1215"/>
        <w:gridCol w:w="1705"/>
        <w:gridCol w:w="1321"/>
        <w:gridCol w:w="1396"/>
        <w:gridCol w:w="1018"/>
      </w:tblGrid>
      <w:tr w14:paraId="72C55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948" w:type="dxa"/>
            <w:vAlign w:val="center"/>
          </w:tcPr>
          <w:p w14:paraId="114D76BE">
            <w:pPr>
              <w:jc w:val="center"/>
              <w:rPr>
                <w:rFonts w:hint="eastAsia" w:ascii="宋体" w:hAnsi="宋体"/>
                <w:bCs/>
                <w:color w:val="auto"/>
                <w:sz w:val="24"/>
              </w:rPr>
            </w:pPr>
            <w:r>
              <w:rPr>
                <w:rFonts w:hint="eastAsia" w:ascii="宋体" w:hAnsi="宋体"/>
                <w:bCs/>
                <w:color w:val="auto"/>
                <w:sz w:val="24"/>
              </w:rPr>
              <w:t>序号</w:t>
            </w:r>
          </w:p>
        </w:tc>
        <w:tc>
          <w:tcPr>
            <w:tcW w:w="2036" w:type="dxa"/>
            <w:vAlign w:val="center"/>
          </w:tcPr>
          <w:p w14:paraId="63D0FFDC">
            <w:pPr>
              <w:jc w:val="center"/>
              <w:rPr>
                <w:rFonts w:hint="eastAsia" w:ascii="宋体" w:hAnsi="宋体"/>
                <w:bCs/>
                <w:color w:val="auto"/>
                <w:sz w:val="24"/>
              </w:rPr>
            </w:pPr>
            <w:r>
              <w:rPr>
                <w:rFonts w:hint="eastAsia" w:ascii="宋体" w:hAnsi="宋体"/>
                <w:bCs/>
                <w:color w:val="auto"/>
                <w:sz w:val="24"/>
              </w:rPr>
              <w:t>项目</w:t>
            </w:r>
            <w:r>
              <w:rPr>
                <w:rFonts w:ascii="宋体" w:hAnsi="宋体"/>
                <w:bCs/>
                <w:color w:val="auto"/>
                <w:sz w:val="24"/>
              </w:rPr>
              <w:t>名称</w:t>
            </w:r>
          </w:p>
        </w:tc>
        <w:tc>
          <w:tcPr>
            <w:tcW w:w="1215" w:type="dxa"/>
            <w:vAlign w:val="center"/>
          </w:tcPr>
          <w:p w14:paraId="63F47489">
            <w:pPr>
              <w:jc w:val="center"/>
              <w:rPr>
                <w:rFonts w:hint="eastAsia" w:ascii="宋体" w:hAnsi="宋体"/>
                <w:bCs/>
                <w:color w:val="auto"/>
                <w:sz w:val="24"/>
              </w:rPr>
            </w:pPr>
            <w:r>
              <w:rPr>
                <w:rFonts w:hint="eastAsia" w:ascii="宋体" w:hAnsi="宋体"/>
                <w:bCs/>
                <w:color w:val="auto"/>
                <w:sz w:val="24"/>
              </w:rPr>
              <w:t>总价</w:t>
            </w:r>
          </w:p>
        </w:tc>
        <w:tc>
          <w:tcPr>
            <w:tcW w:w="1705" w:type="dxa"/>
            <w:vAlign w:val="center"/>
          </w:tcPr>
          <w:p w14:paraId="34278EE7">
            <w:pPr>
              <w:jc w:val="center"/>
              <w:rPr>
                <w:rFonts w:hint="eastAsia" w:ascii="宋体" w:hAnsi="宋体"/>
                <w:bCs/>
                <w:color w:val="auto"/>
                <w:sz w:val="24"/>
              </w:rPr>
            </w:pPr>
            <w:r>
              <w:rPr>
                <w:rFonts w:hint="eastAsia" w:ascii="宋体" w:hAnsi="宋体"/>
                <w:bCs/>
                <w:color w:val="auto"/>
                <w:sz w:val="24"/>
              </w:rPr>
              <w:t>采购单位</w:t>
            </w:r>
          </w:p>
        </w:tc>
        <w:tc>
          <w:tcPr>
            <w:tcW w:w="1321" w:type="dxa"/>
          </w:tcPr>
          <w:p w14:paraId="6CA1F34E">
            <w:pPr>
              <w:jc w:val="center"/>
              <w:rPr>
                <w:rFonts w:hint="eastAsia" w:ascii="宋体" w:hAnsi="宋体"/>
                <w:bCs/>
                <w:color w:val="auto"/>
                <w:sz w:val="24"/>
              </w:rPr>
            </w:pPr>
            <w:r>
              <w:rPr>
                <w:rFonts w:hint="eastAsia" w:ascii="宋体" w:hAnsi="宋体"/>
                <w:bCs/>
                <w:color w:val="auto"/>
                <w:sz w:val="24"/>
              </w:rPr>
              <w:t>联系人及联系电话</w:t>
            </w:r>
          </w:p>
        </w:tc>
        <w:tc>
          <w:tcPr>
            <w:tcW w:w="1396" w:type="dxa"/>
            <w:vAlign w:val="center"/>
          </w:tcPr>
          <w:p w14:paraId="1BFFEACE">
            <w:pPr>
              <w:jc w:val="center"/>
              <w:rPr>
                <w:rFonts w:hint="eastAsia" w:ascii="宋体" w:hAnsi="宋体"/>
                <w:bCs/>
                <w:color w:val="auto"/>
                <w:sz w:val="24"/>
              </w:rPr>
            </w:pPr>
            <w:r>
              <w:rPr>
                <w:rFonts w:hint="eastAsia" w:ascii="宋体" w:hAnsi="宋体"/>
                <w:bCs/>
                <w:color w:val="auto"/>
                <w:sz w:val="24"/>
              </w:rPr>
              <w:t>合同签订时间</w:t>
            </w:r>
          </w:p>
        </w:tc>
        <w:tc>
          <w:tcPr>
            <w:tcW w:w="1018" w:type="dxa"/>
            <w:vAlign w:val="center"/>
          </w:tcPr>
          <w:p w14:paraId="43DF90DD">
            <w:pPr>
              <w:jc w:val="center"/>
              <w:rPr>
                <w:rFonts w:hint="eastAsia" w:ascii="宋体" w:hAnsi="宋体"/>
                <w:bCs/>
                <w:color w:val="auto"/>
                <w:sz w:val="24"/>
              </w:rPr>
            </w:pPr>
            <w:r>
              <w:rPr>
                <w:rFonts w:ascii="宋体" w:hAnsi="宋体"/>
                <w:bCs/>
                <w:color w:val="auto"/>
                <w:sz w:val="24"/>
              </w:rPr>
              <w:t>备注</w:t>
            </w:r>
          </w:p>
        </w:tc>
      </w:tr>
      <w:tr w14:paraId="78F1F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17E808B8">
            <w:pPr>
              <w:jc w:val="center"/>
              <w:rPr>
                <w:rFonts w:hint="eastAsia" w:ascii="宋体" w:hAnsi="宋体"/>
                <w:bCs/>
                <w:color w:val="auto"/>
                <w:sz w:val="24"/>
              </w:rPr>
            </w:pPr>
            <w:r>
              <w:rPr>
                <w:rFonts w:hint="eastAsia" w:ascii="宋体" w:hAnsi="宋体"/>
                <w:bCs/>
                <w:color w:val="auto"/>
                <w:sz w:val="24"/>
              </w:rPr>
              <w:t>1</w:t>
            </w:r>
          </w:p>
        </w:tc>
        <w:tc>
          <w:tcPr>
            <w:tcW w:w="2036" w:type="dxa"/>
            <w:vAlign w:val="center"/>
          </w:tcPr>
          <w:p w14:paraId="3BA337E9">
            <w:pPr>
              <w:jc w:val="center"/>
              <w:rPr>
                <w:rFonts w:hint="eastAsia" w:ascii="宋体" w:hAnsi="宋体"/>
                <w:bCs/>
                <w:color w:val="auto"/>
                <w:sz w:val="24"/>
              </w:rPr>
            </w:pPr>
          </w:p>
        </w:tc>
        <w:tc>
          <w:tcPr>
            <w:tcW w:w="1215" w:type="dxa"/>
            <w:vAlign w:val="center"/>
          </w:tcPr>
          <w:p w14:paraId="7FA4C0E7">
            <w:pPr>
              <w:jc w:val="center"/>
              <w:rPr>
                <w:rFonts w:hint="eastAsia" w:ascii="宋体" w:hAnsi="宋体"/>
                <w:bCs/>
                <w:color w:val="auto"/>
                <w:sz w:val="24"/>
              </w:rPr>
            </w:pPr>
          </w:p>
        </w:tc>
        <w:tc>
          <w:tcPr>
            <w:tcW w:w="1705" w:type="dxa"/>
            <w:vAlign w:val="center"/>
          </w:tcPr>
          <w:p w14:paraId="6E896742">
            <w:pPr>
              <w:jc w:val="center"/>
              <w:rPr>
                <w:rFonts w:hint="eastAsia" w:ascii="宋体" w:hAnsi="宋体"/>
                <w:bCs/>
                <w:color w:val="auto"/>
                <w:sz w:val="24"/>
              </w:rPr>
            </w:pPr>
          </w:p>
        </w:tc>
        <w:tc>
          <w:tcPr>
            <w:tcW w:w="1321" w:type="dxa"/>
          </w:tcPr>
          <w:p w14:paraId="284B4D3C">
            <w:pPr>
              <w:jc w:val="center"/>
              <w:rPr>
                <w:rFonts w:hint="eastAsia" w:ascii="宋体" w:hAnsi="宋体"/>
                <w:bCs/>
                <w:color w:val="auto"/>
                <w:sz w:val="24"/>
              </w:rPr>
            </w:pPr>
          </w:p>
        </w:tc>
        <w:tc>
          <w:tcPr>
            <w:tcW w:w="1396" w:type="dxa"/>
            <w:vAlign w:val="center"/>
          </w:tcPr>
          <w:p w14:paraId="6BDEACD1">
            <w:pPr>
              <w:jc w:val="center"/>
              <w:rPr>
                <w:rFonts w:hint="eastAsia" w:ascii="宋体" w:hAnsi="宋体"/>
                <w:bCs/>
                <w:color w:val="auto"/>
                <w:sz w:val="24"/>
              </w:rPr>
            </w:pPr>
          </w:p>
        </w:tc>
        <w:tc>
          <w:tcPr>
            <w:tcW w:w="1018" w:type="dxa"/>
            <w:vAlign w:val="center"/>
          </w:tcPr>
          <w:p w14:paraId="5898CCB4">
            <w:pPr>
              <w:jc w:val="center"/>
              <w:rPr>
                <w:rFonts w:hint="eastAsia" w:ascii="宋体" w:hAnsi="宋体"/>
                <w:bCs/>
                <w:color w:val="auto"/>
                <w:sz w:val="24"/>
              </w:rPr>
            </w:pPr>
          </w:p>
        </w:tc>
      </w:tr>
      <w:tr w14:paraId="0D892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7661E5DC">
            <w:pPr>
              <w:jc w:val="center"/>
              <w:rPr>
                <w:rFonts w:hint="eastAsia" w:ascii="宋体" w:hAnsi="宋体"/>
                <w:bCs/>
                <w:color w:val="auto"/>
                <w:sz w:val="24"/>
              </w:rPr>
            </w:pPr>
            <w:r>
              <w:rPr>
                <w:rFonts w:hint="eastAsia" w:ascii="宋体" w:hAnsi="宋体"/>
                <w:bCs/>
                <w:color w:val="auto"/>
                <w:sz w:val="24"/>
              </w:rPr>
              <w:t>2</w:t>
            </w:r>
          </w:p>
        </w:tc>
        <w:tc>
          <w:tcPr>
            <w:tcW w:w="2036" w:type="dxa"/>
            <w:vAlign w:val="center"/>
          </w:tcPr>
          <w:p w14:paraId="24BC168B">
            <w:pPr>
              <w:jc w:val="center"/>
              <w:rPr>
                <w:rFonts w:hint="eastAsia" w:ascii="宋体" w:hAnsi="宋体"/>
                <w:bCs/>
                <w:color w:val="auto"/>
                <w:sz w:val="24"/>
              </w:rPr>
            </w:pPr>
          </w:p>
        </w:tc>
        <w:tc>
          <w:tcPr>
            <w:tcW w:w="1215" w:type="dxa"/>
            <w:vAlign w:val="center"/>
          </w:tcPr>
          <w:p w14:paraId="5EB9A271">
            <w:pPr>
              <w:jc w:val="center"/>
              <w:rPr>
                <w:rFonts w:hint="eastAsia" w:ascii="宋体" w:hAnsi="宋体"/>
                <w:bCs/>
                <w:color w:val="auto"/>
                <w:sz w:val="24"/>
              </w:rPr>
            </w:pPr>
          </w:p>
        </w:tc>
        <w:tc>
          <w:tcPr>
            <w:tcW w:w="1705" w:type="dxa"/>
            <w:vAlign w:val="center"/>
          </w:tcPr>
          <w:p w14:paraId="1299C1FD">
            <w:pPr>
              <w:rPr>
                <w:rFonts w:hint="eastAsia" w:ascii="宋体" w:hAnsi="宋体"/>
                <w:bCs/>
                <w:color w:val="auto"/>
                <w:sz w:val="24"/>
              </w:rPr>
            </w:pPr>
            <w:r>
              <w:rPr>
                <w:rFonts w:hint="eastAsia" w:ascii="宋体" w:hAnsi="宋体"/>
                <w:bCs/>
                <w:color w:val="auto"/>
                <w:sz w:val="24"/>
              </w:rPr>
              <w:t xml:space="preserve">      </w:t>
            </w:r>
          </w:p>
        </w:tc>
        <w:tc>
          <w:tcPr>
            <w:tcW w:w="1321" w:type="dxa"/>
          </w:tcPr>
          <w:p w14:paraId="2FB3C0D5">
            <w:pPr>
              <w:jc w:val="center"/>
              <w:rPr>
                <w:rFonts w:hint="eastAsia" w:ascii="宋体" w:hAnsi="宋体"/>
                <w:bCs/>
                <w:color w:val="auto"/>
                <w:sz w:val="24"/>
              </w:rPr>
            </w:pPr>
          </w:p>
        </w:tc>
        <w:tc>
          <w:tcPr>
            <w:tcW w:w="1396" w:type="dxa"/>
            <w:vAlign w:val="center"/>
          </w:tcPr>
          <w:p w14:paraId="1DF96E84">
            <w:pPr>
              <w:jc w:val="center"/>
              <w:rPr>
                <w:rFonts w:hint="eastAsia" w:ascii="宋体" w:hAnsi="宋体"/>
                <w:bCs/>
                <w:color w:val="auto"/>
                <w:sz w:val="24"/>
              </w:rPr>
            </w:pPr>
          </w:p>
        </w:tc>
        <w:tc>
          <w:tcPr>
            <w:tcW w:w="1018" w:type="dxa"/>
            <w:vAlign w:val="center"/>
          </w:tcPr>
          <w:p w14:paraId="05118E35">
            <w:pPr>
              <w:jc w:val="center"/>
              <w:rPr>
                <w:rFonts w:hint="eastAsia" w:ascii="宋体" w:hAnsi="宋体"/>
                <w:bCs/>
                <w:color w:val="auto"/>
                <w:sz w:val="24"/>
              </w:rPr>
            </w:pPr>
          </w:p>
        </w:tc>
      </w:tr>
      <w:tr w14:paraId="31C7C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61F5A841">
            <w:pPr>
              <w:jc w:val="center"/>
              <w:rPr>
                <w:rFonts w:hint="eastAsia" w:ascii="宋体" w:hAnsi="宋体"/>
                <w:bCs/>
                <w:color w:val="auto"/>
                <w:sz w:val="24"/>
              </w:rPr>
            </w:pPr>
            <w:r>
              <w:rPr>
                <w:rFonts w:hint="eastAsia" w:ascii="宋体" w:hAnsi="宋体"/>
                <w:bCs/>
                <w:color w:val="auto"/>
                <w:sz w:val="24"/>
              </w:rPr>
              <w:t>3</w:t>
            </w:r>
          </w:p>
        </w:tc>
        <w:tc>
          <w:tcPr>
            <w:tcW w:w="2036" w:type="dxa"/>
            <w:vAlign w:val="center"/>
          </w:tcPr>
          <w:p w14:paraId="2844B09D">
            <w:pPr>
              <w:jc w:val="center"/>
              <w:rPr>
                <w:rFonts w:hint="eastAsia" w:ascii="宋体" w:hAnsi="宋体"/>
                <w:bCs/>
                <w:color w:val="auto"/>
                <w:sz w:val="24"/>
              </w:rPr>
            </w:pPr>
          </w:p>
        </w:tc>
        <w:tc>
          <w:tcPr>
            <w:tcW w:w="1215" w:type="dxa"/>
            <w:vAlign w:val="center"/>
          </w:tcPr>
          <w:p w14:paraId="6E383932">
            <w:pPr>
              <w:jc w:val="center"/>
              <w:rPr>
                <w:rFonts w:hint="eastAsia" w:ascii="宋体" w:hAnsi="宋体"/>
                <w:bCs/>
                <w:color w:val="auto"/>
                <w:sz w:val="24"/>
              </w:rPr>
            </w:pPr>
          </w:p>
        </w:tc>
        <w:tc>
          <w:tcPr>
            <w:tcW w:w="1705" w:type="dxa"/>
            <w:vAlign w:val="center"/>
          </w:tcPr>
          <w:p w14:paraId="7DF71BE9">
            <w:pPr>
              <w:jc w:val="center"/>
              <w:rPr>
                <w:rFonts w:hint="eastAsia" w:ascii="宋体" w:hAnsi="宋体"/>
                <w:bCs/>
                <w:color w:val="auto"/>
                <w:sz w:val="24"/>
              </w:rPr>
            </w:pPr>
          </w:p>
        </w:tc>
        <w:tc>
          <w:tcPr>
            <w:tcW w:w="1321" w:type="dxa"/>
          </w:tcPr>
          <w:p w14:paraId="0BF6B774">
            <w:pPr>
              <w:jc w:val="center"/>
              <w:rPr>
                <w:rFonts w:hint="eastAsia" w:ascii="宋体" w:hAnsi="宋体"/>
                <w:bCs/>
                <w:color w:val="auto"/>
                <w:sz w:val="24"/>
              </w:rPr>
            </w:pPr>
          </w:p>
        </w:tc>
        <w:tc>
          <w:tcPr>
            <w:tcW w:w="1396" w:type="dxa"/>
            <w:vAlign w:val="center"/>
          </w:tcPr>
          <w:p w14:paraId="12E88FB8">
            <w:pPr>
              <w:jc w:val="center"/>
              <w:rPr>
                <w:rFonts w:hint="eastAsia" w:ascii="宋体" w:hAnsi="宋体"/>
                <w:bCs/>
                <w:color w:val="auto"/>
                <w:sz w:val="24"/>
              </w:rPr>
            </w:pPr>
          </w:p>
        </w:tc>
        <w:tc>
          <w:tcPr>
            <w:tcW w:w="1018" w:type="dxa"/>
            <w:vAlign w:val="center"/>
          </w:tcPr>
          <w:p w14:paraId="7EDE509E">
            <w:pPr>
              <w:jc w:val="center"/>
              <w:rPr>
                <w:rFonts w:hint="eastAsia" w:ascii="宋体" w:hAnsi="宋体"/>
                <w:bCs/>
                <w:color w:val="auto"/>
                <w:sz w:val="24"/>
              </w:rPr>
            </w:pPr>
          </w:p>
        </w:tc>
      </w:tr>
      <w:tr w14:paraId="23C41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5859BC54">
            <w:pPr>
              <w:jc w:val="center"/>
              <w:rPr>
                <w:rFonts w:hint="eastAsia" w:ascii="宋体" w:hAnsi="宋体"/>
                <w:bCs/>
                <w:color w:val="auto"/>
                <w:sz w:val="24"/>
              </w:rPr>
            </w:pPr>
            <w:r>
              <w:rPr>
                <w:rFonts w:hint="eastAsia" w:ascii="宋体" w:hAnsi="宋体"/>
                <w:bCs/>
                <w:color w:val="auto"/>
                <w:sz w:val="24"/>
              </w:rPr>
              <w:t>4</w:t>
            </w:r>
          </w:p>
        </w:tc>
        <w:tc>
          <w:tcPr>
            <w:tcW w:w="2036" w:type="dxa"/>
            <w:vAlign w:val="center"/>
          </w:tcPr>
          <w:p w14:paraId="059AB923">
            <w:pPr>
              <w:jc w:val="center"/>
              <w:rPr>
                <w:rFonts w:hint="eastAsia" w:ascii="宋体" w:hAnsi="宋体"/>
                <w:bCs/>
                <w:color w:val="auto"/>
                <w:sz w:val="24"/>
              </w:rPr>
            </w:pPr>
          </w:p>
        </w:tc>
        <w:tc>
          <w:tcPr>
            <w:tcW w:w="1215" w:type="dxa"/>
            <w:vAlign w:val="center"/>
          </w:tcPr>
          <w:p w14:paraId="1BBD264B">
            <w:pPr>
              <w:jc w:val="center"/>
              <w:rPr>
                <w:rFonts w:hint="eastAsia" w:ascii="宋体" w:hAnsi="宋体"/>
                <w:bCs/>
                <w:color w:val="auto"/>
                <w:sz w:val="24"/>
              </w:rPr>
            </w:pPr>
          </w:p>
        </w:tc>
        <w:tc>
          <w:tcPr>
            <w:tcW w:w="1705" w:type="dxa"/>
            <w:vAlign w:val="center"/>
          </w:tcPr>
          <w:p w14:paraId="4272D606">
            <w:pPr>
              <w:jc w:val="center"/>
              <w:rPr>
                <w:rFonts w:hint="eastAsia" w:ascii="宋体" w:hAnsi="宋体"/>
                <w:bCs/>
                <w:color w:val="auto"/>
                <w:sz w:val="24"/>
              </w:rPr>
            </w:pPr>
          </w:p>
        </w:tc>
        <w:tc>
          <w:tcPr>
            <w:tcW w:w="1321" w:type="dxa"/>
          </w:tcPr>
          <w:p w14:paraId="4A8988A9">
            <w:pPr>
              <w:jc w:val="center"/>
              <w:rPr>
                <w:rFonts w:hint="eastAsia" w:ascii="宋体" w:hAnsi="宋体"/>
                <w:bCs/>
                <w:color w:val="auto"/>
                <w:sz w:val="24"/>
              </w:rPr>
            </w:pPr>
          </w:p>
        </w:tc>
        <w:tc>
          <w:tcPr>
            <w:tcW w:w="1396" w:type="dxa"/>
            <w:vAlign w:val="center"/>
          </w:tcPr>
          <w:p w14:paraId="194C8520">
            <w:pPr>
              <w:jc w:val="center"/>
              <w:rPr>
                <w:rFonts w:hint="eastAsia" w:ascii="宋体" w:hAnsi="宋体"/>
                <w:bCs/>
                <w:color w:val="auto"/>
                <w:sz w:val="24"/>
              </w:rPr>
            </w:pPr>
          </w:p>
        </w:tc>
        <w:tc>
          <w:tcPr>
            <w:tcW w:w="1018" w:type="dxa"/>
            <w:vAlign w:val="center"/>
          </w:tcPr>
          <w:p w14:paraId="279BEC47">
            <w:pPr>
              <w:jc w:val="center"/>
              <w:rPr>
                <w:rFonts w:hint="eastAsia" w:ascii="宋体" w:hAnsi="宋体"/>
                <w:bCs/>
                <w:color w:val="auto"/>
                <w:sz w:val="24"/>
              </w:rPr>
            </w:pPr>
          </w:p>
        </w:tc>
      </w:tr>
      <w:tr w14:paraId="08D58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349FAA2E">
            <w:pPr>
              <w:jc w:val="center"/>
              <w:rPr>
                <w:rFonts w:hint="eastAsia" w:ascii="宋体" w:hAnsi="宋体"/>
                <w:bCs/>
                <w:color w:val="auto"/>
                <w:sz w:val="24"/>
              </w:rPr>
            </w:pPr>
            <w:r>
              <w:rPr>
                <w:rFonts w:hint="eastAsia" w:ascii="宋体" w:hAnsi="宋体"/>
                <w:bCs/>
                <w:color w:val="auto"/>
                <w:sz w:val="24"/>
              </w:rPr>
              <w:t>5</w:t>
            </w:r>
          </w:p>
        </w:tc>
        <w:tc>
          <w:tcPr>
            <w:tcW w:w="2036" w:type="dxa"/>
            <w:vAlign w:val="center"/>
          </w:tcPr>
          <w:p w14:paraId="6C506859">
            <w:pPr>
              <w:jc w:val="center"/>
              <w:rPr>
                <w:rFonts w:hint="eastAsia" w:ascii="宋体" w:hAnsi="宋体"/>
                <w:bCs/>
                <w:color w:val="auto"/>
                <w:sz w:val="24"/>
              </w:rPr>
            </w:pPr>
          </w:p>
        </w:tc>
        <w:tc>
          <w:tcPr>
            <w:tcW w:w="1215" w:type="dxa"/>
            <w:vAlign w:val="center"/>
          </w:tcPr>
          <w:p w14:paraId="63BFFCAA">
            <w:pPr>
              <w:jc w:val="center"/>
              <w:rPr>
                <w:rFonts w:hint="eastAsia" w:ascii="宋体" w:hAnsi="宋体"/>
                <w:bCs/>
                <w:color w:val="auto"/>
                <w:sz w:val="24"/>
              </w:rPr>
            </w:pPr>
          </w:p>
        </w:tc>
        <w:tc>
          <w:tcPr>
            <w:tcW w:w="1705" w:type="dxa"/>
            <w:vAlign w:val="center"/>
          </w:tcPr>
          <w:p w14:paraId="574CF9F8">
            <w:pPr>
              <w:jc w:val="center"/>
              <w:rPr>
                <w:rFonts w:hint="eastAsia" w:ascii="宋体" w:hAnsi="宋体"/>
                <w:bCs/>
                <w:color w:val="auto"/>
                <w:sz w:val="24"/>
              </w:rPr>
            </w:pPr>
          </w:p>
        </w:tc>
        <w:tc>
          <w:tcPr>
            <w:tcW w:w="1321" w:type="dxa"/>
          </w:tcPr>
          <w:p w14:paraId="3F1E94BB">
            <w:pPr>
              <w:jc w:val="center"/>
              <w:rPr>
                <w:rFonts w:hint="eastAsia" w:ascii="宋体" w:hAnsi="宋体"/>
                <w:bCs/>
                <w:color w:val="auto"/>
                <w:sz w:val="24"/>
              </w:rPr>
            </w:pPr>
          </w:p>
        </w:tc>
        <w:tc>
          <w:tcPr>
            <w:tcW w:w="1396" w:type="dxa"/>
            <w:vAlign w:val="center"/>
          </w:tcPr>
          <w:p w14:paraId="133CAA85">
            <w:pPr>
              <w:jc w:val="center"/>
              <w:rPr>
                <w:rFonts w:hint="eastAsia" w:ascii="宋体" w:hAnsi="宋体"/>
                <w:bCs/>
                <w:color w:val="auto"/>
                <w:sz w:val="24"/>
              </w:rPr>
            </w:pPr>
          </w:p>
        </w:tc>
        <w:tc>
          <w:tcPr>
            <w:tcW w:w="1018" w:type="dxa"/>
            <w:vAlign w:val="center"/>
          </w:tcPr>
          <w:p w14:paraId="196668F7">
            <w:pPr>
              <w:jc w:val="center"/>
              <w:rPr>
                <w:rFonts w:hint="eastAsia" w:ascii="宋体" w:hAnsi="宋体"/>
                <w:bCs/>
                <w:color w:val="auto"/>
                <w:sz w:val="24"/>
              </w:rPr>
            </w:pPr>
          </w:p>
        </w:tc>
      </w:tr>
      <w:tr w14:paraId="35A4A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035550B8">
            <w:pPr>
              <w:jc w:val="center"/>
              <w:rPr>
                <w:rFonts w:hint="eastAsia" w:ascii="宋体" w:hAnsi="宋体"/>
                <w:bCs/>
                <w:color w:val="auto"/>
                <w:sz w:val="24"/>
              </w:rPr>
            </w:pPr>
            <w:r>
              <w:rPr>
                <w:rFonts w:ascii="宋体" w:hAnsi="宋体"/>
                <w:bCs/>
                <w:color w:val="auto"/>
                <w:sz w:val="24"/>
              </w:rPr>
              <w:t>…</w:t>
            </w:r>
          </w:p>
        </w:tc>
        <w:tc>
          <w:tcPr>
            <w:tcW w:w="2036" w:type="dxa"/>
            <w:vAlign w:val="center"/>
          </w:tcPr>
          <w:p w14:paraId="7B06648D">
            <w:pPr>
              <w:jc w:val="center"/>
              <w:rPr>
                <w:rFonts w:hint="eastAsia" w:ascii="宋体" w:hAnsi="宋体"/>
                <w:bCs/>
                <w:color w:val="auto"/>
                <w:sz w:val="24"/>
              </w:rPr>
            </w:pPr>
          </w:p>
        </w:tc>
        <w:tc>
          <w:tcPr>
            <w:tcW w:w="1215" w:type="dxa"/>
            <w:vAlign w:val="center"/>
          </w:tcPr>
          <w:p w14:paraId="3F4C80E4">
            <w:pPr>
              <w:jc w:val="center"/>
              <w:rPr>
                <w:rFonts w:hint="eastAsia" w:ascii="宋体" w:hAnsi="宋体"/>
                <w:bCs/>
                <w:color w:val="auto"/>
                <w:sz w:val="24"/>
              </w:rPr>
            </w:pPr>
          </w:p>
        </w:tc>
        <w:tc>
          <w:tcPr>
            <w:tcW w:w="1705" w:type="dxa"/>
            <w:vAlign w:val="center"/>
          </w:tcPr>
          <w:p w14:paraId="74F98B8F">
            <w:pPr>
              <w:jc w:val="center"/>
              <w:rPr>
                <w:rFonts w:hint="eastAsia" w:ascii="宋体" w:hAnsi="宋体"/>
                <w:bCs/>
                <w:color w:val="auto"/>
                <w:sz w:val="24"/>
              </w:rPr>
            </w:pPr>
          </w:p>
        </w:tc>
        <w:tc>
          <w:tcPr>
            <w:tcW w:w="1321" w:type="dxa"/>
          </w:tcPr>
          <w:p w14:paraId="246BD9E6">
            <w:pPr>
              <w:jc w:val="center"/>
              <w:rPr>
                <w:rFonts w:hint="eastAsia" w:ascii="宋体" w:hAnsi="宋体"/>
                <w:bCs/>
                <w:color w:val="auto"/>
                <w:sz w:val="24"/>
              </w:rPr>
            </w:pPr>
          </w:p>
        </w:tc>
        <w:tc>
          <w:tcPr>
            <w:tcW w:w="1396" w:type="dxa"/>
            <w:vAlign w:val="center"/>
          </w:tcPr>
          <w:p w14:paraId="5893043A">
            <w:pPr>
              <w:jc w:val="center"/>
              <w:rPr>
                <w:rFonts w:hint="eastAsia" w:ascii="宋体" w:hAnsi="宋体"/>
                <w:bCs/>
                <w:color w:val="auto"/>
                <w:sz w:val="24"/>
              </w:rPr>
            </w:pPr>
          </w:p>
        </w:tc>
        <w:tc>
          <w:tcPr>
            <w:tcW w:w="1018" w:type="dxa"/>
            <w:vAlign w:val="center"/>
          </w:tcPr>
          <w:p w14:paraId="1B15FD57">
            <w:pPr>
              <w:jc w:val="center"/>
              <w:rPr>
                <w:rFonts w:hint="eastAsia" w:ascii="宋体" w:hAnsi="宋体"/>
                <w:bCs/>
                <w:color w:val="auto"/>
                <w:sz w:val="24"/>
              </w:rPr>
            </w:pPr>
          </w:p>
        </w:tc>
      </w:tr>
    </w:tbl>
    <w:p w14:paraId="4D89A9E4">
      <w:pPr>
        <w:rPr>
          <w:rFonts w:hint="eastAsia" w:ascii="宋体" w:hAnsi="宋体"/>
          <w:b/>
          <w:bCs/>
          <w:color w:val="auto"/>
          <w:sz w:val="24"/>
        </w:rPr>
      </w:pPr>
      <w:r>
        <w:rPr>
          <w:rFonts w:hint="eastAsia"/>
          <w:b/>
          <w:color w:val="auto"/>
          <w:spacing w:val="10"/>
          <w:kern w:val="0"/>
          <w:sz w:val="24"/>
        </w:rPr>
        <w:t>注：供应商或生产厂商提供近三年2022年1月1日以来成功实施的相近项目案例，合同以签定时间为准，须提供合同复印件或中标通知书。</w:t>
      </w:r>
    </w:p>
    <w:p w14:paraId="35477F2C">
      <w:pPr>
        <w:ind w:firstLine="1205" w:firstLineChars="500"/>
        <w:rPr>
          <w:rFonts w:hint="eastAsia" w:ascii="宋体" w:hAnsi="宋体"/>
          <w:b/>
          <w:bCs/>
          <w:color w:val="auto"/>
          <w:sz w:val="24"/>
        </w:rPr>
      </w:pPr>
    </w:p>
    <w:p w14:paraId="12E691AE">
      <w:pPr>
        <w:ind w:firstLine="1205" w:firstLineChars="500"/>
        <w:rPr>
          <w:rFonts w:hint="eastAsia" w:ascii="宋体" w:hAnsi="宋体"/>
          <w:b/>
          <w:bCs/>
          <w:color w:val="auto"/>
          <w:sz w:val="24"/>
        </w:rPr>
      </w:pPr>
    </w:p>
    <w:p w14:paraId="326F79C2">
      <w:pPr>
        <w:spacing w:line="480" w:lineRule="auto"/>
        <w:ind w:firstLine="480" w:firstLineChars="200"/>
        <w:jc w:val="left"/>
        <w:rPr>
          <w:rFonts w:hint="eastAsia" w:ascii="宋体" w:hAnsi="宋体"/>
          <w:bCs/>
          <w:color w:val="auto"/>
          <w:sz w:val="24"/>
          <w:u w:val="single"/>
        </w:rPr>
      </w:pPr>
      <w:r>
        <w:rPr>
          <w:rFonts w:hint="eastAsia" w:ascii="宋体" w:hAnsi="宋体"/>
          <w:bCs/>
          <w:color w:val="auto"/>
          <w:sz w:val="24"/>
          <w:lang w:eastAsia="zh-CN"/>
        </w:rPr>
        <w:t>供应商</w:t>
      </w:r>
      <w:r>
        <w:rPr>
          <w:rFonts w:hint="eastAsia" w:ascii="宋体" w:hAnsi="宋体"/>
          <w:bCs/>
          <w:color w:val="auto"/>
          <w:sz w:val="24"/>
        </w:rPr>
        <w:t>：</w:t>
      </w:r>
      <w:r>
        <w:rPr>
          <w:rFonts w:hint="eastAsia" w:ascii="宋体" w:hAnsi="宋体"/>
          <w:bCs/>
          <w:color w:val="auto"/>
          <w:sz w:val="24"/>
          <w:u w:val="single"/>
        </w:rPr>
        <w:t xml:space="preserve">                             </w:t>
      </w:r>
      <w:r>
        <w:rPr>
          <w:rFonts w:hint="eastAsia" w:ascii="宋体" w:hAnsi="宋体"/>
          <w:bCs/>
          <w:color w:val="auto"/>
          <w:sz w:val="24"/>
        </w:rPr>
        <w:t xml:space="preserve">(电子签章) </w:t>
      </w:r>
    </w:p>
    <w:p w14:paraId="799ECE21">
      <w:pPr>
        <w:spacing w:line="480" w:lineRule="auto"/>
        <w:ind w:firstLine="480" w:firstLineChars="200"/>
        <w:jc w:val="left"/>
        <w:rPr>
          <w:rFonts w:hint="eastAsia" w:ascii="宋体" w:hAnsi="宋体"/>
          <w:bCs/>
          <w:color w:val="auto"/>
          <w:sz w:val="24"/>
        </w:rPr>
      </w:pPr>
      <w:r>
        <w:rPr>
          <w:rFonts w:hint="eastAsia" w:ascii="宋体" w:hAnsi="宋体"/>
          <w:bCs/>
          <w:color w:val="auto"/>
          <w:sz w:val="24"/>
        </w:rPr>
        <w:t>法定代表人或其委托代理人：</w:t>
      </w:r>
      <w:r>
        <w:rPr>
          <w:rFonts w:hint="eastAsia" w:ascii="宋体" w:hAnsi="宋体"/>
          <w:bCs/>
          <w:color w:val="auto"/>
          <w:sz w:val="24"/>
          <w:u w:val="single"/>
        </w:rPr>
        <w:t xml:space="preserve">          </w:t>
      </w:r>
      <w:r>
        <w:rPr>
          <w:rFonts w:hint="eastAsia" w:ascii="宋体" w:hAnsi="宋体"/>
          <w:bCs/>
          <w:color w:val="auto"/>
          <w:sz w:val="24"/>
        </w:rPr>
        <w:t xml:space="preserve">(电子签章或签名) </w:t>
      </w:r>
    </w:p>
    <w:p w14:paraId="59CD9711">
      <w:pPr>
        <w:spacing w:line="480" w:lineRule="auto"/>
        <w:ind w:firstLine="480" w:firstLineChars="200"/>
        <w:jc w:val="left"/>
        <w:rPr>
          <w:rFonts w:hint="eastAsia"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14:paraId="5C56D334">
      <w:pPr>
        <w:rPr>
          <w:rFonts w:hint="eastAsia" w:ascii="宋体" w:hAnsi="宋体"/>
          <w:bCs/>
          <w:color w:val="auto"/>
          <w:sz w:val="24"/>
        </w:rPr>
      </w:pPr>
      <w:r>
        <w:rPr>
          <w:rFonts w:hint="eastAsia" w:ascii="宋体" w:hAnsi="宋体"/>
          <w:bCs/>
          <w:color w:val="auto"/>
          <w:sz w:val="24"/>
        </w:rPr>
        <w:br w:type="page"/>
      </w:r>
    </w:p>
    <w:p w14:paraId="1D143B38">
      <w:pPr>
        <w:pStyle w:val="4"/>
        <w:jc w:val="center"/>
        <w:rPr>
          <w:rFonts w:hint="eastAsia" w:ascii="宋体" w:hAnsi="宋体" w:eastAsia="宋体" w:cs="宋体"/>
          <w:b/>
          <w:bCs w:val="0"/>
          <w:color w:val="auto"/>
          <w:kern w:val="2"/>
          <w:sz w:val="24"/>
          <w:szCs w:val="24"/>
          <w:lang w:val="en-US" w:eastAsia="zh-CN" w:bidi="ar-SA"/>
        </w:rPr>
      </w:pPr>
      <w:r>
        <w:rPr>
          <w:rFonts w:hint="eastAsia" w:asciiTheme="minorEastAsia" w:hAnsiTheme="minorEastAsia" w:eastAsiaTheme="minorEastAsia" w:cstheme="minorEastAsia"/>
          <w:color w:val="auto"/>
          <w:szCs w:val="28"/>
          <w:lang w:val="en-US" w:eastAsia="zh-CN"/>
        </w:rPr>
        <w:t>（三）拟投入项目组成员情况表</w:t>
      </w:r>
    </w:p>
    <w:tbl>
      <w:tblPr>
        <w:tblStyle w:val="41"/>
        <w:tblW w:w="10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1215"/>
        <w:gridCol w:w="885"/>
        <w:gridCol w:w="1040"/>
        <w:gridCol w:w="2305"/>
        <w:gridCol w:w="1732"/>
        <w:gridCol w:w="2494"/>
      </w:tblGrid>
      <w:tr w14:paraId="77A7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1BE603F2">
            <w:pPr>
              <w:adjustRightInd w:val="0"/>
              <w:snapToGrid w:val="0"/>
              <w:spacing w:line="321" w:lineRule="auto"/>
              <w:jc w:val="center"/>
              <w:rPr>
                <w:rFonts w:hint="eastAsia" w:ascii="宋体" w:hAnsi="宋体" w:eastAsia="宋体" w:cs="宋体"/>
                <w:b/>
                <w:color w:val="auto"/>
                <w:spacing w:val="6"/>
                <w:sz w:val="24"/>
                <w:szCs w:val="24"/>
              </w:rPr>
            </w:pPr>
            <w:r>
              <w:rPr>
                <w:rFonts w:hint="eastAsia" w:ascii="宋体" w:hAnsi="宋体" w:eastAsia="宋体" w:cs="宋体"/>
                <w:b/>
                <w:color w:val="auto"/>
                <w:sz w:val="24"/>
                <w:szCs w:val="24"/>
              </w:rPr>
              <w:t>序号</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6D4C083">
            <w:pPr>
              <w:adjustRightInd w:val="0"/>
              <w:snapToGrid w:val="0"/>
              <w:spacing w:line="321" w:lineRule="auto"/>
              <w:jc w:val="center"/>
              <w:rPr>
                <w:rFonts w:hint="eastAsia" w:ascii="宋体" w:hAnsi="宋体" w:eastAsia="宋体" w:cs="宋体"/>
                <w:b/>
                <w:color w:val="auto"/>
                <w:spacing w:val="6"/>
                <w:sz w:val="24"/>
                <w:szCs w:val="24"/>
              </w:rPr>
            </w:pPr>
            <w:r>
              <w:rPr>
                <w:rFonts w:hint="eastAsia" w:ascii="宋体" w:hAnsi="宋体" w:eastAsia="宋体" w:cs="宋体"/>
                <w:b/>
                <w:color w:val="auto"/>
                <w:sz w:val="24"/>
                <w:szCs w:val="24"/>
              </w:rPr>
              <w:t>姓名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87EDC6">
            <w:pPr>
              <w:adjustRightInd w:val="0"/>
              <w:snapToGrid w:val="0"/>
              <w:spacing w:line="321"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年龄</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3E2B543">
            <w:pPr>
              <w:adjustRightInd w:val="0"/>
              <w:snapToGrid w:val="0"/>
              <w:spacing w:line="321"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学历</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192946FB">
            <w:pPr>
              <w:adjustRightInd w:val="0"/>
              <w:snapToGrid w:val="0"/>
              <w:spacing w:line="321"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执业或从业资格证</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76BC5001">
            <w:pPr>
              <w:adjustRightInd w:val="0"/>
              <w:snapToGrid w:val="0"/>
              <w:spacing w:line="321" w:lineRule="auto"/>
              <w:jc w:val="center"/>
              <w:rPr>
                <w:rFonts w:hint="eastAsia" w:ascii="宋体" w:hAnsi="宋体" w:eastAsia="宋体" w:cs="宋体"/>
                <w:b/>
                <w:color w:val="auto"/>
                <w:spacing w:val="6"/>
                <w:sz w:val="24"/>
                <w:szCs w:val="24"/>
              </w:rPr>
            </w:pPr>
            <w:r>
              <w:rPr>
                <w:rFonts w:hint="eastAsia" w:ascii="宋体" w:hAnsi="宋体" w:eastAsia="宋体" w:cs="宋体"/>
                <w:b/>
                <w:color w:val="auto"/>
                <w:sz w:val="24"/>
                <w:szCs w:val="24"/>
              </w:rPr>
              <w:t>拟担任职务</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14:paraId="2E70EE0C">
            <w:pPr>
              <w:adjustRightInd w:val="0"/>
              <w:snapToGrid w:val="0"/>
              <w:spacing w:line="321" w:lineRule="auto"/>
              <w:jc w:val="center"/>
              <w:rPr>
                <w:rFonts w:hint="eastAsia" w:ascii="宋体" w:hAnsi="宋体" w:eastAsia="宋体" w:cs="宋体"/>
                <w:b/>
                <w:color w:val="auto"/>
                <w:spacing w:val="6"/>
                <w:sz w:val="24"/>
                <w:szCs w:val="24"/>
              </w:rPr>
            </w:pPr>
            <w:r>
              <w:rPr>
                <w:rFonts w:hint="eastAsia" w:ascii="宋体" w:hAnsi="宋体" w:eastAsia="宋体" w:cs="宋体"/>
                <w:b/>
                <w:color w:val="auto"/>
                <w:sz w:val="24"/>
                <w:szCs w:val="24"/>
              </w:rPr>
              <w:t>经验及承担过的项目</w:t>
            </w:r>
          </w:p>
        </w:tc>
      </w:tr>
      <w:tr w14:paraId="64CA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433C4514">
            <w:pPr>
              <w:adjustRightInd w:val="0"/>
              <w:snapToGrid w:val="0"/>
              <w:spacing w:line="321" w:lineRule="auto"/>
              <w:jc w:val="center"/>
              <w:rPr>
                <w:rFonts w:hint="eastAsia" w:ascii="宋体" w:hAnsi="宋体" w:eastAsia="宋体" w:cs="宋体"/>
                <w:color w:val="auto"/>
                <w:spacing w:val="6"/>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A34ED4C">
            <w:pPr>
              <w:adjustRightInd w:val="0"/>
              <w:snapToGrid w:val="0"/>
              <w:spacing w:line="321" w:lineRule="auto"/>
              <w:jc w:val="center"/>
              <w:rPr>
                <w:rFonts w:hint="eastAsia" w:ascii="宋体" w:hAnsi="宋体" w:eastAsia="宋体" w:cs="宋体"/>
                <w:color w:val="auto"/>
                <w:spacing w:val="6"/>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2662A4">
            <w:pPr>
              <w:adjustRightInd w:val="0"/>
              <w:snapToGrid w:val="0"/>
              <w:spacing w:line="321" w:lineRule="auto"/>
              <w:jc w:val="center"/>
              <w:rPr>
                <w:rFonts w:hint="eastAsia" w:ascii="宋体" w:hAnsi="宋体" w:eastAsia="宋体" w:cs="宋体"/>
                <w:color w:val="auto"/>
                <w:spacing w:val="6"/>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4138DBD">
            <w:pPr>
              <w:adjustRightInd w:val="0"/>
              <w:snapToGrid w:val="0"/>
              <w:spacing w:line="321" w:lineRule="auto"/>
              <w:jc w:val="center"/>
              <w:rPr>
                <w:rFonts w:hint="eastAsia" w:ascii="宋体" w:hAnsi="宋体" w:eastAsia="宋体" w:cs="宋体"/>
                <w:color w:val="auto"/>
                <w:spacing w:val="6"/>
                <w:sz w:val="24"/>
                <w:szCs w:val="24"/>
              </w:rPr>
            </w:pP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6543E9BF">
            <w:pPr>
              <w:adjustRightInd w:val="0"/>
              <w:snapToGrid w:val="0"/>
              <w:spacing w:line="321" w:lineRule="auto"/>
              <w:jc w:val="center"/>
              <w:rPr>
                <w:rFonts w:hint="eastAsia" w:ascii="宋体" w:hAnsi="宋体" w:eastAsia="宋体" w:cs="宋体"/>
                <w:color w:val="auto"/>
                <w:spacing w:val="6"/>
                <w:sz w:val="24"/>
                <w:szCs w:val="24"/>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E8C93D7">
            <w:pPr>
              <w:adjustRightInd w:val="0"/>
              <w:snapToGrid w:val="0"/>
              <w:spacing w:line="321" w:lineRule="auto"/>
              <w:jc w:val="center"/>
              <w:rPr>
                <w:rFonts w:hint="eastAsia" w:ascii="宋体" w:hAnsi="宋体" w:eastAsia="宋体" w:cs="宋体"/>
                <w:color w:val="auto"/>
                <w:spacing w:val="6"/>
                <w:sz w:val="24"/>
                <w:szCs w:val="24"/>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14:paraId="0AAA5F80">
            <w:pPr>
              <w:adjustRightInd w:val="0"/>
              <w:snapToGrid w:val="0"/>
              <w:spacing w:line="321" w:lineRule="auto"/>
              <w:jc w:val="center"/>
              <w:rPr>
                <w:rFonts w:hint="eastAsia" w:ascii="宋体" w:hAnsi="宋体" w:eastAsia="宋体" w:cs="宋体"/>
                <w:color w:val="auto"/>
                <w:spacing w:val="6"/>
                <w:sz w:val="24"/>
                <w:szCs w:val="24"/>
              </w:rPr>
            </w:pPr>
          </w:p>
        </w:tc>
      </w:tr>
      <w:tr w14:paraId="54827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095306FE">
            <w:pPr>
              <w:adjustRightInd w:val="0"/>
              <w:snapToGrid w:val="0"/>
              <w:spacing w:line="321" w:lineRule="auto"/>
              <w:jc w:val="center"/>
              <w:rPr>
                <w:rFonts w:hint="eastAsia" w:ascii="宋体" w:hAnsi="宋体" w:eastAsia="宋体" w:cs="宋体"/>
                <w:color w:val="auto"/>
                <w:spacing w:val="6"/>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E463592">
            <w:pPr>
              <w:adjustRightInd w:val="0"/>
              <w:snapToGrid w:val="0"/>
              <w:spacing w:line="321" w:lineRule="auto"/>
              <w:jc w:val="center"/>
              <w:rPr>
                <w:rFonts w:hint="eastAsia" w:ascii="宋体" w:hAnsi="宋体" w:eastAsia="宋体" w:cs="宋体"/>
                <w:color w:val="auto"/>
                <w:spacing w:val="6"/>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830259">
            <w:pPr>
              <w:adjustRightInd w:val="0"/>
              <w:snapToGrid w:val="0"/>
              <w:spacing w:line="321" w:lineRule="auto"/>
              <w:jc w:val="center"/>
              <w:rPr>
                <w:rFonts w:hint="eastAsia" w:ascii="宋体" w:hAnsi="宋体" w:eastAsia="宋体" w:cs="宋体"/>
                <w:color w:val="auto"/>
                <w:spacing w:val="6"/>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8BF1450">
            <w:pPr>
              <w:adjustRightInd w:val="0"/>
              <w:snapToGrid w:val="0"/>
              <w:spacing w:line="321" w:lineRule="auto"/>
              <w:jc w:val="center"/>
              <w:rPr>
                <w:rFonts w:hint="eastAsia" w:ascii="宋体" w:hAnsi="宋体" w:eastAsia="宋体" w:cs="宋体"/>
                <w:color w:val="auto"/>
                <w:spacing w:val="6"/>
                <w:sz w:val="24"/>
                <w:szCs w:val="24"/>
              </w:rPr>
            </w:pP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5524FC3C">
            <w:pPr>
              <w:adjustRightInd w:val="0"/>
              <w:snapToGrid w:val="0"/>
              <w:spacing w:line="321" w:lineRule="auto"/>
              <w:jc w:val="center"/>
              <w:rPr>
                <w:rFonts w:hint="eastAsia" w:ascii="宋体" w:hAnsi="宋体" w:eastAsia="宋体" w:cs="宋体"/>
                <w:color w:val="auto"/>
                <w:spacing w:val="6"/>
                <w:sz w:val="24"/>
                <w:szCs w:val="24"/>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8486A61">
            <w:pPr>
              <w:adjustRightInd w:val="0"/>
              <w:snapToGrid w:val="0"/>
              <w:spacing w:line="321" w:lineRule="auto"/>
              <w:jc w:val="center"/>
              <w:rPr>
                <w:rFonts w:hint="eastAsia" w:ascii="宋体" w:hAnsi="宋体" w:eastAsia="宋体" w:cs="宋体"/>
                <w:color w:val="auto"/>
                <w:spacing w:val="6"/>
                <w:sz w:val="24"/>
                <w:szCs w:val="24"/>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14:paraId="1E599928">
            <w:pPr>
              <w:adjustRightInd w:val="0"/>
              <w:snapToGrid w:val="0"/>
              <w:spacing w:line="321" w:lineRule="auto"/>
              <w:jc w:val="center"/>
              <w:rPr>
                <w:rFonts w:hint="eastAsia" w:ascii="宋体" w:hAnsi="宋体" w:eastAsia="宋体" w:cs="宋体"/>
                <w:color w:val="auto"/>
                <w:spacing w:val="6"/>
                <w:sz w:val="24"/>
                <w:szCs w:val="24"/>
              </w:rPr>
            </w:pPr>
          </w:p>
        </w:tc>
      </w:tr>
      <w:tr w14:paraId="60B14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2D6F9361">
            <w:pPr>
              <w:adjustRightInd w:val="0"/>
              <w:snapToGrid w:val="0"/>
              <w:spacing w:line="321" w:lineRule="auto"/>
              <w:jc w:val="center"/>
              <w:rPr>
                <w:rFonts w:hint="eastAsia" w:ascii="宋体" w:hAnsi="宋体" w:eastAsia="宋体" w:cs="宋体"/>
                <w:color w:val="auto"/>
                <w:spacing w:val="6"/>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B6519D5">
            <w:pPr>
              <w:adjustRightInd w:val="0"/>
              <w:snapToGrid w:val="0"/>
              <w:spacing w:line="321" w:lineRule="auto"/>
              <w:jc w:val="center"/>
              <w:rPr>
                <w:rFonts w:hint="eastAsia" w:ascii="宋体" w:hAnsi="宋体" w:eastAsia="宋体" w:cs="宋体"/>
                <w:color w:val="auto"/>
                <w:spacing w:val="6"/>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273908">
            <w:pPr>
              <w:adjustRightInd w:val="0"/>
              <w:snapToGrid w:val="0"/>
              <w:spacing w:line="321" w:lineRule="auto"/>
              <w:jc w:val="center"/>
              <w:rPr>
                <w:rFonts w:hint="eastAsia" w:ascii="宋体" w:hAnsi="宋体" w:eastAsia="宋体" w:cs="宋体"/>
                <w:color w:val="auto"/>
                <w:spacing w:val="6"/>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CC692F1">
            <w:pPr>
              <w:adjustRightInd w:val="0"/>
              <w:snapToGrid w:val="0"/>
              <w:spacing w:line="321" w:lineRule="auto"/>
              <w:jc w:val="center"/>
              <w:rPr>
                <w:rFonts w:hint="eastAsia" w:ascii="宋体" w:hAnsi="宋体" w:eastAsia="宋体" w:cs="宋体"/>
                <w:color w:val="auto"/>
                <w:spacing w:val="6"/>
                <w:sz w:val="24"/>
                <w:szCs w:val="24"/>
              </w:rPr>
            </w:pP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19698320">
            <w:pPr>
              <w:adjustRightInd w:val="0"/>
              <w:snapToGrid w:val="0"/>
              <w:spacing w:line="321" w:lineRule="auto"/>
              <w:jc w:val="center"/>
              <w:rPr>
                <w:rFonts w:hint="eastAsia" w:ascii="宋体" w:hAnsi="宋体" w:eastAsia="宋体" w:cs="宋体"/>
                <w:color w:val="auto"/>
                <w:spacing w:val="6"/>
                <w:sz w:val="24"/>
                <w:szCs w:val="24"/>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7A2383B">
            <w:pPr>
              <w:adjustRightInd w:val="0"/>
              <w:snapToGrid w:val="0"/>
              <w:spacing w:line="321" w:lineRule="auto"/>
              <w:jc w:val="center"/>
              <w:rPr>
                <w:rFonts w:hint="eastAsia" w:ascii="宋体" w:hAnsi="宋体" w:eastAsia="宋体" w:cs="宋体"/>
                <w:color w:val="auto"/>
                <w:spacing w:val="6"/>
                <w:sz w:val="24"/>
                <w:szCs w:val="24"/>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14:paraId="2E7C33FB">
            <w:pPr>
              <w:adjustRightInd w:val="0"/>
              <w:snapToGrid w:val="0"/>
              <w:spacing w:line="321" w:lineRule="auto"/>
              <w:jc w:val="center"/>
              <w:rPr>
                <w:rFonts w:hint="eastAsia" w:ascii="宋体" w:hAnsi="宋体" w:eastAsia="宋体" w:cs="宋体"/>
                <w:color w:val="auto"/>
                <w:spacing w:val="6"/>
                <w:sz w:val="24"/>
                <w:szCs w:val="24"/>
              </w:rPr>
            </w:pPr>
          </w:p>
        </w:tc>
      </w:tr>
      <w:tr w14:paraId="382C9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716B3620">
            <w:pPr>
              <w:adjustRightInd w:val="0"/>
              <w:snapToGrid w:val="0"/>
              <w:spacing w:line="321" w:lineRule="auto"/>
              <w:jc w:val="center"/>
              <w:rPr>
                <w:rFonts w:hint="eastAsia" w:ascii="宋体" w:hAnsi="宋体" w:eastAsia="宋体" w:cs="宋体"/>
                <w:color w:val="auto"/>
                <w:spacing w:val="6"/>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C0098F9">
            <w:pPr>
              <w:adjustRightInd w:val="0"/>
              <w:snapToGrid w:val="0"/>
              <w:spacing w:line="321" w:lineRule="auto"/>
              <w:jc w:val="center"/>
              <w:rPr>
                <w:rFonts w:hint="eastAsia" w:ascii="宋体" w:hAnsi="宋体" w:eastAsia="宋体" w:cs="宋体"/>
                <w:color w:val="auto"/>
                <w:spacing w:val="6"/>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E74D2F">
            <w:pPr>
              <w:adjustRightInd w:val="0"/>
              <w:snapToGrid w:val="0"/>
              <w:spacing w:line="321" w:lineRule="auto"/>
              <w:jc w:val="center"/>
              <w:rPr>
                <w:rFonts w:hint="eastAsia" w:ascii="宋体" w:hAnsi="宋体" w:eastAsia="宋体" w:cs="宋体"/>
                <w:color w:val="auto"/>
                <w:spacing w:val="6"/>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48C98BC">
            <w:pPr>
              <w:adjustRightInd w:val="0"/>
              <w:snapToGrid w:val="0"/>
              <w:spacing w:line="321" w:lineRule="auto"/>
              <w:jc w:val="center"/>
              <w:rPr>
                <w:rFonts w:hint="eastAsia" w:ascii="宋体" w:hAnsi="宋体" w:eastAsia="宋体" w:cs="宋体"/>
                <w:color w:val="auto"/>
                <w:spacing w:val="6"/>
                <w:sz w:val="24"/>
                <w:szCs w:val="24"/>
              </w:rPr>
            </w:pP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289CE530">
            <w:pPr>
              <w:adjustRightInd w:val="0"/>
              <w:snapToGrid w:val="0"/>
              <w:spacing w:line="321" w:lineRule="auto"/>
              <w:jc w:val="center"/>
              <w:rPr>
                <w:rFonts w:hint="eastAsia" w:ascii="宋体" w:hAnsi="宋体" w:eastAsia="宋体" w:cs="宋体"/>
                <w:color w:val="auto"/>
                <w:spacing w:val="6"/>
                <w:sz w:val="24"/>
                <w:szCs w:val="24"/>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FB9C08D">
            <w:pPr>
              <w:adjustRightInd w:val="0"/>
              <w:snapToGrid w:val="0"/>
              <w:spacing w:line="321" w:lineRule="auto"/>
              <w:jc w:val="center"/>
              <w:rPr>
                <w:rFonts w:hint="eastAsia" w:ascii="宋体" w:hAnsi="宋体" w:eastAsia="宋体" w:cs="宋体"/>
                <w:color w:val="auto"/>
                <w:spacing w:val="6"/>
                <w:sz w:val="24"/>
                <w:szCs w:val="24"/>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14:paraId="0E5F8EBC">
            <w:pPr>
              <w:adjustRightInd w:val="0"/>
              <w:snapToGrid w:val="0"/>
              <w:spacing w:line="321" w:lineRule="auto"/>
              <w:jc w:val="center"/>
              <w:rPr>
                <w:rFonts w:hint="eastAsia" w:ascii="宋体" w:hAnsi="宋体" w:eastAsia="宋体" w:cs="宋体"/>
                <w:color w:val="auto"/>
                <w:spacing w:val="6"/>
                <w:sz w:val="24"/>
                <w:szCs w:val="24"/>
              </w:rPr>
            </w:pPr>
          </w:p>
        </w:tc>
      </w:tr>
      <w:tr w14:paraId="6013D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6D722FEA">
            <w:pPr>
              <w:adjustRightInd w:val="0"/>
              <w:snapToGrid w:val="0"/>
              <w:spacing w:line="321" w:lineRule="auto"/>
              <w:jc w:val="center"/>
              <w:rPr>
                <w:rFonts w:hint="eastAsia" w:ascii="宋体" w:hAnsi="宋体" w:eastAsia="宋体" w:cs="宋体"/>
                <w:color w:val="auto"/>
                <w:spacing w:val="6"/>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80C990D">
            <w:pPr>
              <w:adjustRightInd w:val="0"/>
              <w:snapToGrid w:val="0"/>
              <w:spacing w:line="321" w:lineRule="auto"/>
              <w:jc w:val="center"/>
              <w:rPr>
                <w:rFonts w:hint="eastAsia" w:ascii="宋体" w:hAnsi="宋体" w:eastAsia="宋体" w:cs="宋体"/>
                <w:color w:val="auto"/>
                <w:spacing w:val="6"/>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84C4D44">
            <w:pPr>
              <w:adjustRightInd w:val="0"/>
              <w:snapToGrid w:val="0"/>
              <w:spacing w:line="321" w:lineRule="auto"/>
              <w:jc w:val="center"/>
              <w:rPr>
                <w:rFonts w:hint="eastAsia" w:ascii="宋体" w:hAnsi="宋体" w:eastAsia="宋体" w:cs="宋体"/>
                <w:color w:val="auto"/>
                <w:spacing w:val="6"/>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D70F7DE">
            <w:pPr>
              <w:adjustRightInd w:val="0"/>
              <w:snapToGrid w:val="0"/>
              <w:spacing w:line="321" w:lineRule="auto"/>
              <w:jc w:val="center"/>
              <w:rPr>
                <w:rFonts w:hint="eastAsia" w:ascii="宋体" w:hAnsi="宋体" w:eastAsia="宋体" w:cs="宋体"/>
                <w:color w:val="auto"/>
                <w:spacing w:val="6"/>
                <w:sz w:val="24"/>
                <w:szCs w:val="24"/>
              </w:rPr>
            </w:pP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1C87CAE5">
            <w:pPr>
              <w:adjustRightInd w:val="0"/>
              <w:snapToGrid w:val="0"/>
              <w:spacing w:line="321" w:lineRule="auto"/>
              <w:jc w:val="center"/>
              <w:rPr>
                <w:rFonts w:hint="eastAsia" w:ascii="宋体" w:hAnsi="宋体" w:eastAsia="宋体" w:cs="宋体"/>
                <w:color w:val="auto"/>
                <w:spacing w:val="6"/>
                <w:sz w:val="24"/>
                <w:szCs w:val="24"/>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973D6BA">
            <w:pPr>
              <w:adjustRightInd w:val="0"/>
              <w:snapToGrid w:val="0"/>
              <w:spacing w:line="321" w:lineRule="auto"/>
              <w:jc w:val="center"/>
              <w:rPr>
                <w:rFonts w:hint="eastAsia" w:ascii="宋体" w:hAnsi="宋体" w:eastAsia="宋体" w:cs="宋体"/>
                <w:color w:val="auto"/>
                <w:spacing w:val="6"/>
                <w:sz w:val="24"/>
                <w:szCs w:val="24"/>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14:paraId="06D1D913">
            <w:pPr>
              <w:adjustRightInd w:val="0"/>
              <w:snapToGrid w:val="0"/>
              <w:spacing w:line="321" w:lineRule="auto"/>
              <w:jc w:val="center"/>
              <w:rPr>
                <w:rFonts w:hint="eastAsia" w:ascii="宋体" w:hAnsi="宋体" w:eastAsia="宋体" w:cs="宋体"/>
                <w:color w:val="auto"/>
                <w:spacing w:val="6"/>
                <w:sz w:val="24"/>
                <w:szCs w:val="24"/>
              </w:rPr>
            </w:pPr>
          </w:p>
        </w:tc>
      </w:tr>
      <w:tr w14:paraId="3280A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0D53F012">
            <w:pPr>
              <w:adjustRightInd w:val="0"/>
              <w:snapToGrid w:val="0"/>
              <w:spacing w:line="321" w:lineRule="auto"/>
              <w:jc w:val="center"/>
              <w:rPr>
                <w:rFonts w:hint="eastAsia" w:ascii="宋体" w:hAnsi="宋体" w:eastAsia="宋体" w:cs="宋体"/>
                <w:color w:val="auto"/>
                <w:spacing w:val="6"/>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D4D1A74">
            <w:pPr>
              <w:adjustRightInd w:val="0"/>
              <w:snapToGrid w:val="0"/>
              <w:spacing w:line="321" w:lineRule="auto"/>
              <w:jc w:val="center"/>
              <w:rPr>
                <w:rFonts w:hint="eastAsia" w:ascii="宋体" w:hAnsi="宋体" w:eastAsia="宋体" w:cs="宋体"/>
                <w:color w:val="auto"/>
                <w:spacing w:val="6"/>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C373852">
            <w:pPr>
              <w:adjustRightInd w:val="0"/>
              <w:snapToGrid w:val="0"/>
              <w:spacing w:line="321" w:lineRule="auto"/>
              <w:jc w:val="center"/>
              <w:rPr>
                <w:rFonts w:hint="eastAsia" w:ascii="宋体" w:hAnsi="宋体" w:eastAsia="宋体" w:cs="宋体"/>
                <w:color w:val="auto"/>
                <w:spacing w:val="6"/>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423A91E">
            <w:pPr>
              <w:adjustRightInd w:val="0"/>
              <w:snapToGrid w:val="0"/>
              <w:spacing w:line="321" w:lineRule="auto"/>
              <w:jc w:val="center"/>
              <w:rPr>
                <w:rFonts w:hint="eastAsia" w:ascii="宋体" w:hAnsi="宋体" w:eastAsia="宋体" w:cs="宋体"/>
                <w:color w:val="auto"/>
                <w:spacing w:val="6"/>
                <w:sz w:val="24"/>
                <w:szCs w:val="24"/>
              </w:rPr>
            </w:pP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6B7ABED6">
            <w:pPr>
              <w:adjustRightInd w:val="0"/>
              <w:snapToGrid w:val="0"/>
              <w:spacing w:line="321" w:lineRule="auto"/>
              <w:jc w:val="center"/>
              <w:rPr>
                <w:rFonts w:hint="eastAsia" w:ascii="宋体" w:hAnsi="宋体" w:eastAsia="宋体" w:cs="宋体"/>
                <w:color w:val="auto"/>
                <w:spacing w:val="6"/>
                <w:sz w:val="24"/>
                <w:szCs w:val="24"/>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55919B2">
            <w:pPr>
              <w:adjustRightInd w:val="0"/>
              <w:snapToGrid w:val="0"/>
              <w:spacing w:line="321" w:lineRule="auto"/>
              <w:jc w:val="center"/>
              <w:rPr>
                <w:rFonts w:hint="eastAsia" w:ascii="宋体" w:hAnsi="宋体" w:eastAsia="宋体" w:cs="宋体"/>
                <w:color w:val="auto"/>
                <w:spacing w:val="6"/>
                <w:sz w:val="24"/>
                <w:szCs w:val="24"/>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14:paraId="261ECE98">
            <w:pPr>
              <w:adjustRightInd w:val="0"/>
              <w:snapToGrid w:val="0"/>
              <w:spacing w:line="321" w:lineRule="auto"/>
              <w:jc w:val="center"/>
              <w:rPr>
                <w:rFonts w:hint="eastAsia" w:ascii="宋体" w:hAnsi="宋体" w:eastAsia="宋体" w:cs="宋体"/>
                <w:color w:val="auto"/>
                <w:spacing w:val="6"/>
                <w:sz w:val="24"/>
                <w:szCs w:val="24"/>
              </w:rPr>
            </w:pPr>
          </w:p>
        </w:tc>
      </w:tr>
      <w:tr w14:paraId="195AE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3D1B5CDE">
            <w:pPr>
              <w:adjustRightInd w:val="0"/>
              <w:snapToGrid w:val="0"/>
              <w:spacing w:line="321" w:lineRule="auto"/>
              <w:jc w:val="center"/>
              <w:rPr>
                <w:rFonts w:hint="eastAsia" w:ascii="宋体" w:hAnsi="宋体" w:eastAsia="宋体" w:cs="宋体"/>
                <w:color w:val="auto"/>
                <w:spacing w:val="6"/>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8EA7326">
            <w:pPr>
              <w:adjustRightInd w:val="0"/>
              <w:snapToGrid w:val="0"/>
              <w:spacing w:line="321" w:lineRule="auto"/>
              <w:jc w:val="center"/>
              <w:rPr>
                <w:rFonts w:hint="eastAsia" w:ascii="宋体" w:hAnsi="宋体" w:eastAsia="宋体" w:cs="宋体"/>
                <w:color w:val="auto"/>
                <w:spacing w:val="6"/>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34650D">
            <w:pPr>
              <w:adjustRightInd w:val="0"/>
              <w:snapToGrid w:val="0"/>
              <w:spacing w:line="321" w:lineRule="auto"/>
              <w:jc w:val="center"/>
              <w:rPr>
                <w:rFonts w:hint="eastAsia" w:ascii="宋体" w:hAnsi="宋体" w:eastAsia="宋体" w:cs="宋体"/>
                <w:color w:val="auto"/>
                <w:spacing w:val="6"/>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BF33FA3">
            <w:pPr>
              <w:adjustRightInd w:val="0"/>
              <w:snapToGrid w:val="0"/>
              <w:spacing w:line="321" w:lineRule="auto"/>
              <w:jc w:val="center"/>
              <w:rPr>
                <w:rFonts w:hint="eastAsia" w:ascii="宋体" w:hAnsi="宋体" w:eastAsia="宋体" w:cs="宋体"/>
                <w:color w:val="auto"/>
                <w:spacing w:val="6"/>
                <w:sz w:val="24"/>
                <w:szCs w:val="24"/>
              </w:rPr>
            </w:pP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06E8F53C">
            <w:pPr>
              <w:adjustRightInd w:val="0"/>
              <w:snapToGrid w:val="0"/>
              <w:spacing w:line="321" w:lineRule="auto"/>
              <w:jc w:val="center"/>
              <w:rPr>
                <w:rFonts w:hint="eastAsia" w:ascii="宋体" w:hAnsi="宋体" w:eastAsia="宋体" w:cs="宋体"/>
                <w:color w:val="auto"/>
                <w:spacing w:val="6"/>
                <w:sz w:val="24"/>
                <w:szCs w:val="24"/>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1E2FB34">
            <w:pPr>
              <w:adjustRightInd w:val="0"/>
              <w:snapToGrid w:val="0"/>
              <w:spacing w:line="321" w:lineRule="auto"/>
              <w:jc w:val="center"/>
              <w:rPr>
                <w:rFonts w:hint="eastAsia" w:ascii="宋体" w:hAnsi="宋体" w:eastAsia="宋体" w:cs="宋体"/>
                <w:color w:val="auto"/>
                <w:spacing w:val="6"/>
                <w:sz w:val="24"/>
                <w:szCs w:val="24"/>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14:paraId="3AFC591C">
            <w:pPr>
              <w:adjustRightInd w:val="0"/>
              <w:snapToGrid w:val="0"/>
              <w:spacing w:line="321" w:lineRule="auto"/>
              <w:jc w:val="center"/>
              <w:rPr>
                <w:rFonts w:hint="eastAsia" w:ascii="宋体" w:hAnsi="宋体" w:eastAsia="宋体" w:cs="宋体"/>
                <w:color w:val="auto"/>
                <w:spacing w:val="6"/>
                <w:sz w:val="24"/>
                <w:szCs w:val="24"/>
              </w:rPr>
            </w:pPr>
          </w:p>
        </w:tc>
      </w:tr>
    </w:tbl>
    <w:p w14:paraId="21103C3E">
      <w:pPr>
        <w:rPr>
          <w:rFonts w:ascii="宋体" w:hAnsi="宋体"/>
          <w:color w:val="auto"/>
          <w:sz w:val="24"/>
          <w:szCs w:val="21"/>
        </w:rPr>
      </w:pPr>
      <w:r>
        <w:rPr>
          <w:rFonts w:hint="eastAsia" w:ascii="宋体" w:hAnsi="宋体"/>
          <w:color w:val="auto"/>
          <w:sz w:val="24"/>
          <w:szCs w:val="21"/>
        </w:rPr>
        <w:t>注：1</w:t>
      </w:r>
      <w:r>
        <w:rPr>
          <w:rFonts w:hint="eastAsia" w:ascii="宋体" w:hAnsi="宋体"/>
          <w:color w:val="auto"/>
          <w:sz w:val="24"/>
          <w:szCs w:val="21"/>
          <w:lang w:val="en-US" w:eastAsia="zh-CN"/>
        </w:rPr>
        <w:t>.</w:t>
      </w:r>
      <w:r>
        <w:rPr>
          <w:rFonts w:hint="eastAsia" w:ascii="宋体" w:hAnsi="宋体"/>
          <w:color w:val="auto"/>
          <w:sz w:val="24"/>
          <w:szCs w:val="21"/>
        </w:rPr>
        <w:t>此表可扩展。</w:t>
      </w:r>
    </w:p>
    <w:p w14:paraId="67344F6C">
      <w:pPr>
        <w:pStyle w:val="17"/>
        <w:rPr>
          <w:rFonts w:hint="eastAsia" w:ascii="宋体" w:hAnsi="宋体" w:eastAsia="宋体" w:cs="Times New Roman"/>
          <w:color w:val="auto"/>
          <w:kern w:val="2"/>
          <w:sz w:val="24"/>
          <w:szCs w:val="21"/>
          <w:lang w:val="en-US" w:eastAsia="zh-CN" w:bidi="ar-SA"/>
        </w:rPr>
      </w:pPr>
      <w:r>
        <w:rPr>
          <w:rFonts w:hint="eastAsia" w:ascii="宋体" w:hAnsi="宋体" w:eastAsia="宋体" w:cs="Times New Roman"/>
          <w:color w:val="auto"/>
          <w:kern w:val="2"/>
          <w:sz w:val="24"/>
          <w:szCs w:val="21"/>
          <w:lang w:val="en-US" w:eastAsia="zh-CN" w:bidi="ar-SA"/>
        </w:rPr>
        <w:t>2.提供相关资料复印件（人员相关资格证书、在投标单位近一年来任意1个月缴纳社保证明材料）等。</w:t>
      </w:r>
    </w:p>
    <w:p w14:paraId="6412EE70">
      <w:pPr>
        <w:spacing w:line="480" w:lineRule="auto"/>
        <w:ind w:firstLine="480" w:firstLineChars="200"/>
        <w:jc w:val="left"/>
        <w:rPr>
          <w:rFonts w:hint="eastAsia" w:ascii="宋体" w:hAnsi="宋体"/>
          <w:bCs/>
          <w:color w:val="auto"/>
          <w:sz w:val="24"/>
        </w:rPr>
      </w:pPr>
    </w:p>
    <w:p w14:paraId="69AFD3B3">
      <w:pPr>
        <w:spacing w:line="480" w:lineRule="auto"/>
        <w:ind w:firstLine="480" w:firstLineChars="200"/>
        <w:jc w:val="left"/>
        <w:rPr>
          <w:rFonts w:hint="eastAsia" w:ascii="宋体" w:hAnsi="宋体"/>
          <w:bCs/>
          <w:color w:val="auto"/>
          <w:sz w:val="24"/>
        </w:rPr>
      </w:pPr>
    </w:p>
    <w:p w14:paraId="202E95A4">
      <w:pPr>
        <w:spacing w:line="480" w:lineRule="auto"/>
        <w:ind w:firstLine="480" w:firstLineChars="200"/>
        <w:jc w:val="left"/>
        <w:rPr>
          <w:rFonts w:hint="eastAsia" w:ascii="宋体" w:hAnsi="宋体"/>
          <w:bCs/>
          <w:color w:val="auto"/>
          <w:sz w:val="24"/>
        </w:rPr>
      </w:pPr>
    </w:p>
    <w:p w14:paraId="1F91C6BD">
      <w:pPr>
        <w:spacing w:line="480" w:lineRule="auto"/>
        <w:ind w:firstLine="480" w:firstLineChars="200"/>
        <w:jc w:val="left"/>
        <w:rPr>
          <w:rFonts w:hint="eastAsia" w:ascii="宋体" w:hAnsi="宋体"/>
          <w:bCs/>
          <w:color w:val="auto"/>
          <w:sz w:val="24"/>
          <w:u w:val="single"/>
        </w:rPr>
      </w:pPr>
      <w:r>
        <w:rPr>
          <w:rFonts w:hint="eastAsia" w:ascii="宋体" w:hAnsi="宋体"/>
          <w:bCs/>
          <w:color w:val="auto"/>
          <w:sz w:val="24"/>
          <w:lang w:eastAsia="zh-CN"/>
        </w:rPr>
        <w:t>供应商</w:t>
      </w:r>
      <w:r>
        <w:rPr>
          <w:rFonts w:hint="eastAsia" w:ascii="宋体" w:hAnsi="宋体"/>
          <w:bCs/>
          <w:color w:val="auto"/>
          <w:sz w:val="24"/>
        </w:rPr>
        <w:t>：</w:t>
      </w:r>
      <w:r>
        <w:rPr>
          <w:rFonts w:hint="eastAsia" w:ascii="宋体" w:hAnsi="宋体"/>
          <w:bCs/>
          <w:color w:val="auto"/>
          <w:sz w:val="24"/>
          <w:u w:val="single"/>
        </w:rPr>
        <w:t xml:space="preserve">                             </w:t>
      </w:r>
      <w:r>
        <w:rPr>
          <w:rFonts w:hint="eastAsia" w:ascii="宋体" w:hAnsi="宋体"/>
          <w:bCs/>
          <w:color w:val="auto"/>
          <w:sz w:val="24"/>
        </w:rPr>
        <w:t xml:space="preserve">(电子签章) </w:t>
      </w:r>
    </w:p>
    <w:p w14:paraId="697D0428">
      <w:pPr>
        <w:spacing w:line="480" w:lineRule="auto"/>
        <w:ind w:firstLine="480" w:firstLineChars="200"/>
        <w:jc w:val="left"/>
        <w:rPr>
          <w:rFonts w:hint="eastAsia" w:ascii="宋体" w:hAnsi="宋体"/>
          <w:bCs/>
          <w:color w:val="auto"/>
          <w:sz w:val="24"/>
        </w:rPr>
      </w:pPr>
      <w:r>
        <w:rPr>
          <w:rFonts w:hint="eastAsia" w:ascii="宋体" w:hAnsi="宋体"/>
          <w:bCs/>
          <w:color w:val="auto"/>
          <w:sz w:val="24"/>
        </w:rPr>
        <w:t>法定代表人或其委托代理人：</w:t>
      </w:r>
      <w:r>
        <w:rPr>
          <w:rFonts w:hint="eastAsia" w:ascii="宋体" w:hAnsi="宋体"/>
          <w:bCs/>
          <w:color w:val="auto"/>
          <w:sz w:val="24"/>
          <w:u w:val="single"/>
        </w:rPr>
        <w:t xml:space="preserve">          </w:t>
      </w:r>
      <w:r>
        <w:rPr>
          <w:rFonts w:hint="eastAsia" w:ascii="宋体" w:hAnsi="宋体"/>
          <w:bCs/>
          <w:color w:val="auto"/>
          <w:sz w:val="24"/>
        </w:rPr>
        <w:t xml:space="preserve">(电子签章或签名) </w:t>
      </w:r>
    </w:p>
    <w:p w14:paraId="35E28C8E">
      <w:pPr>
        <w:pStyle w:val="15"/>
        <w:spacing w:line="480" w:lineRule="auto"/>
        <w:ind w:firstLine="448" w:firstLineChars="200"/>
        <w:rPr>
          <w:rFonts w:hint="eastAsia"/>
          <w:color w:val="auto"/>
        </w:rPr>
      </w:pPr>
      <w:r>
        <w:rPr>
          <w:rFonts w:hint="eastAsia" w:ascii="宋体" w:hAnsi="宋体"/>
          <w:b w:val="0"/>
          <w:bCs w:val="0"/>
          <w:color w:val="auto"/>
          <w:sz w:val="24"/>
        </w:rPr>
        <w:t>日期：</w:t>
      </w:r>
      <w:r>
        <w:rPr>
          <w:rFonts w:hint="eastAsia" w:ascii="宋体" w:hAnsi="宋体"/>
          <w:b w:val="0"/>
          <w:bCs w:val="0"/>
          <w:color w:val="auto"/>
          <w:sz w:val="24"/>
          <w:u w:val="single"/>
        </w:rPr>
        <w:t xml:space="preserve">     </w:t>
      </w:r>
      <w:r>
        <w:rPr>
          <w:rFonts w:hint="eastAsia" w:ascii="宋体" w:hAnsi="宋体"/>
          <w:b w:val="0"/>
          <w:bCs w:val="0"/>
          <w:color w:val="auto"/>
          <w:sz w:val="24"/>
        </w:rPr>
        <w:t>年</w:t>
      </w:r>
      <w:r>
        <w:rPr>
          <w:rFonts w:hint="eastAsia" w:ascii="宋体" w:hAnsi="宋体"/>
          <w:b w:val="0"/>
          <w:bCs w:val="0"/>
          <w:color w:val="auto"/>
          <w:sz w:val="24"/>
          <w:u w:val="single"/>
        </w:rPr>
        <w:t xml:space="preserve">    </w:t>
      </w:r>
      <w:r>
        <w:rPr>
          <w:rFonts w:hint="eastAsia" w:ascii="宋体" w:hAnsi="宋体"/>
          <w:b w:val="0"/>
          <w:bCs w:val="0"/>
          <w:color w:val="auto"/>
          <w:sz w:val="24"/>
        </w:rPr>
        <w:t>月</w:t>
      </w:r>
      <w:r>
        <w:rPr>
          <w:rFonts w:hint="eastAsia" w:ascii="宋体" w:hAnsi="宋体"/>
          <w:b w:val="0"/>
          <w:bCs w:val="0"/>
          <w:color w:val="auto"/>
          <w:sz w:val="24"/>
          <w:u w:val="single"/>
        </w:rPr>
        <w:t xml:space="preserve">    </w:t>
      </w:r>
      <w:r>
        <w:rPr>
          <w:rFonts w:hint="eastAsia" w:ascii="宋体" w:hAnsi="宋体"/>
          <w:b w:val="0"/>
          <w:bCs w:val="0"/>
          <w:color w:val="auto"/>
          <w:sz w:val="24"/>
        </w:rPr>
        <w:t>日</w:t>
      </w:r>
    </w:p>
    <w:p w14:paraId="0BC77605">
      <w:pPr>
        <w:pStyle w:val="4"/>
        <w:jc w:val="center"/>
        <w:rPr>
          <w:rStyle w:val="133"/>
          <w:rFonts w:hint="eastAsia" w:ascii="宋体" w:hAnsi="宋体" w:eastAsia="宋体" w:cs="宋体"/>
          <w:b/>
          <w:color w:val="auto"/>
          <w:sz w:val="28"/>
          <w:szCs w:val="28"/>
        </w:rPr>
      </w:pPr>
      <w:r>
        <w:rPr>
          <w:rFonts w:hint="eastAsia" w:ascii="宋体" w:hAnsi="宋体" w:eastAsia="宋体" w:cs="宋体"/>
          <w:bCs/>
          <w:color w:val="auto"/>
          <w:szCs w:val="28"/>
        </w:rPr>
        <w:br w:type="page"/>
      </w:r>
      <w:bookmarkStart w:id="251" w:name="_Toc13652"/>
      <w:bookmarkStart w:id="252" w:name="_Toc10996"/>
      <w:r>
        <w:rPr>
          <w:rFonts w:hint="eastAsia" w:ascii="宋体" w:hAnsi="宋体" w:eastAsia="宋体" w:cs="宋体"/>
          <w:bCs/>
          <w:color w:val="auto"/>
          <w:szCs w:val="28"/>
        </w:rPr>
        <w:t>（</w:t>
      </w:r>
      <w:r>
        <w:rPr>
          <w:rFonts w:hint="eastAsia" w:ascii="宋体" w:hAnsi="宋体" w:eastAsia="宋体" w:cs="宋体"/>
          <w:bCs/>
          <w:color w:val="auto"/>
          <w:szCs w:val="28"/>
          <w:lang w:eastAsia="zh-CN"/>
        </w:rPr>
        <w:t>四</w:t>
      </w:r>
      <w:r>
        <w:rPr>
          <w:rFonts w:hint="eastAsia" w:ascii="宋体" w:hAnsi="宋体" w:eastAsia="宋体" w:cs="宋体"/>
          <w:bCs/>
          <w:color w:val="auto"/>
          <w:szCs w:val="28"/>
        </w:rPr>
        <w:t>）</w:t>
      </w:r>
      <w:r>
        <w:rPr>
          <w:rStyle w:val="133"/>
          <w:rFonts w:hint="eastAsia" w:ascii="宋体" w:hAnsi="宋体" w:eastAsia="宋体" w:cs="宋体"/>
          <w:b/>
          <w:color w:val="auto"/>
          <w:sz w:val="28"/>
          <w:szCs w:val="28"/>
        </w:rPr>
        <w:t>技术方案</w:t>
      </w:r>
      <w:bookmarkEnd w:id="251"/>
      <w:bookmarkEnd w:id="252"/>
    </w:p>
    <w:p w14:paraId="2D4E9971">
      <w:pPr>
        <w:spacing w:line="360" w:lineRule="auto"/>
        <w:jc w:val="center"/>
        <w:rPr>
          <w:rFonts w:hint="eastAsia"/>
          <w:color w:val="auto"/>
          <w:sz w:val="24"/>
          <w:szCs w:val="24"/>
        </w:rPr>
      </w:pPr>
      <w:bookmarkStart w:id="253" w:name="_Toc3896319"/>
      <w:r>
        <w:rPr>
          <w:rFonts w:hint="eastAsia"/>
          <w:color w:val="auto"/>
          <w:sz w:val="24"/>
          <w:szCs w:val="24"/>
        </w:rPr>
        <w:t>（此章节格式自拟，包括但不限于以下内容）</w:t>
      </w:r>
    </w:p>
    <w:p w14:paraId="504267BE">
      <w:pPr>
        <w:spacing w:line="360" w:lineRule="auto"/>
        <w:jc w:val="left"/>
        <w:rPr>
          <w:rFonts w:hint="eastAsia" w:ascii="宋体" w:hAnsi="宋体" w:cs="Times New Roman"/>
          <w:color w:val="auto"/>
          <w:sz w:val="24"/>
          <w:lang w:val="en-US" w:eastAsia="zh-CN"/>
        </w:rPr>
      </w:pPr>
      <w:r>
        <w:rPr>
          <w:rFonts w:hint="eastAsia" w:ascii="宋体" w:hAnsi="宋体" w:cs="Times New Roman"/>
          <w:color w:val="auto"/>
          <w:sz w:val="24"/>
          <w:lang w:val="en-US" w:eastAsia="zh-CN"/>
        </w:rPr>
        <w:t>1、项目实施方案评审</w:t>
      </w:r>
    </w:p>
    <w:p w14:paraId="2896E12D">
      <w:pPr>
        <w:spacing w:line="360" w:lineRule="auto"/>
        <w:jc w:val="left"/>
        <w:rPr>
          <w:rFonts w:hint="eastAsia" w:ascii="宋体" w:hAnsi="宋体" w:cs="Times New Roman"/>
          <w:color w:val="auto"/>
          <w:sz w:val="24"/>
          <w:lang w:val="en-US" w:eastAsia="zh-CN"/>
        </w:rPr>
      </w:pPr>
    </w:p>
    <w:p w14:paraId="2F5110E9">
      <w:pPr>
        <w:spacing w:line="360" w:lineRule="auto"/>
        <w:jc w:val="left"/>
        <w:rPr>
          <w:rFonts w:hint="eastAsia" w:ascii="宋体" w:hAnsi="宋体" w:cs="Times New Roman"/>
          <w:color w:val="auto"/>
          <w:sz w:val="24"/>
          <w:lang w:val="en-US" w:eastAsia="zh-CN"/>
        </w:rPr>
      </w:pPr>
      <w:r>
        <w:rPr>
          <w:rFonts w:hint="eastAsia" w:ascii="宋体" w:hAnsi="宋体" w:cs="Times New Roman"/>
          <w:color w:val="auto"/>
          <w:sz w:val="24"/>
          <w:lang w:val="en-US" w:eastAsia="zh-CN"/>
        </w:rPr>
        <w:t>2、售后服务方案评审</w:t>
      </w:r>
    </w:p>
    <w:p w14:paraId="0ABA7B28">
      <w:pPr>
        <w:spacing w:line="360" w:lineRule="auto"/>
        <w:jc w:val="left"/>
        <w:rPr>
          <w:rFonts w:hint="eastAsia" w:ascii="宋体" w:hAnsi="宋体" w:cs="Times New Roman"/>
          <w:color w:val="auto"/>
          <w:sz w:val="24"/>
          <w:lang w:val="en-US" w:eastAsia="zh-CN"/>
        </w:rPr>
      </w:pPr>
    </w:p>
    <w:p w14:paraId="6157CA6B">
      <w:pPr>
        <w:spacing w:line="360" w:lineRule="auto"/>
        <w:jc w:val="left"/>
        <w:rPr>
          <w:rFonts w:hint="eastAsia" w:ascii="宋体" w:hAnsi="宋体" w:cs="Times New Roman"/>
          <w:color w:val="auto"/>
          <w:sz w:val="24"/>
          <w:lang w:val="en-US" w:eastAsia="zh-CN"/>
        </w:rPr>
      </w:pPr>
      <w:r>
        <w:rPr>
          <w:rFonts w:hint="eastAsia" w:ascii="宋体" w:hAnsi="宋体" w:cs="Times New Roman"/>
          <w:color w:val="auto"/>
          <w:sz w:val="24"/>
          <w:lang w:val="en-US" w:eastAsia="zh-CN"/>
        </w:rPr>
        <w:t>3、质量保证措施及承诺评审</w:t>
      </w:r>
    </w:p>
    <w:p w14:paraId="4A76442E">
      <w:pPr>
        <w:spacing w:line="360" w:lineRule="auto"/>
        <w:jc w:val="left"/>
        <w:rPr>
          <w:rFonts w:hint="eastAsia" w:ascii="宋体" w:hAnsi="宋体" w:cs="Times New Roman"/>
          <w:color w:val="auto"/>
          <w:sz w:val="24"/>
          <w:lang w:val="en-US" w:eastAsia="zh-CN"/>
        </w:rPr>
      </w:pPr>
    </w:p>
    <w:p w14:paraId="50D4CE89">
      <w:pPr>
        <w:bidi w:val="0"/>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注：上述内容及格式由</w:t>
      </w:r>
      <w:r>
        <w:rPr>
          <w:rFonts w:hint="eastAsia" w:ascii="宋体" w:hAnsi="宋体" w:eastAsia="宋体" w:cs="宋体"/>
          <w:color w:val="auto"/>
          <w:sz w:val="24"/>
          <w:lang w:eastAsia="zh-CN"/>
        </w:rPr>
        <w:t>供应商</w:t>
      </w:r>
      <w:r>
        <w:rPr>
          <w:rFonts w:hint="eastAsia" w:ascii="宋体" w:hAnsi="宋体" w:eastAsia="宋体" w:cs="宋体"/>
          <w:color w:val="auto"/>
          <w:sz w:val="24"/>
        </w:rPr>
        <w:t>根据“评</w:t>
      </w:r>
      <w:r>
        <w:rPr>
          <w:rFonts w:hint="eastAsia" w:ascii="宋体" w:hAnsi="宋体" w:eastAsia="宋体" w:cs="宋体"/>
          <w:color w:val="auto"/>
          <w:sz w:val="24"/>
          <w:lang w:val="en-US" w:eastAsia="zh-CN"/>
        </w:rPr>
        <w:t>审</w:t>
      </w:r>
      <w:r>
        <w:rPr>
          <w:rFonts w:hint="eastAsia" w:ascii="宋体" w:hAnsi="宋体" w:eastAsia="宋体" w:cs="宋体"/>
          <w:color w:val="auto"/>
          <w:sz w:val="24"/>
        </w:rPr>
        <w:t>办法”</w:t>
      </w:r>
      <w:r>
        <w:rPr>
          <w:rFonts w:hint="eastAsia" w:ascii="宋体" w:hAnsi="宋体" w:eastAsia="宋体" w:cs="宋体"/>
          <w:color w:val="auto"/>
          <w:sz w:val="24"/>
          <w:lang w:val="en-US" w:eastAsia="zh-CN"/>
        </w:rPr>
        <w:t>中的</w:t>
      </w:r>
      <w:r>
        <w:rPr>
          <w:rFonts w:hint="eastAsia" w:ascii="宋体" w:hAnsi="宋体" w:eastAsia="宋体" w:cs="宋体"/>
          <w:color w:val="auto"/>
          <w:sz w:val="24"/>
        </w:rPr>
        <w:t>评审内容及标准并结合自身实际情况自行拟定。</w:t>
      </w:r>
    </w:p>
    <w:p w14:paraId="5FB57138">
      <w:pPr>
        <w:pStyle w:val="4"/>
        <w:jc w:val="center"/>
        <w:rPr>
          <w:rFonts w:hint="eastAsia" w:ascii="宋体" w:hAnsi="宋体"/>
          <w:color w:val="auto"/>
          <w:sz w:val="24"/>
          <w:szCs w:val="24"/>
        </w:rPr>
      </w:pPr>
      <w:r>
        <w:rPr>
          <w:rFonts w:ascii="宋体" w:hAnsi="宋体"/>
          <w:color w:val="auto"/>
          <w:szCs w:val="28"/>
        </w:rPr>
        <w:br w:type="page"/>
      </w:r>
      <w:bookmarkStart w:id="254" w:name="_Toc7624"/>
      <w:bookmarkStart w:id="255" w:name="_Toc1929"/>
      <w:bookmarkStart w:id="256" w:name="_Toc27581"/>
      <w:bookmarkStart w:id="257" w:name="_Toc25340"/>
      <w:bookmarkStart w:id="258" w:name="_Toc13392"/>
      <w:bookmarkStart w:id="259" w:name="_Toc14447"/>
      <w:bookmarkStart w:id="260" w:name="_Toc7333"/>
      <w:r>
        <w:rPr>
          <w:rStyle w:val="133"/>
          <w:rFonts w:hint="eastAsia" w:ascii="宋体" w:hAnsi="宋体" w:eastAsia="宋体" w:cs="宋体"/>
          <w:b/>
          <w:color w:val="auto"/>
          <w:sz w:val="28"/>
          <w:szCs w:val="28"/>
        </w:rPr>
        <w:t>（</w:t>
      </w:r>
      <w:r>
        <w:rPr>
          <w:rStyle w:val="133"/>
          <w:rFonts w:hint="eastAsia" w:ascii="宋体" w:hAnsi="宋体" w:eastAsia="宋体" w:cs="宋体"/>
          <w:b/>
          <w:color w:val="auto"/>
          <w:sz w:val="28"/>
          <w:szCs w:val="28"/>
          <w:lang w:eastAsia="zh-CN"/>
        </w:rPr>
        <w:t>五</w:t>
      </w:r>
      <w:r>
        <w:rPr>
          <w:rStyle w:val="133"/>
          <w:rFonts w:hint="eastAsia" w:ascii="宋体" w:hAnsi="宋体" w:eastAsia="宋体" w:cs="宋体"/>
          <w:b/>
          <w:color w:val="auto"/>
          <w:sz w:val="28"/>
          <w:szCs w:val="28"/>
        </w:rPr>
        <w:t>）其他资料</w:t>
      </w:r>
      <w:bookmarkEnd w:id="253"/>
      <w:bookmarkEnd w:id="254"/>
      <w:bookmarkEnd w:id="255"/>
      <w:bookmarkEnd w:id="256"/>
      <w:bookmarkEnd w:id="257"/>
      <w:bookmarkEnd w:id="258"/>
      <w:bookmarkEnd w:id="259"/>
      <w:bookmarkEnd w:id="260"/>
    </w:p>
    <w:p w14:paraId="4EC56C13">
      <w:pPr>
        <w:spacing w:line="360" w:lineRule="auto"/>
        <w:rPr>
          <w:rFonts w:hint="eastAsia" w:ascii="宋体" w:hAnsi="宋体"/>
          <w:color w:val="auto"/>
          <w:sz w:val="24"/>
        </w:rPr>
      </w:pPr>
      <w:bookmarkStart w:id="261" w:name="_Toc468"/>
      <w:bookmarkEnd w:id="261"/>
      <w:bookmarkStart w:id="262" w:name="_Toc12254"/>
      <w:bookmarkEnd w:id="262"/>
      <w:r>
        <w:rPr>
          <w:rFonts w:hint="eastAsia" w:ascii="宋体" w:hAnsi="宋体"/>
          <w:color w:val="auto"/>
          <w:sz w:val="24"/>
        </w:rPr>
        <w:t>1.节能产品、环境标志产品</w:t>
      </w:r>
      <w:r>
        <w:rPr>
          <w:rFonts w:hint="eastAsia" w:ascii="宋体" w:hAnsi="宋体"/>
          <w:color w:val="auto"/>
          <w:sz w:val="24"/>
          <w:lang w:val="en-US" w:eastAsia="zh-CN"/>
        </w:rPr>
        <w:t>相关证明材料</w:t>
      </w:r>
      <w:r>
        <w:rPr>
          <w:rFonts w:hint="eastAsia" w:ascii="宋体" w:hAnsi="宋体"/>
          <w:color w:val="auto"/>
          <w:sz w:val="24"/>
        </w:rPr>
        <w:t>（格式自拟）。</w:t>
      </w:r>
    </w:p>
    <w:p w14:paraId="55E326D4">
      <w:pPr>
        <w:spacing w:line="360" w:lineRule="auto"/>
        <w:rPr>
          <w:rFonts w:hint="eastAsia" w:ascii="宋体" w:hAnsi="宋体"/>
          <w:color w:val="auto"/>
          <w:sz w:val="24"/>
          <w:lang w:val="en-US" w:eastAsia="zh-CN"/>
        </w:rPr>
      </w:pPr>
    </w:p>
    <w:p w14:paraId="3BF55211">
      <w:pPr>
        <w:spacing w:line="360" w:lineRule="auto"/>
        <w:rPr>
          <w:rFonts w:hint="eastAsia" w:ascii="宋体" w:hAnsi="宋体" w:eastAsia="宋体"/>
          <w:color w:val="auto"/>
          <w:sz w:val="24"/>
          <w:lang w:val="en-US" w:eastAsia="zh-CN"/>
        </w:rPr>
      </w:pPr>
      <w:r>
        <w:rPr>
          <w:rFonts w:hint="eastAsia" w:ascii="宋体" w:hAnsi="宋体"/>
          <w:color w:val="auto"/>
          <w:sz w:val="24"/>
          <w:lang w:val="en-US" w:eastAsia="zh-CN"/>
        </w:rPr>
        <w:t>2.</w:t>
      </w:r>
      <w:r>
        <w:rPr>
          <w:rFonts w:hint="eastAsia" w:ascii="宋体" w:hAnsi="宋体"/>
          <w:color w:val="auto"/>
          <w:sz w:val="24"/>
          <w:lang w:eastAsia="zh-CN"/>
        </w:rPr>
        <w:t>供应商</w:t>
      </w:r>
      <w:r>
        <w:rPr>
          <w:rFonts w:hint="eastAsia" w:ascii="宋体" w:hAnsi="宋体"/>
          <w:color w:val="auto"/>
          <w:sz w:val="24"/>
        </w:rPr>
        <w:t>认为需要提交的其他资料（格式自拟）</w:t>
      </w:r>
      <w:r>
        <w:rPr>
          <w:rFonts w:hint="eastAsia" w:ascii="宋体" w:hAnsi="宋体"/>
          <w:color w:val="auto"/>
          <w:sz w:val="24"/>
          <w:lang w:eastAsia="zh-CN"/>
        </w:rPr>
        <w:t>。</w:t>
      </w:r>
    </w:p>
    <w:p w14:paraId="13D7EC23">
      <w:pPr>
        <w:pStyle w:val="10"/>
        <w:autoSpaceDE w:val="0"/>
        <w:autoSpaceDN w:val="0"/>
        <w:spacing w:line="360" w:lineRule="auto"/>
        <w:ind w:firstLine="240" w:firstLineChars="100"/>
        <w:jc w:val="left"/>
        <w:rPr>
          <w:rFonts w:hint="eastAsia" w:ascii="宋体" w:hAnsi="宋体"/>
          <w:bCs/>
          <w:color w:val="auto"/>
          <w:sz w:val="24"/>
          <w:szCs w:val="24"/>
        </w:rPr>
      </w:pPr>
    </w:p>
    <w:p w14:paraId="5D8AAF50">
      <w:pPr>
        <w:pStyle w:val="2"/>
        <w:jc w:val="center"/>
        <w:rPr>
          <w:rFonts w:hint="eastAsia" w:asciiTheme="minorEastAsia" w:hAnsiTheme="minorEastAsia" w:eastAsiaTheme="minorEastAsia" w:cstheme="minorEastAsia"/>
          <w:bCs/>
          <w:color w:val="auto"/>
          <w:sz w:val="36"/>
        </w:rPr>
      </w:pPr>
      <w:r>
        <w:rPr>
          <w:color w:val="auto"/>
        </w:rPr>
        <w:br w:type="page"/>
      </w:r>
      <w:bookmarkStart w:id="263" w:name="_Toc6780"/>
      <w:bookmarkStart w:id="264" w:name="_Toc1091"/>
      <w:bookmarkStart w:id="265" w:name="_Toc24858"/>
      <w:r>
        <w:rPr>
          <w:rFonts w:hint="eastAsia" w:asciiTheme="minorEastAsia" w:hAnsiTheme="minorEastAsia" w:eastAsiaTheme="minorEastAsia" w:cstheme="minorEastAsia"/>
          <w:bCs/>
          <w:color w:val="auto"/>
          <w:sz w:val="36"/>
        </w:rPr>
        <w:t xml:space="preserve">第五章  </w:t>
      </w:r>
      <w:bookmarkStart w:id="266" w:name="_Hlk110865666"/>
      <w:r>
        <w:rPr>
          <w:rFonts w:hint="eastAsia" w:asciiTheme="minorEastAsia" w:hAnsiTheme="minorEastAsia" w:eastAsiaTheme="minorEastAsia" w:cstheme="minorEastAsia"/>
          <w:bCs/>
          <w:color w:val="auto"/>
          <w:sz w:val="36"/>
        </w:rPr>
        <w:t>采购需求</w:t>
      </w:r>
      <w:bookmarkEnd w:id="263"/>
      <w:bookmarkEnd w:id="264"/>
      <w:bookmarkEnd w:id="265"/>
    </w:p>
    <w:bookmarkEnd w:id="266"/>
    <w:p w14:paraId="30062689">
      <w:pPr>
        <w:widowControl/>
        <w:spacing w:line="360" w:lineRule="auto"/>
        <w:jc w:val="left"/>
        <w:outlineLvl w:val="1"/>
        <w:rPr>
          <w:rFonts w:hint="eastAsia" w:asciiTheme="minorEastAsia" w:hAnsiTheme="minorEastAsia" w:eastAsiaTheme="minorEastAsia" w:cstheme="minorEastAsia"/>
          <w:b/>
          <w:bCs/>
          <w:color w:val="auto"/>
          <w:kern w:val="0"/>
          <w:sz w:val="24"/>
        </w:rPr>
      </w:pPr>
      <w:bookmarkStart w:id="267" w:name="_Toc28347"/>
      <w:bookmarkStart w:id="268" w:name="_Toc22888"/>
      <w:bookmarkStart w:id="269" w:name="_Toc18419"/>
      <w:bookmarkStart w:id="270" w:name="_Toc5780262"/>
      <w:bookmarkStart w:id="271" w:name="_Toc8168228"/>
      <w:r>
        <w:rPr>
          <w:rFonts w:hint="eastAsia" w:asciiTheme="minorEastAsia" w:hAnsiTheme="minorEastAsia" w:eastAsiaTheme="minorEastAsia" w:cstheme="minorEastAsia"/>
          <w:b/>
          <w:bCs/>
          <w:color w:val="auto"/>
          <w:kern w:val="0"/>
          <w:sz w:val="24"/>
        </w:rPr>
        <w:t>一、项目基本情况</w:t>
      </w:r>
      <w:bookmarkEnd w:id="267"/>
      <w:bookmarkEnd w:id="268"/>
    </w:p>
    <w:p w14:paraId="2EFB6211">
      <w:pPr>
        <w:widowControl/>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1.项目编号：</w:t>
      </w:r>
      <w:r>
        <w:rPr>
          <w:rFonts w:hint="eastAsia" w:ascii="宋体" w:hAnsi="宋体" w:eastAsia="宋体" w:cs="宋体"/>
          <w:color w:val="auto"/>
          <w:kern w:val="0"/>
          <w:sz w:val="24"/>
          <w:szCs w:val="24"/>
          <w:lang w:eastAsia="zh-CN"/>
        </w:rPr>
        <w:t>WTZB-202511-002</w:t>
      </w:r>
    </w:p>
    <w:p w14:paraId="4F863120">
      <w:pPr>
        <w:widowControl/>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2.项目名称：</w:t>
      </w:r>
      <w:r>
        <w:rPr>
          <w:rFonts w:hint="eastAsia" w:ascii="宋体" w:hAnsi="宋体" w:eastAsia="宋体" w:cs="宋体"/>
          <w:color w:val="auto"/>
          <w:kern w:val="0"/>
          <w:sz w:val="24"/>
          <w:szCs w:val="24"/>
          <w:lang w:eastAsia="zh-CN"/>
        </w:rPr>
        <w:t>云南省玉溪工业财贸学校信息通信网络运行管理实训室建设采购项目</w:t>
      </w:r>
    </w:p>
    <w:p w14:paraId="7902D71F">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3.预算总价（最高限价）：¥</w:t>
      </w:r>
      <w:r>
        <w:rPr>
          <w:rFonts w:hint="eastAsia" w:ascii="宋体" w:hAnsi="宋体" w:eastAsia="宋体" w:cs="宋体"/>
          <w:color w:val="auto"/>
          <w:kern w:val="0"/>
          <w:sz w:val="24"/>
          <w:szCs w:val="24"/>
          <w:lang w:val="en-US" w:eastAsia="zh-CN"/>
        </w:rPr>
        <w:t>978000</w:t>
      </w:r>
      <w:r>
        <w:rPr>
          <w:rFonts w:hint="eastAsia" w:ascii="宋体" w:hAnsi="宋体" w:eastAsia="宋体" w:cs="宋体"/>
          <w:color w:val="auto"/>
          <w:kern w:val="0"/>
          <w:sz w:val="24"/>
          <w:szCs w:val="24"/>
        </w:rPr>
        <w:t>.00元</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大写：人民币</w:t>
      </w:r>
      <w:r>
        <w:rPr>
          <w:rFonts w:hint="eastAsia" w:ascii="宋体" w:hAnsi="宋体" w:eastAsia="宋体" w:cs="宋体"/>
          <w:color w:val="auto"/>
          <w:kern w:val="0"/>
          <w:sz w:val="24"/>
          <w:szCs w:val="24"/>
          <w:lang w:val="en-US" w:eastAsia="zh-CN"/>
        </w:rPr>
        <w:t>玖拾柒万捌仟</w:t>
      </w:r>
      <w:r>
        <w:rPr>
          <w:rFonts w:hint="eastAsia" w:ascii="宋体" w:hAnsi="宋体" w:eastAsia="宋体" w:cs="宋体"/>
          <w:color w:val="auto"/>
          <w:kern w:val="0"/>
          <w:sz w:val="24"/>
          <w:szCs w:val="24"/>
          <w:lang w:eastAsia="zh-CN"/>
        </w:rPr>
        <w:t>元</w:t>
      </w:r>
      <w:r>
        <w:rPr>
          <w:rFonts w:hint="eastAsia" w:ascii="宋体" w:hAnsi="宋体" w:eastAsia="宋体" w:cs="宋体"/>
          <w:color w:val="auto"/>
          <w:kern w:val="0"/>
          <w:sz w:val="24"/>
          <w:szCs w:val="24"/>
        </w:rPr>
        <w:t>整</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p>
    <w:p w14:paraId="53A1C74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.合同履行期限：自双方签订合同之日起</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30个日历天内完成供货和安装调试</w:t>
      </w:r>
      <w:r>
        <w:rPr>
          <w:rFonts w:hint="eastAsia" w:ascii="宋体" w:hAnsi="宋体" w:eastAsia="宋体" w:cs="宋体"/>
          <w:color w:val="auto"/>
          <w:kern w:val="0"/>
          <w:sz w:val="24"/>
          <w:szCs w:val="24"/>
          <w:lang w:val="en-US" w:eastAsia="zh-CN"/>
        </w:rPr>
        <w:t>验收合格</w:t>
      </w:r>
      <w:r>
        <w:rPr>
          <w:rFonts w:hint="eastAsia" w:ascii="宋体" w:hAnsi="宋体" w:eastAsia="宋体" w:cs="宋体"/>
          <w:color w:val="auto"/>
          <w:kern w:val="0"/>
          <w:sz w:val="24"/>
          <w:szCs w:val="24"/>
        </w:rPr>
        <w:t>并交付使用。</w:t>
      </w:r>
    </w:p>
    <w:p w14:paraId="57D4444A">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.本项目（不）接受联合体投标。</w:t>
      </w:r>
    </w:p>
    <w:p w14:paraId="41C5A7E6">
      <w:pPr>
        <w:widowControl/>
        <w:spacing w:line="360" w:lineRule="auto"/>
        <w:jc w:val="left"/>
        <w:outlineLvl w:val="1"/>
        <w:rPr>
          <w:rFonts w:hint="default" w:asciiTheme="minorEastAsia" w:hAnsiTheme="minorEastAsia" w:eastAsiaTheme="minorEastAsia" w:cstheme="minorEastAsia"/>
          <w:b/>
          <w:bCs/>
          <w:color w:val="auto"/>
          <w:kern w:val="0"/>
          <w:sz w:val="24"/>
          <w:lang w:val="en-US" w:eastAsia="zh-CN"/>
        </w:rPr>
      </w:pPr>
      <w:r>
        <w:rPr>
          <w:rFonts w:hint="eastAsia" w:asciiTheme="minorEastAsia" w:hAnsiTheme="minorEastAsia" w:eastAsiaTheme="minorEastAsia" w:cstheme="minorEastAsia"/>
          <w:b/>
          <w:bCs/>
          <w:color w:val="auto"/>
          <w:kern w:val="0"/>
          <w:sz w:val="24"/>
          <w:lang w:eastAsia="zh-CN"/>
        </w:rPr>
        <w:t>二、</w:t>
      </w:r>
      <w:r>
        <w:rPr>
          <w:rFonts w:hint="eastAsia" w:asciiTheme="minorEastAsia" w:hAnsiTheme="minorEastAsia" w:eastAsiaTheme="minorEastAsia" w:cstheme="minorEastAsia"/>
          <w:b/>
          <w:bCs/>
          <w:color w:val="auto"/>
          <w:kern w:val="0"/>
          <w:sz w:val="24"/>
          <w:lang w:val="en-US" w:eastAsia="zh-CN"/>
        </w:rPr>
        <w:t>采购内容</w:t>
      </w:r>
    </w:p>
    <w:p w14:paraId="02F9C836">
      <w:pPr>
        <w:widowControl/>
        <w:spacing w:line="360" w:lineRule="auto"/>
        <w:jc w:val="left"/>
        <w:outlineLvl w:val="9"/>
        <w:rPr>
          <w:rFonts w:hint="eastAsia" w:asciiTheme="minorEastAsia" w:hAnsiTheme="minorEastAsia" w:eastAsiaTheme="minorEastAsia" w:cstheme="minorEastAsia"/>
          <w:b/>
          <w:bCs/>
          <w:color w:val="auto"/>
          <w:kern w:val="0"/>
          <w:sz w:val="24"/>
          <w:lang w:val="en-US" w:eastAsia="zh-CN"/>
        </w:rPr>
      </w:pPr>
      <w:bookmarkStart w:id="272" w:name="_Toc30859"/>
      <w:bookmarkStart w:id="273" w:name="_Toc10859"/>
      <w:r>
        <w:rPr>
          <w:rFonts w:hint="eastAsia" w:asciiTheme="minorEastAsia" w:hAnsiTheme="minorEastAsia" w:eastAsiaTheme="minorEastAsia" w:cstheme="minorEastAsia"/>
          <w:b/>
          <w:bCs/>
          <w:color w:val="auto"/>
          <w:kern w:val="0"/>
          <w:sz w:val="24"/>
          <w:lang w:val="en-US" w:eastAsia="zh-CN"/>
        </w:rPr>
        <w:t>（一）信息通信网络运行管理实训室建设设备清单</w:t>
      </w:r>
    </w:p>
    <w:tbl>
      <w:tblPr>
        <w:tblStyle w:val="41"/>
        <w:tblW w:w="9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8"/>
        <w:gridCol w:w="626"/>
        <w:gridCol w:w="1989"/>
        <w:gridCol w:w="858"/>
        <w:gridCol w:w="906"/>
        <w:gridCol w:w="1780"/>
        <w:gridCol w:w="1698"/>
        <w:gridCol w:w="830"/>
      </w:tblGrid>
      <w:tr w14:paraId="2AE3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24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实训室名称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424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6EF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7B3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63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52F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预算单价/元</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E71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预算总价/元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2A1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0AF2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1A9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信息通信网络运行管理实训室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01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15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信息通信网络实训装置</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88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27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BA0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89860.00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F9F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539160.00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A097">
            <w:pPr>
              <w:jc w:val="center"/>
              <w:rPr>
                <w:rFonts w:hint="eastAsia" w:ascii="宋体" w:hAnsi="宋体" w:eastAsia="宋体" w:cs="宋体"/>
                <w:i w:val="0"/>
                <w:iCs w:val="0"/>
                <w:color w:val="auto"/>
                <w:sz w:val="24"/>
                <w:szCs w:val="24"/>
                <w:u w:val="none"/>
              </w:rPr>
            </w:pPr>
          </w:p>
        </w:tc>
      </w:tr>
      <w:tr w14:paraId="715F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02B9A">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31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A5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双工位高性能工作站</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6E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CC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4FB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25800.00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4B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154800.00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4B32">
            <w:pPr>
              <w:jc w:val="center"/>
              <w:rPr>
                <w:rFonts w:hint="eastAsia" w:ascii="宋体" w:hAnsi="宋体" w:eastAsia="宋体" w:cs="宋体"/>
                <w:i w:val="0"/>
                <w:iCs w:val="0"/>
                <w:color w:val="auto"/>
                <w:sz w:val="24"/>
                <w:szCs w:val="24"/>
                <w:u w:val="none"/>
              </w:rPr>
            </w:pPr>
          </w:p>
        </w:tc>
      </w:tr>
      <w:tr w14:paraId="37F3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2F67">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FF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00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虚拟化竞赛平台（一体化平台）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45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3B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A31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171600.00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A56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171600.00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706E">
            <w:pPr>
              <w:jc w:val="center"/>
              <w:rPr>
                <w:rFonts w:hint="eastAsia" w:ascii="宋体" w:hAnsi="宋体" w:eastAsia="宋体" w:cs="宋体"/>
                <w:i w:val="0"/>
                <w:iCs w:val="0"/>
                <w:color w:val="auto"/>
                <w:sz w:val="24"/>
                <w:szCs w:val="24"/>
                <w:u w:val="none"/>
              </w:rPr>
            </w:pPr>
          </w:p>
        </w:tc>
      </w:tr>
      <w:tr w14:paraId="1133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D3E0B">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9C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27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专业网络测试仪</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F4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34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3DD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65800.00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861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65800.00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AD41">
            <w:pPr>
              <w:jc w:val="center"/>
              <w:rPr>
                <w:rFonts w:hint="eastAsia" w:ascii="宋体" w:hAnsi="宋体" w:eastAsia="宋体" w:cs="宋体"/>
                <w:i w:val="0"/>
                <w:iCs w:val="0"/>
                <w:color w:val="auto"/>
                <w:sz w:val="24"/>
                <w:szCs w:val="24"/>
                <w:u w:val="none"/>
              </w:rPr>
            </w:pPr>
          </w:p>
        </w:tc>
      </w:tr>
      <w:tr w14:paraId="45C1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CFB5">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D5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75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数据中心布线仿真教学平台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69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4A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BC3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28000.00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475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28000.00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A887">
            <w:pPr>
              <w:jc w:val="center"/>
              <w:rPr>
                <w:rFonts w:hint="eastAsia" w:ascii="宋体" w:hAnsi="宋体" w:eastAsia="宋体" w:cs="宋体"/>
                <w:i w:val="0"/>
                <w:iCs w:val="0"/>
                <w:color w:val="auto"/>
                <w:sz w:val="24"/>
                <w:szCs w:val="24"/>
                <w:u w:val="none"/>
              </w:rPr>
            </w:pPr>
          </w:p>
        </w:tc>
      </w:tr>
      <w:tr w14:paraId="28C4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96639">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12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6C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教学展板</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5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B4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9D8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3640.00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0FB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3640.00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6D37">
            <w:pPr>
              <w:jc w:val="center"/>
              <w:rPr>
                <w:rFonts w:hint="eastAsia" w:ascii="宋体" w:hAnsi="宋体" w:eastAsia="宋体" w:cs="宋体"/>
                <w:i w:val="0"/>
                <w:iCs w:val="0"/>
                <w:color w:val="auto"/>
                <w:sz w:val="24"/>
                <w:szCs w:val="24"/>
                <w:u w:val="none"/>
              </w:rPr>
            </w:pPr>
          </w:p>
        </w:tc>
      </w:tr>
      <w:tr w14:paraId="27E3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C1C1">
            <w:pPr>
              <w:jc w:val="center"/>
              <w:rPr>
                <w:rFonts w:hint="eastAsia" w:ascii="宋体" w:hAnsi="宋体" w:eastAsia="宋体" w:cs="宋体"/>
                <w:i w:val="0"/>
                <w:iCs w:val="0"/>
                <w:color w:val="auto"/>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62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52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D4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2C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F12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1250.00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4C3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15000.00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DF56">
            <w:pPr>
              <w:jc w:val="center"/>
              <w:rPr>
                <w:rFonts w:hint="eastAsia" w:ascii="宋体" w:hAnsi="宋体" w:eastAsia="宋体" w:cs="宋体"/>
                <w:i w:val="0"/>
                <w:iCs w:val="0"/>
                <w:color w:val="auto"/>
                <w:sz w:val="24"/>
                <w:szCs w:val="24"/>
                <w:u w:val="none"/>
              </w:rPr>
            </w:pPr>
          </w:p>
        </w:tc>
      </w:tr>
      <w:tr w14:paraId="0292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72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EFC1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90E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¥978,000.00</w:t>
            </w:r>
          </w:p>
        </w:tc>
      </w:tr>
    </w:tbl>
    <w:p w14:paraId="299CC897">
      <w:pPr>
        <w:rPr>
          <w:rFonts w:hint="eastAsia" w:asciiTheme="minorEastAsia" w:hAnsiTheme="minorEastAsia" w:eastAsiaTheme="minorEastAsia" w:cstheme="minorEastAsia"/>
          <w:b/>
          <w:bCs/>
          <w:color w:val="auto"/>
          <w:kern w:val="0"/>
          <w:sz w:val="24"/>
          <w:lang w:val="en-US" w:eastAsia="zh-CN"/>
        </w:rPr>
        <w:sectPr>
          <w:pgSz w:w="11906" w:h="16838"/>
          <w:pgMar w:top="1247" w:right="1247" w:bottom="1247" w:left="1247" w:header="850" w:footer="992" w:gutter="0"/>
          <w:pgNumType w:fmt="decimal"/>
          <w:cols w:space="0" w:num="1"/>
          <w:rtlGutter w:val="0"/>
          <w:docGrid w:type="lines" w:linePitch="319" w:charSpace="0"/>
        </w:sectPr>
      </w:pPr>
      <w:r>
        <w:rPr>
          <w:rFonts w:hint="eastAsia" w:asciiTheme="minorEastAsia" w:hAnsiTheme="minorEastAsia" w:eastAsiaTheme="minorEastAsia" w:cstheme="minorEastAsia"/>
          <w:b/>
          <w:bCs/>
          <w:color w:val="auto"/>
          <w:kern w:val="0"/>
          <w:sz w:val="24"/>
          <w:lang w:val="en-US" w:eastAsia="zh-CN"/>
        </w:rPr>
        <w:br w:type="page"/>
      </w:r>
    </w:p>
    <w:p w14:paraId="18E26084">
      <w:pPr>
        <w:rPr>
          <w:rFonts w:hint="eastAsia" w:asciiTheme="minorEastAsia" w:hAnsiTheme="minorEastAsia" w:eastAsiaTheme="minorEastAsia" w:cstheme="minorEastAsia"/>
          <w:b/>
          <w:bCs/>
          <w:color w:val="auto"/>
          <w:kern w:val="0"/>
          <w:sz w:val="24"/>
          <w:lang w:val="en-US" w:eastAsia="zh-CN"/>
        </w:rPr>
      </w:pPr>
    </w:p>
    <w:p w14:paraId="338B72FD">
      <w:pPr>
        <w:widowControl/>
        <w:spacing w:line="360" w:lineRule="auto"/>
        <w:jc w:val="left"/>
        <w:outlineLvl w:val="9"/>
        <w:rPr>
          <w:rFonts w:hint="default" w:asciiTheme="minorEastAsia" w:hAnsiTheme="minorEastAsia" w:eastAsiaTheme="minorEastAsia" w:cstheme="minorEastAsia"/>
          <w:b/>
          <w:bCs/>
          <w:color w:val="auto"/>
          <w:kern w:val="0"/>
          <w:sz w:val="24"/>
          <w:lang w:val="en-US" w:eastAsia="zh-CN"/>
        </w:rPr>
      </w:pPr>
      <w:r>
        <w:rPr>
          <w:rFonts w:hint="eastAsia" w:asciiTheme="minorEastAsia" w:hAnsiTheme="minorEastAsia" w:eastAsiaTheme="minorEastAsia" w:cstheme="minorEastAsia"/>
          <w:b/>
          <w:bCs/>
          <w:color w:val="auto"/>
          <w:kern w:val="0"/>
          <w:sz w:val="24"/>
          <w:lang w:val="en-US" w:eastAsia="zh-CN"/>
        </w:rPr>
        <w:t>（二）技术参数</w:t>
      </w:r>
    </w:p>
    <w:tbl>
      <w:tblPr>
        <w:tblStyle w:val="41"/>
        <w:tblpPr w:leftFromText="180" w:rightFromText="180" w:vertAnchor="text" w:horzAnchor="page" w:tblpX="1515" w:tblpY="346"/>
        <w:tblOverlap w:val="never"/>
        <w:tblW w:w="14043" w:type="dxa"/>
        <w:tblInd w:w="0" w:type="dxa"/>
        <w:tblLayout w:type="fixed"/>
        <w:tblCellMar>
          <w:top w:w="0" w:type="dxa"/>
          <w:left w:w="108" w:type="dxa"/>
          <w:bottom w:w="0" w:type="dxa"/>
          <w:right w:w="108" w:type="dxa"/>
        </w:tblCellMar>
      </w:tblPr>
      <w:tblGrid>
        <w:gridCol w:w="791"/>
        <w:gridCol w:w="1879"/>
        <w:gridCol w:w="11373"/>
      </w:tblGrid>
      <w:tr w14:paraId="380B3921">
        <w:tblPrEx>
          <w:tblCellMar>
            <w:top w:w="0" w:type="dxa"/>
            <w:left w:w="108" w:type="dxa"/>
            <w:bottom w:w="0" w:type="dxa"/>
            <w:right w:w="108" w:type="dxa"/>
          </w:tblCellMar>
        </w:tblPrEx>
        <w:trPr>
          <w:trHeight w:val="58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AEF4">
            <w:pPr>
              <w:widowControl/>
              <w:wordWrap w:val="0"/>
              <w:snapToGrid w:val="0"/>
              <w:spacing w:line="276" w:lineRule="auto"/>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序号</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7F49">
            <w:pPr>
              <w:widowControl/>
              <w:wordWrap w:val="0"/>
              <w:snapToGrid w:val="0"/>
              <w:spacing w:line="276" w:lineRule="auto"/>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产品名称</w:t>
            </w:r>
          </w:p>
        </w:tc>
        <w:tc>
          <w:tcPr>
            <w:tcW w:w="1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2E6B">
            <w:pPr>
              <w:widowControl/>
              <w:wordWrap w:val="0"/>
              <w:snapToGrid w:val="0"/>
              <w:spacing w:line="276" w:lineRule="auto"/>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技术要求</w:t>
            </w:r>
          </w:p>
        </w:tc>
      </w:tr>
      <w:tr w14:paraId="0DEF659D">
        <w:tblPrEx>
          <w:tblCellMar>
            <w:top w:w="0" w:type="dxa"/>
            <w:left w:w="108" w:type="dxa"/>
            <w:bottom w:w="0" w:type="dxa"/>
            <w:right w:w="108" w:type="dxa"/>
          </w:tblCellMar>
        </w:tblPrEx>
        <w:trPr>
          <w:trHeight w:val="58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2CCF">
            <w:pPr>
              <w:widowControl/>
              <w:wordWrap w:val="0"/>
              <w:snapToGrid w:val="0"/>
              <w:spacing w:line="276" w:lineRule="auto"/>
              <w:jc w:val="center"/>
              <w:rPr>
                <w:rFonts w:ascii="仿宋_GB2312" w:hAnsi="仿宋_GB2312" w:eastAsia="仿宋_GB2312" w:cs="仿宋_GB2312"/>
                <w:b/>
                <w:bCs/>
                <w:color w:val="auto"/>
                <w:kern w:val="0"/>
                <w:sz w:val="24"/>
                <w:szCs w:val="24"/>
                <w:lang w:bidi="ar"/>
              </w:rPr>
            </w:pPr>
            <w:r>
              <w:rPr>
                <w:rFonts w:hint="eastAsia" w:ascii="仿宋_GB2312" w:hAnsi="仿宋_GB2312" w:eastAsia="仿宋_GB2312" w:cs="仿宋_GB2312"/>
                <w:b/>
                <w:bCs/>
                <w:color w:val="auto"/>
                <w:kern w:val="0"/>
                <w:sz w:val="24"/>
                <w:szCs w:val="24"/>
                <w:lang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D2D8">
            <w:pPr>
              <w:widowControl/>
              <w:wordWrap w:val="0"/>
              <w:snapToGrid w:val="0"/>
              <w:spacing w:line="276" w:lineRule="auto"/>
              <w:jc w:val="center"/>
              <w:rPr>
                <w:rFonts w:ascii="仿宋_GB2312" w:hAnsi="仿宋_GB2312" w:eastAsia="仿宋_GB2312" w:cs="仿宋_GB2312"/>
                <w:b/>
                <w:bCs/>
                <w:color w:val="auto"/>
                <w:kern w:val="0"/>
                <w:sz w:val="24"/>
                <w:szCs w:val="24"/>
                <w:lang w:bidi="ar"/>
              </w:rPr>
            </w:pPr>
            <w:r>
              <w:rPr>
                <w:rFonts w:hint="eastAsia" w:ascii="仿宋_GB2312" w:hAnsi="仿宋_GB2312" w:eastAsia="仿宋_GB2312" w:cs="仿宋_GB2312"/>
                <w:color w:val="auto"/>
                <w:kern w:val="0"/>
                <w:sz w:val="24"/>
                <w:szCs w:val="24"/>
              </w:rPr>
              <w:t>信息通信网络实训装置</w:t>
            </w:r>
          </w:p>
        </w:tc>
        <w:tc>
          <w:tcPr>
            <w:tcW w:w="1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840F">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一、规格要求：</w:t>
            </w:r>
          </w:p>
          <w:p w14:paraId="2C55CF85">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1、长</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600mm，宽</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750mm，高</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1630mm。</w:t>
            </w:r>
          </w:p>
          <w:p w14:paraId="1EB70772">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2、要求全钢材质结构，配套功能模组19英寸标准设计，带底轮，方便移动，坚固耐用。</w:t>
            </w:r>
          </w:p>
          <w:p w14:paraId="70825036">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3、额定功率：500W，满足2-3个学生同时进行实训。</w:t>
            </w:r>
          </w:p>
          <w:p w14:paraId="750A41BF">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二、结构要求：</w:t>
            </w:r>
          </w:p>
          <w:p w14:paraId="78774DE7">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1、为全钢材质，表面铁灰色防静电烤漆，配套功能模组19英寸标准设计，模组面板为亚光白色烤漆；</w:t>
            </w:r>
          </w:p>
          <w:p w14:paraId="6AA51A8D">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采用标准19英寸设计，高度≥24U，深度≥750mm，分为数据中心水平配线区设备机架、管理区网络机架、工作区和架空下体盘线柜。上体可用于安装云平台服务器、交换设备、及标准19英寸实训模组等；下体为架空盘线柜，模拟数据中心机房架空地板设计，内部装有网格桥架，可用于线缆盘线整理及敷设。（提供相应设备照片佐证）</w:t>
            </w:r>
          </w:p>
          <w:p w14:paraId="6CFF5275">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三、配置要求：</w:t>
            </w:r>
          </w:p>
          <w:p w14:paraId="430E93FB">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▲1、总电源配电模组1套：标准</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19英寸3U设计，设置有总电源漏电开关、总电源电流电压表、开关断路器、导轨式五孔插座和卡扣式五孔插座等，支持功率2500-3000W，带漏电保护功能，保障实训过程中的用电安全。（提供相应设备照片佐证）</w:t>
            </w:r>
          </w:p>
          <w:p w14:paraId="791F060B">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w:t>
            </w:r>
            <w:r>
              <w:rPr>
                <w:rFonts w:hint="eastAsia" w:ascii="仿宋_GB2312" w:hAnsi="仿宋_GB2312" w:eastAsia="仿宋_GB2312" w:cs="仿宋_GB2312"/>
                <w:color w:val="auto"/>
                <w:kern w:val="0"/>
                <w:sz w:val="24"/>
                <w:szCs w:val="24"/>
                <w:lang w:val="en-US" w:eastAsia="zh-CN" w:bidi="ar"/>
              </w:rPr>
              <w:t>模拟服务器模组1套</w:t>
            </w:r>
            <w:r>
              <w:rPr>
                <w:rFonts w:hint="eastAsia" w:ascii="仿宋_GB2312" w:hAnsi="仿宋_GB2312" w:eastAsia="仿宋_GB2312" w:cs="仿宋_GB2312"/>
                <w:color w:val="auto"/>
                <w:kern w:val="0"/>
                <w:sz w:val="24"/>
                <w:szCs w:val="24"/>
                <w:lang w:bidi="ar"/>
              </w:rPr>
              <w:t>：标准19英寸2U设计，嵌有6组主机网络端口模块，每个模块带有指示灯，可以侦测链路连接状态；模拟EDA设备配线区的主机，单台模拟主机配置不少于6个端口模块，至少可以模拟6台主机的网络接入，并具有适度的通信功能；</w:t>
            </w:r>
          </w:p>
          <w:p w14:paraId="674393E7">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3、配套材料要求：屏蔽模块化配线架空架</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3个；19英寸理线架</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2个，带4个以上镀锌理线环，背板带过线孔；用于模拟HDA-EDA链路布线路由。</w:t>
            </w:r>
          </w:p>
          <w:p w14:paraId="7C30C8C3">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▲4、暗装工作区模组1套：19英寸</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3U高度，内置4口暗装86型底盒，背后带有扎线排；支持终端设备工作区信息点安装。（提供相应设备照片佐证）</w:t>
            </w:r>
          </w:p>
          <w:p w14:paraId="05420E0B">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5、配套实训设备1套：机架式网络三层交换机</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1台，二层交换机</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1台，路由器</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1台，防火墙</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1台。</w:t>
            </w:r>
          </w:p>
          <w:p w14:paraId="2193EF8D">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(1)三层通信交换设备配置要求：24个10/100/1000Base-T以太网端口，4个千兆SFP, 交流供电；支持PoE+；包转发率：51 Mpps/126 Mpps；交换容量：336 Gbps/3.36 Tbps；VBST基于VLAN生成树协议（和PVST/PVST+/RPVST 互通）；支持AAA认证，支持Radius、HWTACACS等多种方式。</w:t>
            </w:r>
          </w:p>
          <w:p w14:paraId="4D97D08F">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(2)二层通信交换机设备配置要求：24 个 10/100/1000Base-T 以太网端口，4 个万兆 SFP+；支持 1+1 电源备份，热插拔；支持可插拔双风扇，智能调速；包转发率：216 Mpps/426 Mpps；交换容量：758 Gbps/7.58 Tbps。</w:t>
            </w:r>
          </w:p>
          <w:p w14:paraId="30092D14">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(3)高速路由器配置要求：4*GE WAN,4*SFP+,12*GE LAN,1*USB2.0,4*SIC,150W交流电源；一块 2端口同异步串口接口卡及配套V.35 DTE和V.35 DCE线缆；一根 RJ45转DB9-调试串口电缆-3m；WAN：4×GE光+4×10GE光（兼容GE光），LAN：12×GE电（LAN可以切换为WAN）；支持DHCP server/client/relay，PPPoE server/client，NAT，子接口管理等。</w:t>
            </w:r>
          </w:p>
          <w:p w14:paraId="5346E87B">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(4)防火墙参数要求：功能包含应用识别、IPSec VPN、数据防泄漏、带宽管理、虚拟防火墙功能，SSL VPN送100用户；吞吐量1.2Gbps，最大并发连接数30万，每秒新建连接数2万；基于时间、用户/用户组/安全组、应用层协议、地理位置、IP地址、端口、域名组、URL分类、接入类型、终端类型、设备组、内容安全统一界面进行安全策略配置；支持静态路由、策略路由、RIP、OSPF、BGP、ISIS等路由协议；支持IPv6协议栈、IPV6穿越技术、IPV6路由协议。</w:t>
            </w:r>
          </w:p>
          <w:p w14:paraId="1AEDE9DB">
            <w:pPr>
              <w:widowControl/>
              <w:wordWrap w:val="0"/>
              <w:snapToGrid w:val="0"/>
              <w:spacing w:line="276" w:lineRule="auto"/>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6、配套实训材料1套：要求至少包括预端接链路2套，超六类链路4条，超五类链路3条，超六类跳线10条、超五类跳线3条、水口钳1把、螺丝刀1把、线缆标签2张、线序测试仪1个、工具包一个。</w:t>
            </w:r>
          </w:p>
        </w:tc>
      </w:tr>
      <w:tr w14:paraId="4AD3A2EC">
        <w:tblPrEx>
          <w:tblCellMar>
            <w:top w:w="0" w:type="dxa"/>
            <w:left w:w="108" w:type="dxa"/>
            <w:bottom w:w="0" w:type="dxa"/>
            <w:right w:w="108" w:type="dxa"/>
          </w:tblCellMar>
        </w:tblPrEx>
        <w:trPr>
          <w:trHeight w:val="38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67D2">
            <w:pPr>
              <w:widowControl/>
              <w:wordWrap w:val="0"/>
              <w:snapToGrid w:val="0"/>
              <w:spacing w:line="276"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6DF3">
            <w:pPr>
              <w:widowControl/>
              <w:wordWrap w:val="0"/>
              <w:snapToGrid w:val="0"/>
              <w:spacing w:line="276"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双工位高性能工作站</w:t>
            </w:r>
          </w:p>
        </w:tc>
        <w:tc>
          <w:tcPr>
            <w:tcW w:w="1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F60B">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功能要求：装置模拟智算中心业务管理和技术支持的工作区，在网络链路上属于接入层，是技术支持人员的工作场所和设备。并通过主干连接至智算中心主设备机柜，是学生进行智算中心中心网络系统配置、服务器系统配置（多人同时进行在线实训）、数据中心服务器远程运维、智算中心运动环监控和运维以及人工智能大模型调试的实操环境。</w:t>
            </w:r>
          </w:p>
          <w:p w14:paraId="61C98E59">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配置要求：每套工作站装置带有1套双人的铝合金计算机工位，并配置2套计算机工作站终端设备。可以2套或4套铝合金工位组成阵列式座位布局，每组阵列式工位配置FD网络交换机，并通过管槽连接至数据中心主机柜。</w:t>
            </w:r>
          </w:p>
          <w:p w14:paraId="13793291">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▲3、结构和参数要求：</w:t>
            </w:r>
          </w:p>
          <w:p w14:paraId="3BBD8CDB">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铝合金计算机工位：采用工业铝型材结构结构设计，工位台体带有2个19英寸10U设备机架，标配19英寸金属储物抽屉2套、PDU插座2条、全宽金属键盘抽屉2个、铝合金全向显示器支臂2个、滑轮套件1组、不锈钢凳子2个、拼接套件1套。</w:t>
            </w:r>
          </w:p>
          <w:p w14:paraId="09BCE127">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（2）19英寸计算机工作站2套，单套具体参数为2U机架式结构，采用X86架构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4核8线程以上CPU，</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16G内存，</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500G M2 NVME硬盘,自带千兆网口、USB3.0接口，24寸数字接口显示器、键盘鼠标等。显示器通过活动壁伸缩式安装，可以调整高度和水平角度。内置正版安装WINDOWS或LINUX操作系统。</w:t>
            </w:r>
          </w:p>
          <w:p w14:paraId="7D5AD19A">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（3）FD网络套件：每4套工作站装置配置FD二层千兆交换机1个，过线槽1套。</w:t>
            </w:r>
          </w:p>
        </w:tc>
      </w:tr>
      <w:tr w14:paraId="199B0F3A">
        <w:tblPrEx>
          <w:tblCellMar>
            <w:top w:w="0" w:type="dxa"/>
            <w:left w:w="108" w:type="dxa"/>
            <w:bottom w:w="0" w:type="dxa"/>
            <w:right w:w="108" w:type="dxa"/>
          </w:tblCellMar>
        </w:tblPrEx>
        <w:trPr>
          <w:trHeight w:val="100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8D66">
            <w:pPr>
              <w:widowControl/>
              <w:wordWrap w:val="0"/>
              <w:snapToGrid w:val="0"/>
              <w:spacing w:line="276" w:lineRule="auto"/>
              <w:jc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0495">
            <w:pPr>
              <w:widowControl/>
              <w:wordWrap w:val="0"/>
              <w:snapToGrid w:val="0"/>
              <w:spacing w:line="276"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虚拟化竞赛云平台</w:t>
            </w:r>
          </w:p>
          <w:p w14:paraId="784CA646">
            <w:pPr>
              <w:widowControl/>
              <w:wordWrap w:val="0"/>
              <w:snapToGrid w:val="0"/>
              <w:spacing w:line="276"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（核心产品）</w:t>
            </w:r>
          </w:p>
        </w:tc>
        <w:tc>
          <w:tcPr>
            <w:tcW w:w="1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AF14">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1、2U机架式机箱；</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2、千兆网口≥8口；≥2光口；</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3、配置1颗不低于8核芯处理器；</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4、内存≥64G；</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5、≥1TB NVME固态硬盘；</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6、支持同时运行虚拟设备≥60台；</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7、基于企业级Linux操作系统及内核虚拟化技术定制开发，具有高稳定性。</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8、针对竞赛环境定制虚拟机模版，优化性能及标准化交付。</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9、一键安装部署系统平台，减少人工干预。</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▲10、根据竞赛试题拓扑一键生成或清除比赛环境，做到快速切换，无人工干预，减少误操作产生的问题。（提供功能截图）</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11、多种访问连接方式，无客户CML端要求，可随时随地访问。</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12、多种用户角色设置，对用户权限精准控制，保护系统有效隔离。</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13、内置大量快捷简便的用户指令，简化服务器配置。</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14、支持用户自定义上传镜像，模版等，支持导入系统级调用。</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15、内置竞赛标准Windows、Linux操作系统及网络模块专用系统及应用。</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16、支持虚实结合，自由组网，虚拟与物理网络互联互通，虚拟设备系统与物理设备系统互联互通。</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17、支持虚拟设备的增加、删除、修改和查询操作。</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18、能够显示系统所有可配置的资源类型，包括虚拟交换机，虚拟设备、虚网络拟系统。</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19、支持多用户、多环境、多任务并行运行。</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20、内置竞赛模式和训练模式，支持一键切换。</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21、训练模式可自定义并快速部署实验环境。</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sz w:val="24"/>
                <w:szCs w:val="24"/>
              </w:rPr>
              <w:t>22、竞赛模式下一键生成指定的标准化竞赛环境，对选手权限精准控制，减少选手误操作导致环境问题。（提供功能截图）</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23、支持系统和用户级操作日志记录，方便教师检查环境或追溯问题。</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24、支持拓扑及环境一键生成和切换。（提供功能截图）</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25、内置基础设施可编程性和自动化开发套件。</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26、有效完整支持网络系统管理项目所有竞赛模块。</w:t>
            </w:r>
          </w:p>
          <w:p w14:paraId="0C27D30B">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27、内置往届网络系统管理项目技能竞赛拓扑及环境一键生成和切换模块，配套样题和解题方案及各训练阶段训练资源。</w:t>
            </w:r>
          </w:p>
          <w:p w14:paraId="238B710B">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28、有效支持试题自动化运维模块赛后评分一键还原到初始环境。</w:t>
            </w:r>
          </w:p>
          <w:p w14:paraId="34F54444">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29、网络设备模块有效支持20节点虚拟化网络设备竞赛与训练使用。</w:t>
            </w:r>
          </w:p>
          <w:p w14:paraId="32B4E9C7">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sz w:val="24"/>
                <w:szCs w:val="24"/>
              </w:rPr>
              <w:t>30、故障排除模块有效支持融合三模块部署使用，以及在出题专家设计完故障项之后的批量部署。（提供功能截图）</w:t>
            </w:r>
          </w:p>
          <w:p w14:paraId="6E8821F4">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▲31、有效支持各模块赛后自动化评分，解决以往竞赛赛后评分时间长等问题。（提供功能截图）</w:t>
            </w:r>
          </w:p>
          <w:p w14:paraId="0D0154B9">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32、支持虚实结合，自由组网，虚拟与物理网络互联互通，虚拟设备系统与物理设备系统互联互通。</w:t>
            </w:r>
          </w:p>
        </w:tc>
      </w:tr>
      <w:tr w14:paraId="601501B9">
        <w:tblPrEx>
          <w:tblCellMar>
            <w:top w:w="0" w:type="dxa"/>
            <w:left w:w="108" w:type="dxa"/>
            <w:bottom w:w="0" w:type="dxa"/>
            <w:right w:w="108" w:type="dxa"/>
          </w:tblCellMar>
        </w:tblPrEx>
        <w:trPr>
          <w:trHeight w:val="79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EBF8">
            <w:pPr>
              <w:widowControl/>
              <w:wordWrap w:val="0"/>
              <w:snapToGrid w:val="0"/>
              <w:spacing w:line="276"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AAB7">
            <w:pPr>
              <w:widowControl/>
              <w:wordWrap w:val="0"/>
              <w:snapToGrid w:val="0"/>
              <w:spacing w:line="276"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专业网络测试仪</w:t>
            </w:r>
          </w:p>
        </w:tc>
        <w:tc>
          <w:tcPr>
            <w:tcW w:w="1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FFCA">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一、规格要求：</w:t>
            </w:r>
          </w:p>
          <w:p w14:paraId="7ECBF175">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1、长宽高尺寸≥200mm*105mm*50mm ；</w:t>
            </w:r>
          </w:p>
          <w:p w14:paraId="65737B39">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2、重量（含电池）≥1.0kg。</w:t>
            </w:r>
          </w:p>
          <w:p w14:paraId="56760D8C">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二、配置要求：</w:t>
            </w:r>
          </w:p>
          <w:p w14:paraId="7A997776">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1、手持仪表主机1台，测试适配器1个，1个智能远端#1 ，AC电源适配器1个，仪表背带1个，手提包1个，RJ45耦合器1个，USB数据线1根，带文档和报告管理软件的U盘1个，校准报告1份。</w:t>
            </w:r>
          </w:p>
          <w:p w14:paraId="23FCE683">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三、功能要求：</w:t>
            </w:r>
          </w:p>
          <w:p w14:paraId="27689748">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1、测试引擎：9-通道混合模式；</w:t>
            </w:r>
          </w:p>
          <w:p w14:paraId="01AB80F9">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▲2、频率范围：0.1–3,000 MHz；</w:t>
            </w:r>
          </w:p>
          <w:p w14:paraId="1729ED64">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3、测试时间：CAT6A 自动测试：6秒；</w:t>
            </w:r>
          </w:p>
          <w:p w14:paraId="640E72E1">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4、射频测试：IL,RL,NEXT,ACR-F,TCL；支持大于1000m单线对链路双端测试；</w:t>
            </w:r>
          </w:p>
          <w:p w14:paraId="07F1BBA8">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5、以太网供电（PoE）测试：PoE电源类型探测；90W带载测试；识别PoE线对；持续负载监测；</w:t>
            </w:r>
          </w:p>
          <w:p w14:paraId="21A0173B">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6、多速率以太网测试：支持自动测试参数；每个线对的信噪比（SNR）；线缆诊断；PoE探测。</w:t>
            </w:r>
          </w:p>
          <w:p w14:paraId="31DCC4D3">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7、网络测试：以太网网络发现；路由跟踪；流量发生；Ping；识别Wi-Fi用户名（SSID）和接收信号强度（RSSI）。</w:t>
            </w:r>
          </w:p>
          <w:p w14:paraId="51449350">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8、TDR-RL（回波损耗时域反射）：0-100m(分辨率：1m)；定位故障距离；</w:t>
            </w:r>
          </w:p>
          <w:p w14:paraId="2FCFC92F">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9、TDR-NEXT（串扰时域反射）：0-100m(分辨率：1m)；</w:t>
            </w:r>
          </w:p>
          <w:p w14:paraId="404B971A">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10、测试平台测试适配器接口：高频连接器，测试接口支持5000次插拔；适配器与测试平台支持热插拔。</w:t>
            </w:r>
          </w:p>
        </w:tc>
      </w:tr>
      <w:tr w14:paraId="695BFCBA">
        <w:tblPrEx>
          <w:tblCellMar>
            <w:top w:w="0" w:type="dxa"/>
            <w:left w:w="108" w:type="dxa"/>
            <w:bottom w:w="0" w:type="dxa"/>
            <w:right w:w="108" w:type="dxa"/>
          </w:tblCellMar>
        </w:tblPrEx>
        <w:trPr>
          <w:trHeight w:val="79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B1D9">
            <w:pPr>
              <w:widowControl/>
              <w:wordWrap w:val="0"/>
              <w:snapToGrid w:val="0"/>
              <w:spacing w:line="276"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849A">
            <w:pPr>
              <w:widowControl/>
              <w:wordWrap w:val="0"/>
              <w:snapToGrid w:val="0"/>
              <w:spacing w:line="276"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数据中心布线仿真教学平台</w:t>
            </w:r>
          </w:p>
        </w:tc>
        <w:tc>
          <w:tcPr>
            <w:tcW w:w="1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FF7D">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平台功能要求：数据中心布线技术仿真教学平台是针对数据中心布线工程技术实训课程，利用3D虚拟现实技术，仿真实现教学3D场景，软件建立了精确的三维立体实物模型（包含工程实训墙体、立式机柜、挂壁式机柜、桥架及光纤槽道、施工工具等），在场景中可以自由活动并调整不同的视角，包含各模块的仿真练习以及相关的理论测试。仿真平台让没接触过综合布线技能的学生，能通过直观逼真的场景，生动形象操作，让学习更加轻松，理解更加深刻。</w:t>
            </w:r>
          </w:p>
          <w:p w14:paraId="20D3B337">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教学模块要求：平台拥有包括5G数字室分通信布线、数据中心网络布线、综合布线工程施工、智能设备应用、铜缆链路故障测试等学习模块。实现从布线、端接、标识、设备调试等基本施工技能训练实操训练，并在关键技能点内嵌了实训实训教学视频，展示设置完整的网络综合布线BD-FD、数据中心布线HDA-EDA、5G通信工程的RHUB-PRRU等多种链路环境模型。需要提供软件界面截图并配套说明介绍予以佐证。</w:t>
            </w:r>
          </w:p>
          <w:p w14:paraId="0B5F5E36">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3、配套教学资源：</w:t>
            </w:r>
          </w:p>
          <w:p w14:paraId="0CDFEFBB">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▲供应商需提供数据中心相关课程视频资源≥15个，提供视频资源截图佐证：</w:t>
            </w:r>
          </w:p>
          <w:p w14:paraId="0EEB17F8">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业务网络模块介绍；</w:t>
            </w:r>
          </w:p>
          <w:p w14:paraId="27AD51B6">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HDA-EDA光纤链路实训；</w:t>
            </w:r>
          </w:p>
          <w:p w14:paraId="5C9BDD3C">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HDA-EDA铜缆链路实训；</w:t>
            </w:r>
          </w:p>
          <w:p w14:paraId="61FE7924">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HDA-EDA信息模块实训；</w:t>
            </w:r>
          </w:p>
          <w:p w14:paraId="6A8DFC0A">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HDA-EDA链路标签标识；</w:t>
            </w:r>
          </w:p>
          <w:p w14:paraId="7A723E6D">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HDA配线架端接与安装；</w:t>
            </w:r>
          </w:p>
          <w:p w14:paraId="47F6DA65">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管理网络模块；</w:t>
            </w:r>
          </w:p>
          <w:p w14:paraId="211A26AA">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网络系统管理平台暗管实训；</w:t>
            </w:r>
          </w:p>
          <w:p w14:paraId="521DFD20">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网络系统管理平台介绍；</w:t>
            </w:r>
          </w:p>
          <w:p w14:paraId="4DFACADD">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工作区信息点实训；</w:t>
            </w:r>
          </w:p>
          <w:p w14:paraId="08C29B95">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工作区标签标识；</w:t>
            </w:r>
          </w:p>
          <w:p w14:paraId="4B3F2ED6">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FD设备实训；</w:t>
            </w:r>
          </w:p>
          <w:p w14:paraId="51B08DFB">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连接线插接与标签标识；</w:t>
            </w:r>
          </w:p>
          <w:p w14:paraId="3A525FAB">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光纤链路的端接；</w:t>
            </w:r>
          </w:p>
          <w:p w14:paraId="538BFFCA">
            <w:pPr>
              <w:widowControl/>
              <w:wordWrap w:val="0"/>
              <w:snapToGrid w:val="0"/>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试题分析。</w:t>
            </w:r>
          </w:p>
        </w:tc>
      </w:tr>
      <w:tr w14:paraId="2040F9DA">
        <w:tblPrEx>
          <w:tblCellMar>
            <w:top w:w="0" w:type="dxa"/>
            <w:left w:w="108" w:type="dxa"/>
            <w:bottom w:w="0" w:type="dxa"/>
            <w:right w:w="108" w:type="dxa"/>
          </w:tblCellMar>
        </w:tblPrEx>
        <w:trPr>
          <w:trHeight w:val="79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67E4">
            <w:pPr>
              <w:widowControl/>
              <w:wordWrap w:val="0"/>
              <w:snapToGrid w:val="0"/>
              <w:spacing w:line="276"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FD7E">
            <w:pPr>
              <w:widowControl/>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教学展板</w:t>
            </w:r>
          </w:p>
        </w:tc>
        <w:tc>
          <w:tcPr>
            <w:tcW w:w="1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22EC">
            <w:pPr>
              <w:widowControl/>
              <w:spacing w:line="276" w:lineRule="auto"/>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1、根据学院自身教学内容定制教学展板，要求不少于8张；</w:t>
            </w:r>
          </w:p>
          <w:p w14:paraId="01746911">
            <w:pPr>
              <w:widowControl/>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2、专业介绍背景图一幅，含材料及施工。</w:t>
            </w:r>
          </w:p>
        </w:tc>
      </w:tr>
      <w:tr w14:paraId="3503B02A">
        <w:tblPrEx>
          <w:tblCellMar>
            <w:top w:w="0" w:type="dxa"/>
            <w:left w:w="108" w:type="dxa"/>
            <w:bottom w:w="0" w:type="dxa"/>
            <w:right w:w="108" w:type="dxa"/>
          </w:tblCellMar>
        </w:tblPrEx>
        <w:trPr>
          <w:trHeight w:val="79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D059">
            <w:pPr>
              <w:widowControl/>
              <w:wordWrap w:val="0"/>
              <w:snapToGrid w:val="0"/>
              <w:spacing w:line="276"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EE04">
            <w:pPr>
              <w:widowControl/>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工作台</w:t>
            </w:r>
          </w:p>
        </w:tc>
        <w:tc>
          <w:tcPr>
            <w:tcW w:w="1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536E">
            <w:pPr>
              <w:widowControl/>
              <w:spacing w:line="276" w:lineRule="auto"/>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实训工作台（含不锈钢凳子）：不锈钢封包工作台，台面平整，采用方钢支架，产品采用纸箱包装，产品运送至现场后可快速组装；规格长1200mm（+20mm）*高750mm（+20mm）*宽600mm（+20mm）；支持在工作台上进行线槽、线管、桥架等材料加工，组装和摆放各种设备。</w:t>
            </w:r>
          </w:p>
        </w:tc>
      </w:tr>
    </w:tbl>
    <w:p w14:paraId="775F9163">
      <w:pPr>
        <w:rPr>
          <w:rFonts w:hint="eastAsia" w:asciiTheme="minorEastAsia" w:hAnsiTheme="minorEastAsia" w:eastAsiaTheme="minorEastAsia" w:cstheme="minorEastAsia"/>
          <w:b/>
          <w:bCs/>
          <w:color w:val="auto"/>
          <w:kern w:val="0"/>
          <w:sz w:val="24"/>
          <w:lang w:eastAsia="zh-CN"/>
        </w:rPr>
        <w:sectPr>
          <w:pgSz w:w="16838" w:h="11906" w:orient="landscape"/>
          <w:pgMar w:top="1247" w:right="1247" w:bottom="1247" w:left="1247" w:header="850" w:footer="992" w:gutter="0"/>
          <w:pgNumType w:fmt="decimal"/>
          <w:cols w:space="0" w:num="1"/>
          <w:rtlGutter w:val="0"/>
          <w:docGrid w:type="lines" w:linePitch="319" w:charSpace="0"/>
        </w:sectPr>
      </w:pPr>
      <w:r>
        <w:rPr>
          <w:rFonts w:hint="eastAsia" w:asciiTheme="minorEastAsia" w:hAnsiTheme="minorEastAsia" w:eastAsiaTheme="minorEastAsia" w:cstheme="minorEastAsia"/>
          <w:b/>
          <w:bCs/>
          <w:color w:val="auto"/>
          <w:kern w:val="0"/>
          <w:sz w:val="24"/>
          <w:lang w:eastAsia="zh-CN"/>
        </w:rPr>
        <w:br w:type="page"/>
      </w:r>
    </w:p>
    <w:p w14:paraId="3A6968F8">
      <w:pPr>
        <w:rPr>
          <w:rFonts w:hint="eastAsia" w:asciiTheme="minorEastAsia" w:hAnsiTheme="minorEastAsia" w:eastAsiaTheme="minorEastAsia" w:cstheme="minorEastAsia"/>
          <w:b/>
          <w:bCs/>
          <w:color w:val="auto"/>
          <w:kern w:val="0"/>
          <w:sz w:val="24"/>
          <w:lang w:eastAsia="zh-CN"/>
        </w:rPr>
      </w:pPr>
    </w:p>
    <w:p w14:paraId="3759D4D4">
      <w:pPr>
        <w:widowControl/>
        <w:spacing w:line="360" w:lineRule="auto"/>
        <w:jc w:val="left"/>
        <w:outlineLvl w:val="1"/>
        <w:rPr>
          <w:rFonts w:hint="eastAsia" w:asciiTheme="minorEastAsia" w:hAnsiTheme="minorEastAsia" w:eastAsiaTheme="minorEastAsia" w:cstheme="minorEastAsia"/>
          <w:b/>
          <w:bCs/>
          <w:color w:val="auto"/>
          <w:kern w:val="0"/>
          <w:sz w:val="24"/>
          <w:lang w:eastAsia="zh-CN"/>
        </w:rPr>
      </w:pPr>
      <w:r>
        <w:rPr>
          <w:rFonts w:hint="eastAsia" w:asciiTheme="minorEastAsia" w:hAnsiTheme="minorEastAsia" w:eastAsiaTheme="minorEastAsia" w:cstheme="minorEastAsia"/>
          <w:b/>
          <w:bCs/>
          <w:color w:val="auto"/>
          <w:kern w:val="0"/>
          <w:sz w:val="24"/>
          <w:lang w:val="en-US" w:eastAsia="zh-CN"/>
        </w:rPr>
        <w:t>三</w:t>
      </w:r>
      <w:r>
        <w:rPr>
          <w:rFonts w:hint="eastAsia" w:asciiTheme="minorEastAsia" w:hAnsiTheme="minorEastAsia" w:eastAsiaTheme="minorEastAsia" w:cstheme="minorEastAsia"/>
          <w:b/>
          <w:bCs/>
          <w:color w:val="auto"/>
          <w:kern w:val="0"/>
          <w:sz w:val="24"/>
          <w:lang w:eastAsia="zh-CN"/>
        </w:rPr>
        <w:t>、</w:t>
      </w:r>
      <w:r>
        <w:rPr>
          <w:rFonts w:hint="eastAsia" w:asciiTheme="minorEastAsia" w:hAnsiTheme="minorEastAsia" w:eastAsiaTheme="minorEastAsia" w:cstheme="minorEastAsia"/>
          <w:b/>
          <w:bCs/>
          <w:color w:val="auto"/>
          <w:kern w:val="0"/>
          <w:sz w:val="24"/>
          <w:lang w:val="en-US" w:eastAsia="zh-CN"/>
        </w:rPr>
        <w:t>其他</w:t>
      </w:r>
      <w:r>
        <w:rPr>
          <w:rFonts w:hint="eastAsia" w:asciiTheme="minorEastAsia" w:hAnsiTheme="minorEastAsia" w:eastAsiaTheme="minorEastAsia" w:cstheme="minorEastAsia"/>
          <w:b/>
          <w:bCs/>
          <w:color w:val="auto"/>
          <w:kern w:val="0"/>
          <w:sz w:val="24"/>
          <w:lang w:eastAsia="zh-CN"/>
        </w:rPr>
        <w:t>要求</w:t>
      </w:r>
      <w:bookmarkEnd w:id="272"/>
      <w:bookmarkEnd w:id="273"/>
    </w:p>
    <w:p w14:paraId="52E94AB8">
      <w:pPr>
        <w:autoSpaceDE w:val="0"/>
        <w:autoSpaceDN w:val="0"/>
        <w:adjustRightInd w:val="0"/>
        <w:spacing w:line="360" w:lineRule="auto"/>
        <w:ind w:firstLine="482" w:firstLineChars="200"/>
        <w:rPr>
          <w:rFonts w:hint="eastAsia" w:asciiTheme="minorEastAsia" w:hAnsiTheme="minorEastAsia" w:eastAsiaTheme="minorEastAsia" w:cstheme="minorEastAsia"/>
          <w:b/>
          <w:bCs w:val="0"/>
          <w:color w:val="auto"/>
          <w:sz w:val="24"/>
          <w:lang w:val="en-US" w:eastAsia="zh-CN"/>
        </w:rPr>
      </w:pPr>
      <w:r>
        <w:rPr>
          <w:rFonts w:hint="eastAsia" w:asciiTheme="minorEastAsia" w:hAnsiTheme="minorEastAsia" w:eastAsiaTheme="minorEastAsia" w:cstheme="minorEastAsia"/>
          <w:b/>
          <w:bCs w:val="0"/>
          <w:color w:val="auto"/>
          <w:sz w:val="24"/>
          <w:lang w:val="en-US" w:eastAsia="zh-CN"/>
        </w:rPr>
        <w:t>（一）报价要求</w:t>
      </w:r>
    </w:p>
    <w:p w14:paraId="17E659E9">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1.供应商须对所有项目内容进行报价，必须对所有品目进行响应，不得有缺漏。</w:t>
      </w:r>
    </w:p>
    <w:p w14:paraId="5E83A757">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2.报价应包含完成本次采购所有标的内容的费用，包含设备及所需附件、包装、运费、安装调试、税费、资料、质保期内维护、保养、维修等的全部费用。</w:t>
      </w:r>
    </w:p>
    <w:p w14:paraId="61E719F9">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3.不能在报价之外还有其他费用出现。</w:t>
      </w:r>
    </w:p>
    <w:p w14:paraId="2B0DA8CF">
      <w:pPr>
        <w:autoSpaceDE w:val="0"/>
        <w:autoSpaceDN w:val="0"/>
        <w:adjustRightInd w:val="0"/>
        <w:spacing w:line="360" w:lineRule="auto"/>
        <w:ind w:firstLine="482" w:firstLineChars="200"/>
        <w:rPr>
          <w:rFonts w:hint="eastAsia" w:asciiTheme="minorEastAsia" w:hAnsiTheme="minorEastAsia" w:eastAsiaTheme="minorEastAsia" w:cstheme="minorEastAsia"/>
          <w:b/>
          <w:bCs w:val="0"/>
          <w:color w:val="auto"/>
          <w:sz w:val="24"/>
          <w:lang w:val="en-US" w:eastAsia="zh-CN"/>
        </w:rPr>
      </w:pPr>
      <w:r>
        <w:rPr>
          <w:rFonts w:hint="eastAsia" w:asciiTheme="minorEastAsia" w:hAnsiTheme="minorEastAsia" w:eastAsiaTheme="minorEastAsia" w:cstheme="minorEastAsia"/>
          <w:b/>
          <w:bCs w:val="0"/>
          <w:color w:val="auto"/>
          <w:sz w:val="24"/>
          <w:lang w:val="en-US" w:eastAsia="zh-CN"/>
        </w:rPr>
        <w:t>（二）项目实施地点</w:t>
      </w:r>
    </w:p>
    <w:p w14:paraId="7B47EE70">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采购人指定地点。</w:t>
      </w:r>
    </w:p>
    <w:p w14:paraId="01E6C15E">
      <w:pPr>
        <w:autoSpaceDE w:val="0"/>
        <w:autoSpaceDN w:val="0"/>
        <w:adjustRightInd w:val="0"/>
        <w:spacing w:line="360" w:lineRule="auto"/>
        <w:ind w:firstLine="482" w:firstLineChars="200"/>
        <w:rPr>
          <w:rFonts w:hint="eastAsia" w:asciiTheme="minorEastAsia" w:hAnsiTheme="minorEastAsia" w:eastAsiaTheme="minorEastAsia" w:cstheme="minorEastAsia"/>
          <w:b/>
          <w:bCs w:val="0"/>
          <w:color w:val="auto"/>
          <w:sz w:val="24"/>
          <w:lang w:val="en-US" w:eastAsia="zh-CN"/>
        </w:rPr>
      </w:pPr>
      <w:r>
        <w:rPr>
          <w:rFonts w:hint="eastAsia" w:asciiTheme="minorEastAsia" w:hAnsiTheme="minorEastAsia" w:eastAsiaTheme="minorEastAsia" w:cstheme="minorEastAsia"/>
          <w:b/>
          <w:bCs w:val="0"/>
          <w:color w:val="auto"/>
          <w:sz w:val="24"/>
          <w:lang w:val="en-US" w:eastAsia="zh-CN"/>
        </w:rPr>
        <w:t>（三）交货要求</w:t>
      </w:r>
    </w:p>
    <w:p w14:paraId="4A219111">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1.投标人须将设备、产品运送到指定地点，其运送的所有费用由投标人承担。</w:t>
      </w:r>
    </w:p>
    <w:p w14:paraId="31C2B174">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2.投标人应按项目进度安排计划，派出适当的技术人员到安装现场负责免费安装和调试工作。在安装调试期间，严格遵守采购人的有关制度。</w:t>
      </w:r>
    </w:p>
    <w:p w14:paraId="7345D1DA">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3.安装调试期间需做到安全施工，不得损坏采购人的设备设施，否则原价赔偿。</w:t>
      </w:r>
    </w:p>
    <w:p w14:paraId="0B6EBBCF">
      <w:pPr>
        <w:autoSpaceDE w:val="0"/>
        <w:autoSpaceDN w:val="0"/>
        <w:adjustRightInd w:val="0"/>
        <w:spacing w:line="360" w:lineRule="auto"/>
        <w:ind w:firstLine="482" w:firstLineChars="200"/>
        <w:rPr>
          <w:rFonts w:hint="eastAsia" w:asciiTheme="minorEastAsia" w:hAnsiTheme="minorEastAsia" w:eastAsiaTheme="minorEastAsia" w:cstheme="minorEastAsia"/>
          <w:b/>
          <w:bCs w:val="0"/>
          <w:color w:val="auto"/>
          <w:sz w:val="24"/>
          <w:lang w:eastAsia="zh-CN"/>
        </w:rPr>
      </w:pPr>
      <w:r>
        <w:rPr>
          <w:rFonts w:hint="eastAsia" w:asciiTheme="minorEastAsia" w:hAnsiTheme="minorEastAsia" w:eastAsiaTheme="minorEastAsia" w:cstheme="minorEastAsia"/>
          <w:b/>
          <w:bCs w:val="0"/>
          <w:color w:val="auto"/>
          <w:sz w:val="24"/>
          <w:lang w:eastAsia="zh-CN"/>
        </w:rPr>
        <w:t>（</w:t>
      </w:r>
      <w:r>
        <w:rPr>
          <w:rFonts w:hint="eastAsia" w:asciiTheme="minorEastAsia" w:hAnsiTheme="minorEastAsia" w:eastAsiaTheme="minorEastAsia" w:cstheme="minorEastAsia"/>
          <w:b/>
          <w:bCs w:val="0"/>
          <w:color w:val="auto"/>
          <w:sz w:val="24"/>
          <w:lang w:val="en-US" w:eastAsia="zh-CN"/>
        </w:rPr>
        <w:t>四</w:t>
      </w:r>
      <w:r>
        <w:rPr>
          <w:rFonts w:hint="eastAsia" w:asciiTheme="minorEastAsia" w:hAnsiTheme="minorEastAsia" w:eastAsiaTheme="minorEastAsia" w:cstheme="minorEastAsia"/>
          <w:b/>
          <w:bCs w:val="0"/>
          <w:color w:val="auto"/>
          <w:sz w:val="24"/>
          <w:lang w:eastAsia="zh-CN"/>
        </w:rPr>
        <w:t>）货物质量要求</w:t>
      </w:r>
    </w:p>
    <w:p w14:paraId="5D4C03C8">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1.货物为全新的（原装）产品（含零部件、配件、随机工具等），表面无划伤、无碰撞。</w:t>
      </w:r>
    </w:p>
    <w:p w14:paraId="096B48B0">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2.产品质量和技术标准必须符合现行国家、行业相关的质量要求、规范及标准，同时满足采购人实际需求。</w:t>
      </w:r>
    </w:p>
    <w:p w14:paraId="49FD384A">
      <w:pPr>
        <w:autoSpaceDE w:val="0"/>
        <w:autoSpaceDN w:val="0"/>
        <w:adjustRightInd w:val="0"/>
        <w:spacing w:line="360" w:lineRule="auto"/>
        <w:ind w:firstLine="482" w:firstLineChars="200"/>
        <w:rPr>
          <w:rFonts w:hint="eastAsia" w:asciiTheme="minorEastAsia" w:hAnsiTheme="minorEastAsia" w:eastAsiaTheme="minorEastAsia" w:cstheme="minorEastAsia"/>
          <w:b/>
          <w:bCs w:val="0"/>
          <w:color w:val="auto"/>
          <w:sz w:val="24"/>
          <w:lang w:eastAsia="zh-CN"/>
        </w:rPr>
      </w:pPr>
      <w:r>
        <w:rPr>
          <w:rFonts w:hint="eastAsia" w:asciiTheme="minorEastAsia" w:hAnsiTheme="minorEastAsia" w:eastAsiaTheme="minorEastAsia" w:cstheme="minorEastAsia"/>
          <w:b/>
          <w:bCs w:val="0"/>
          <w:color w:val="auto"/>
          <w:sz w:val="24"/>
          <w:lang w:eastAsia="zh-CN"/>
        </w:rPr>
        <w:t>（</w:t>
      </w:r>
      <w:r>
        <w:rPr>
          <w:rFonts w:hint="eastAsia" w:asciiTheme="minorEastAsia" w:hAnsiTheme="minorEastAsia" w:eastAsiaTheme="minorEastAsia" w:cstheme="minorEastAsia"/>
          <w:b/>
          <w:bCs w:val="0"/>
          <w:color w:val="auto"/>
          <w:sz w:val="24"/>
          <w:lang w:val="en-US" w:eastAsia="zh-CN"/>
        </w:rPr>
        <w:t>五</w:t>
      </w:r>
      <w:r>
        <w:rPr>
          <w:rFonts w:hint="eastAsia" w:asciiTheme="minorEastAsia" w:hAnsiTheme="minorEastAsia" w:eastAsiaTheme="minorEastAsia" w:cstheme="minorEastAsia"/>
          <w:b/>
          <w:bCs w:val="0"/>
          <w:color w:val="auto"/>
          <w:sz w:val="24"/>
          <w:lang w:eastAsia="zh-CN"/>
        </w:rPr>
        <w:t>）包装和运输</w:t>
      </w:r>
    </w:p>
    <w:p w14:paraId="537BA070">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 xml:space="preserve">1.货物的包装和发运应符合货物特性要求。 </w:t>
      </w:r>
    </w:p>
    <w:p w14:paraId="3B31CF11">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2.为了保证货物在长途运输和装卸过程中的安全，货物包装应符合国家或行业标准规定。由于包装不善导致货物锈蚀、失缺或损坏，由供货商承担一切责任。</w:t>
      </w:r>
    </w:p>
    <w:p w14:paraId="207FCCE4">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3.所有设备、器材在开箱时须完好，无破损。配置与装箱单相符。数量、质量及性能不低于合同要求。</w:t>
      </w:r>
    </w:p>
    <w:p w14:paraId="1D17A546">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4.拆箱后，投标人应对其全部产品、零件、配件、用户许可证书、资料、介质造册登记，并与装箱单对比，如有出入应立即书面记录，由中标人解决，如影响安装则按合同有关条款处理。</w:t>
      </w:r>
    </w:p>
    <w:p w14:paraId="1E8740CF">
      <w:pPr>
        <w:autoSpaceDE w:val="0"/>
        <w:autoSpaceDN w:val="0"/>
        <w:adjustRightInd w:val="0"/>
        <w:spacing w:line="360" w:lineRule="auto"/>
        <w:ind w:firstLine="482" w:firstLineChars="200"/>
        <w:rPr>
          <w:rFonts w:hint="eastAsia" w:asciiTheme="minorEastAsia" w:hAnsiTheme="minorEastAsia" w:eastAsiaTheme="minorEastAsia" w:cstheme="minorEastAsia"/>
          <w:b/>
          <w:bCs w:val="0"/>
          <w:color w:val="auto"/>
          <w:sz w:val="24"/>
          <w:lang w:eastAsia="zh-CN"/>
        </w:rPr>
      </w:pPr>
      <w:r>
        <w:rPr>
          <w:rFonts w:hint="eastAsia" w:asciiTheme="minorEastAsia" w:hAnsiTheme="minorEastAsia" w:eastAsiaTheme="minorEastAsia" w:cstheme="minorEastAsia"/>
          <w:b/>
          <w:bCs w:val="0"/>
          <w:color w:val="auto"/>
          <w:sz w:val="24"/>
          <w:lang w:eastAsia="zh-CN"/>
        </w:rPr>
        <w:t>（</w:t>
      </w:r>
      <w:r>
        <w:rPr>
          <w:rFonts w:hint="eastAsia" w:asciiTheme="minorEastAsia" w:hAnsiTheme="minorEastAsia" w:eastAsiaTheme="minorEastAsia" w:cstheme="minorEastAsia"/>
          <w:b/>
          <w:bCs w:val="0"/>
          <w:color w:val="auto"/>
          <w:sz w:val="24"/>
          <w:lang w:val="en-US" w:eastAsia="zh-CN"/>
        </w:rPr>
        <w:t>六</w:t>
      </w:r>
      <w:r>
        <w:rPr>
          <w:rFonts w:hint="eastAsia" w:asciiTheme="minorEastAsia" w:hAnsiTheme="minorEastAsia" w:eastAsiaTheme="minorEastAsia" w:cstheme="minorEastAsia"/>
          <w:b/>
          <w:bCs w:val="0"/>
          <w:color w:val="auto"/>
          <w:sz w:val="24"/>
          <w:lang w:eastAsia="zh-CN"/>
        </w:rPr>
        <w:t>）售后服务及培训要求</w:t>
      </w:r>
    </w:p>
    <w:p w14:paraId="56A44F0B">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1.售后服务要求。为保障实训室的正常使用，本次所采购的实训平台提供3年硬件质保服务。并且还有提供如下服务：</w:t>
      </w:r>
    </w:p>
    <w:p w14:paraId="5102A34E">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（1）提供首次产品实施安装和使用培训服务；</w:t>
      </w:r>
    </w:p>
    <w:p w14:paraId="4197C595">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（2）提供硬件整机保修服务，在硬件保修期内，对硬件产品整机给予保修；</w:t>
      </w:r>
    </w:p>
    <w:p w14:paraId="7FF4BC62">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（3）提供3年电话咨询及远程调试服务，在服务期内，由经过技术认证的工程师提供电话咨询及远程技术协助服务；</w:t>
      </w:r>
    </w:p>
    <w:p w14:paraId="2140CA0B">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（4）提供3年上门现场支持服务，在服务期内，对于用户使用过程中遇到的问题，如用户咨询及远程调试不能解决，将派遣经过技术认证的工程师赶赴现场解决技术问题，为用户进行现场技术支持。</w:t>
      </w:r>
    </w:p>
    <w:p w14:paraId="63839FD6">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2.培训要求</w:t>
      </w:r>
    </w:p>
    <w:p w14:paraId="3AD9E425">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（1）中标供应商至少必须满足本项目要求的培训服务。</w:t>
      </w:r>
    </w:p>
    <w:p w14:paraId="1133BC59">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（2）所提供的培训课程表随投标文件一起提交。培训授课人必须是经过厂家认证工程师、技术员等。</w:t>
      </w:r>
    </w:p>
    <w:p w14:paraId="0F313A9A">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（3）投标人必须为所有被培训人员提供培训用文字资料和讲义等相关用品。所有的资料必须是中文书写。</w:t>
      </w:r>
    </w:p>
    <w:p w14:paraId="5182591C">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（4）培训内容与课程要求：包括但不限于硬件设备的安装、配置培训；软件的安装、使用培训。</w:t>
      </w:r>
    </w:p>
    <w:p w14:paraId="43D39048">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（5）培训费用：中标供应商应将所有培训费用（含培训教材费）及各项支出列入“售后服务和培训价格表”，所有的费用必须分别报价并计入投标总价。</w:t>
      </w:r>
    </w:p>
    <w:p w14:paraId="55AE1C93">
      <w:pPr>
        <w:autoSpaceDE w:val="0"/>
        <w:autoSpaceDN w:val="0"/>
        <w:adjustRightInd w:val="0"/>
        <w:spacing w:line="360" w:lineRule="auto"/>
        <w:ind w:firstLine="482" w:firstLineChars="200"/>
        <w:rPr>
          <w:rFonts w:hint="eastAsia" w:asciiTheme="minorEastAsia" w:hAnsiTheme="minorEastAsia" w:eastAsiaTheme="minorEastAsia" w:cstheme="minorEastAsia"/>
          <w:b/>
          <w:bCs w:val="0"/>
          <w:color w:val="auto"/>
          <w:sz w:val="24"/>
          <w:lang w:eastAsia="zh-CN"/>
        </w:rPr>
      </w:pPr>
      <w:r>
        <w:rPr>
          <w:rFonts w:hint="eastAsia" w:asciiTheme="minorEastAsia" w:hAnsiTheme="minorEastAsia" w:eastAsiaTheme="minorEastAsia" w:cstheme="minorEastAsia"/>
          <w:b/>
          <w:bCs w:val="0"/>
          <w:color w:val="auto"/>
          <w:sz w:val="24"/>
          <w:lang w:eastAsia="zh-CN"/>
        </w:rPr>
        <w:t>（</w:t>
      </w:r>
      <w:r>
        <w:rPr>
          <w:rFonts w:hint="eastAsia" w:asciiTheme="minorEastAsia" w:hAnsiTheme="minorEastAsia" w:eastAsiaTheme="minorEastAsia" w:cstheme="minorEastAsia"/>
          <w:b/>
          <w:bCs w:val="0"/>
          <w:color w:val="auto"/>
          <w:sz w:val="24"/>
          <w:lang w:val="en-US" w:eastAsia="zh-CN"/>
        </w:rPr>
        <w:t>七</w:t>
      </w:r>
      <w:r>
        <w:rPr>
          <w:rFonts w:hint="eastAsia" w:asciiTheme="minorEastAsia" w:hAnsiTheme="minorEastAsia" w:eastAsiaTheme="minorEastAsia" w:cstheme="minorEastAsia"/>
          <w:b/>
          <w:bCs w:val="0"/>
          <w:color w:val="auto"/>
          <w:sz w:val="24"/>
          <w:lang w:eastAsia="zh-CN"/>
        </w:rPr>
        <w:t>）验收要求</w:t>
      </w:r>
    </w:p>
    <w:p w14:paraId="721D10E3">
      <w:pPr>
        <w:autoSpaceDE w:val="0"/>
        <w:autoSpaceDN w:val="0"/>
        <w:adjustRightInd w:val="0"/>
        <w:spacing w:line="360" w:lineRule="auto"/>
        <w:ind w:firstLine="480" w:firstLineChars="200"/>
        <w:rPr>
          <w:rFonts w:hint="default"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eastAsia="zh-CN"/>
        </w:rPr>
        <w:t>1.验收由采购人负责实施，采购人组成验收小组按国家有关规定、规范进行验收，必要时邀请相关的专业人员或机构参与验收，</w:t>
      </w:r>
      <w:r>
        <w:rPr>
          <w:rFonts w:hint="eastAsia" w:asciiTheme="minorEastAsia" w:hAnsiTheme="minorEastAsia" w:eastAsiaTheme="minorEastAsia" w:cstheme="minorEastAsia"/>
          <w:bCs/>
          <w:color w:val="auto"/>
          <w:sz w:val="24"/>
          <w:lang w:val="en-US" w:eastAsia="zh-CN"/>
        </w:rPr>
        <w:t>验收费用一切由供应商承担。</w:t>
      </w:r>
    </w:p>
    <w:p w14:paraId="3663CC73">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2.验收依据：要求对全部产品规格型号、技术参数、数量及配套资料的验收，需要符合合同、招标文件、投标文件。</w:t>
      </w:r>
    </w:p>
    <w:p w14:paraId="25298353">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3.供应商应派</w:t>
      </w:r>
      <w:r>
        <w:rPr>
          <w:rFonts w:hint="eastAsia" w:asciiTheme="minorEastAsia" w:hAnsiTheme="minorEastAsia" w:eastAsiaTheme="minorEastAsia" w:cstheme="minorEastAsia"/>
          <w:bCs/>
          <w:color w:val="auto"/>
          <w:sz w:val="24"/>
          <w:lang w:val="en-US" w:eastAsia="zh-CN"/>
        </w:rPr>
        <w:t>人</w:t>
      </w:r>
      <w:r>
        <w:rPr>
          <w:rFonts w:hint="eastAsia" w:asciiTheme="minorEastAsia" w:hAnsiTheme="minorEastAsia" w:eastAsiaTheme="minorEastAsia" w:cstheme="minorEastAsia"/>
          <w:bCs/>
          <w:color w:val="auto"/>
          <w:sz w:val="24"/>
          <w:lang w:eastAsia="zh-CN"/>
        </w:rPr>
        <w:t>员在所供货物到采购人处时进行到货验收，有需要时能联系产品制造商到场共同验收，若发现任何损坏及质量问题，供应商负责妥善处理直至采购人满意，由此产生的费用由供应商承担。</w:t>
      </w:r>
    </w:p>
    <w:p w14:paraId="1AB61959">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4.验收合格的条件：</w:t>
      </w:r>
    </w:p>
    <w:p w14:paraId="3184B1E0">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（1）符合产品技术参数和合同的要求；</w:t>
      </w:r>
    </w:p>
    <w:p w14:paraId="5B8E15EF">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（2）在进行测试和验收过程中发现的问题已被解决并得到采购人的认可；</w:t>
      </w:r>
    </w:p>
    <w:p w14:paraId="578AEE83">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（3）合同中规定的所有货物和材料均已交付；</w:t>
      </w:r>
    </w:p>
    <w:p w14:paraId="647938DE">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（4）所供货物已通过使用单位组织的验收；</w:t>
      </w:r>
    </w:p>
    <w:p w14:paraId="67EC45EB">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（5）所有相关的技术文件及资料均已提交并得到接受。</w:t>
      </w:r>
    </w:p>
    <w:p w14:paraId="3A7E87F8">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5.若在验收过程中发现中标人所供货物低于或不满足所投相关产品技术参数指标及要求，采购人有权要求中标人退换货，中标人免费更换符合采购人要求的产品，由此产生的费用由中标人承担。</w:t>
      </w:r>
    </w:p>
    <w:p w14:paraId="10B9A96A">
      <w:pPr>
        <w:autoSpaceDE w:val="0"/>
        <w:autoSpaceDN w:val="0"/>
        <w:adjustRightInd w:val="0"/>
        <w:spacing w:line="360" w:lineRule="auto"/>
        <w:ind w:firstLine="482" w:firstLineChars="200"/>
        <w:rPr>
          <w:rFonts w:hint="eastAsia" w:asciiTheme="minorEastAsia" w:hAnsiTheme="minorEastAsia" w:eastAsiaTheme="minorEastAsia" w:cstheme="minorEastAsia"/>
          <w:b/>
          <w:bCs w:val="0"/>
          <w:color w:val="auto"/>
          <w:sz w:val="24"/>
          <w:lang w:val="en-US" w:eastAsia="zh-CN"/>
        </w:rPr>
      </w:pPr>
      <w:r>
        <w:rPr>
          <w:rFonts w:hint="eastAsia" w:asciiTheme="minorEastAsia" w:hAnsiTheme="minorEastAsia" w:eastAsiaTheme="minorEastAsia" w:cstheme="minorEastAsia"/>
          <w:b/>
          <w:bCs w:val="0"/>
          <w:color w:val="auto"/>
          <w:sz w:val="24"/>
          <w:lang w:val="en-US" w:eastAsia="zh-CN"/>
        </w:rPr>
        <w:t>（八）付款方式</w:t>
      </w:r>
    </w:p>
    <w:p w14:paraId="6903A954">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自双方签订合同之日起 30个日历天内，采购人支付合同总价的50%预付款；货物到货安装完毕，并通过采购人组织的验收合格后，凭全额正式发票采购人在15个工作日内支付剩余的50%给中标人。具体支付时间以财政拨款时间为准。</w:t>
      </w:r>
    </w:p>
    <w:p w14:paraId="7C3C2827">
      <w:pPr>
        <w:autoSpaceDE w:val="0"/>
        <w:autoSpaceDN w:val="0"/>
        <w:adjustRightInd w:val="0"/>
        <w:spacing w:line="360" w:lineRule="auto"/>
        <w:ind w:firstLine="482" w:firstLineChars="200"/>
        <w:rPr>
          <w:rFonts w:hint="eastAsia" w:asciiTheme="minorEastAsia" w:hAnsiTheme="minorEastAsia" w:eastAsiaTheme="minorEastAsia" w:cstheme="minorEastAsia"/>
          <w:b/>
          <w:bCs w:val="0"/>
          <w:color w:val="auto"/>
          <w:sz w:val="24"/>
          <w:lang w:eastAsia="zh-CN"/>
        </w:rPr>
      </w:pPr>
    </w:p>
    <w:p w14:paraId="3B6BD803">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p>
    <w:p w14:paraId="11308E54">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pPr>
    </w:p>
    <w:p w14:paraId="0391A8DD">
      <w:pPr>
        <w:autoSpaceDE w:val="0"/>
        <w:autoSpaceDN w:val="0"/>
        <w:adjustRightInd w:val="0"/>
        <w:spacing w:line="360" w:lineRule="auto"/>
        <w:ind w:firstLine="480" w:firstLineChars="200"/>
        <w:rPr>
          <w:rFonts w:hint="eastAsia" w:asciiTheme="minorEastAsia" w:hAnsiTheme="minorEastAsia" w:eastAsiaTheme="minorEastAsia" w:cstheme="minorEastAsia"/>
          <w:bCs/>
          <w:color w:val="auto"/>
          <w:sz w:val="24"/>
          <w:lang w:eastAsia="zh-CN"/>
        </w:rPr>
        <w:sectPr>
          <w:pgSz w:w="11906" w:h="16838"/>
          <w:pgMar w:top="1247" w:right="1247" w:bottom="1247" w:left="1247" w:header="850" w:footer="992" w:gutter="0"/>
          <w:pgNumType w:fmt="decimal"/>
          <w:cols w:space="0" w:num="1"/>
          <w:rtlGutter w:val="0"/>
          <w:docGrid w:type="lines" w:linePitch="319" w:charSpace="0"/>
        </w:sectPr>
      </w:pPr>
    </w:p>
    <w:p w14:paraId="47536FA4">
      <w:pPr>
        <w:pStyle w:val="2"/>
        <w:spacing w:line="240" w:lineRule="auto"/>
        <w:jc w:val="center"/>
        <w:rPr>
          <w:rFonts w:hint="eastAsia" w:asciiTheme="minorEastAsia" w:hAnsiTheme="minorEastAsia" w:eastAsiaTheme="minorEastAsia" w:cstheme="minorEastAsia"/>
          <w:bCs/>
          <w:color w:val="auto"/>
          <w:sz w:val="36"/>
        </w:rPr>
      </w:pPr>
      <w:bookmarkStart w:id="274" w:name="_Toc5208"/>
      <w:bookmarkStart w:id="275" w:name="_Toc31654"/>
      <w:r>
        <w:rPr>
          <w:rFonts w:hint="eastAsia" w:asciiTheme="minorEastAsia" w:hAnsiTheme="minorEastAsia" w:eastAsiaTheme="minorEastAsia" w:cstheme="minorEastAsia"/>
          <w:bCs/>
          <w:color w:val="auto"/>
          <w:sz w:val="36"/>
        </w:rPr>
        <w:t xml:space="preserve">第六章  </w:t>
      </w:r>
      <w:bookmarkStart w:id="276" w:name="_Toc530745485"/>
      <w:r>
        <w:rPr>
          <w:rFonts w:hint="eastAsia" w:asciiTheme="minorEastAsia" w:hAnsiTheme="minorEastAsia" w:eastAsiaTheme="minorEastAsia" w:cstheme="minorEastAsia"/>
          <w:bCs/>
          <w:color w:val="auto"/>
          <w:sz w:val="36"/>
        </w:rPr>
        <w:t>资格评审标准</w:t>
      </w:r>
      <w:bookmarkEnd w:id="269"/>
      <w:bookmarkEnd w:id="270"/>
      <w:bookmarkEnd w:id="271"/>
      <w:bookmarkEnd w:id="274"/>
      <w:bookmarkEnd w:id="275"/>
      <w:bookmarkEnd w:id="276"/>
    </w:p>
    <w:p w14:paraId="66EEB7A6">
      <w:pPr>
        <w:spacing w:line="360" w:lineRule="auto"/>
        <w:ind w:firstLine="480" w:firstLineChars="200"/>
        <w:rPr>
          <w:color w:val="auto"/>
          <w:sz w:val="24"/>
        </w:rPr>
      </w:pPr>
      <w:r>
        <w:rPr>
          <w:rFonts w:hint="eastAsia"/>
          <w:color w:val="auto"/>
          <w:sz w:val="24"/>
        </w:rPr>
        <w:t>依据法律法规和招标文件的规定，对投标文件中的资格证明文件进行审查，具体详见评审内容及标准。若下表中任意一条不合格则视为资格审查不合格。合格</w:t>
      </w:r>
      <w:r>
        <w:rPr>
          <w:rFonts w:hint="eastAsia"/>
          <w:color w:val="auto"/>
          <w:sz w:val="24"/>
          <w:lang w:eastAsia="zh-CN"/>
        </w:rPr>
        <w:t>供应商</w:t>
      </w:r>
      <w:r>
        <w:rPr>
          <w:rFonts w:hint="eastAsia"/>
          <w:color w:val="auto"/>
          <w:sz w:val="24"/>
        </w:rPr>
        <w:t>不足3家的，不得评标。</w:t>
      </w:r>
    </w:p>
    <w:tbl>
      <w:tblPr>
        <w:tblStyle w:val="41"/>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06"/>
        <w:gridCol w:w="3414"/>
        <w:gridCol w:w="5000"/>
      </w:tblGrid>
      <w:tr w14:paraId="7C08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blHeader/>
          <w:jc w:val="center"/>
        </w:trPr>
        <w:tc>
          <w:tcPr>
            <w:tcW w:w="1616" w:type="dxa"/>
            <w:gridSpan w:val="2"/>
            <w:tcBorders>
              <w:top w:val="single" w:color="auto" w:sz="4" w:space="0"/>
              <w:left w:val="single" w:color="auto" w:sz="4" w:space="0"/>
              <w:bottom w:val="single" w:color="auto" w:sz="4" w:space="0"/>
              <w:right w:val="single" w:color="auto" w:sz="4" w:space="0"/>
            </w:tcBorders>
            <w:vAlign w:val="center"/>
          </w:tcPr>
          <w:p w14:paraId="6F0849AC">
            <w:pPr>
              <w:spacing w:line="360" w:lineRule="auto"/>
              <w:jc w:val="center"/>
              <w:rPr>
                <w:rFonts w:hint="eastAsia" w:ascii="宋体" w:hAnsi="宋体" w:cs="宋体"/>
                <w:b/>
                <w:color w:val="auto"/>
                <w:sz w:val="24"/>
              </w:rPr>
            </w:pPr>
            <w:r>
              <w:rPr>
                <w:rFonts w:hint="eastAsia" w:ascii="宋体" w:hAnsi="宋体" w:cs="宋体"/>
                <w:b/>
                <w:color w:val="auto"/>
                <w:sz w:val="24"/>
              </w:rPr>
              <w:t>条款号</w:t>
            </w:r>
          </w:p>
        </w:tc>
        <w:tc>
          <w:tcPr>
            <w:tcW w:w="3414" w:type="dxa"/>
            <w:tcBorders>
              <w:top w:val="single" w:color="auto" w:sz="4" w:space="0"/>
              <w:left w:val="single" w:color="auto" w:sz="4" w:space="0"/>
              <w:bottom w:val="single" w:color="auto" w:sz="4" w:space="0"/>
              <w:right w:val="single" w:color="auto" w:sz="4" w:space="0"/>
            </w:tcBorders>
            <w:vAlign w:val="center"/>
          </w:tcPr>
          <w:p w14:paraId="2BFF3AAE">
            <w:pPr>
              <w:spacing w:line="360" w:lineRule="auto"/>
              <w:jc w:val="center"/>
              <w:rPr>
                <w:rFonts w:hint="eastAsia" w:ascii="宋体" w:hAnsi="宋体" w:cs="宋体"/>
                <w:b/>
                <w:color w:val="auto"/>
                <w:sz w:val="24"/>
              </w:rPr>
            </w:pPr>
            <w:r>
              <w:rPr>
                <w:rFonts w:hint="eastAsia" w:ascii="宋体" w:hAnsi="宋体" w:cs="宋体"/>
                <w:b/>
                <w:color w:val="auto"/>
                <w:sz w:val="24"/>
              </w:rPr>
              <w:t>评 审 内 容</w:t>
            </w:r>
          </w:p>
        </w:tc>
        <w:tc>
          <w:tcPr>
            <w:tcW w:w="5000" w:type="dxa"/>
            <w:tcBorders>
              <w:top w:val="single" w:color="auto" w:sz="4" w:space="0"/>
              <w:left w:val="single" w:color="auto" w:sz="4" w:space="0"/>
              <w:bottom w:val="single" w:color="auto" w:sz="4" w:space="0"/>
              <w:right w:val="single" w:color="auto" w:sz="4" w:space="0"/>
            </w:tcBorders>
            <w:vAlign w:val="center"/>
          </w:tcPr>
          <w:p w14:paraId="797AEDF7">
            <w:pPr>
              <w:spacing w:line="360" w:lineRule="auto"/>
              <w:jc w:val="center"/>
              <w:rPr>
                <w:rFonts w:hint="eastAsia" w:ascii="宋体" w:hAnsi="宋体" w:cs="宋体"/>
                <w:b/>
                <w:color w:val="auto"/>
                <w:sz w:val="24"/>
              </w:rPr>
            </w:pPr>
            <w:r>
              <w:rPr>
                <w:rFonts w:hint="eastAsia" w:ascii="宋体" w:hAnsi="宋体" w:cs="宋体"/>
                <w:b/>
                <w:color w:val="auto"/>
                <w:sz w:val="24"/>
              </w:rPr>
              <w:t>评 审 标 准</w:t>
            </w:r>
          </w:p>
        </w:tc>
      </w:tr>
      <w:tr w14:paraId="4929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910" w:type="dxa"/>
            <w:vMerge w:val="restart"/>
            <w:tcBorders>
              <w:top w:val="single" w:color="auto" w:sz="4" w:space="0"/>
              <w:left w:val="single" w:color="auto" w:sz="4" w:space="0"/>
              <w:right w:val="single" w:color="auto" w:sz="4" w:space="0"/>
            </w:tcBorders>
            <w:vAlign w:val="center"/>
          </w:tcPr>
          <w:p w14:paraId="5AB01829">
            <w:pPr>
              <w:spacing w:line="360" w:lineRule="auto"/>
              <w:jc w:val="center"/>
              <w:rPr>
                <w:rFonts w:hint="eastAsia" w:ascii="宋体" w:hAnsi="宋体" w:cs="宋体"/>
                <w:color w:val="auto"/>
                <w:sz w:val="24"/>
              </w:rPr>
            </w:pPr>
            <w:r>
              <w:rPr>
                <w:rFonts w:hint="eastAsia" w:ascii="宋体" w:hAnsi="宋体" w:cs="宋体"/>
                <w:color w:val="auto"/>
                <w:sz w:val="24"/>
              </w:rPr>
              <w:t>2.1.1</w:t>
            </w:r>
          </w:p>
        </w:tc>
        <w:tc>
          <w:tcPr>
            <w:tcW w:w="706" w:type="dxa"/>
            <w:vMerge w:val="restart"/>
            <w:tcBorders>
              <w:top w:val="single" w:color="auto" w:sz="4" w:space="0"/>
              <w:left w:val="single" w:color="auto" w:sz="4" w:space="0"/>
              <w:right w:val="single" w:color="auto" w:sz="4" w:space="0"/>
            </w:tcBorders>
            <w:vAlign w:val="center"/>
          </w:tcPr>
          <w:p w14:paraId="309BB071">
            <w:pPr>
              <w:spacing w:line="360" w:lineRule="auto"/>
              <w:jc w:val="center"/>
              <w:rPr>
                <w:rFonts w:hint="eastAsia" w:ascii="宋体" w:hAnsi="宋体" w:cs="宋体"/>
                <w:color w:val="auto"/>
                <w:sz w:val="24"/>
              </w:rPr>
            </w:pPr>
            <w:r>
              <w:rPr>
                <w:rFonts w:hint="eastAsia" w:ascii="宋体" w:hAnsi="宋体" w:cs="宋体"/>
                <w:color w:val="auto"/>
                <w:sz w:val="24"/>
              </w:rPr>
              <w:t>资格评审标准</w:t>
            </w:r>
          </w:p>
        </w:tc>
        <w:tc>
          <w:tcPr>
            <w:tcW w:w="8414" w:type="dxa"/>
            <w:gridSpan w:val="2"/>
            <w:tcBorders>
              <w:top w:val="single" w:color="auto" w:sz="4" w:space="0"/>
              <w:left w:val="single" w:color="auto" w:sz="4" w:space="0"/>
              <w:bottom w:val="single" w:color="auto" w:sz="4" w:space="0"/>
              <w:right w:val="single" w:color="auto" w:sz="4" w:space="0"/>
            </w:tcBorders>
            <w:vAlign w:val="center"/>
          </w:tcPr>
          <w:p w14:paraId="5FCCA6D5">
            <w:pPr>
              <w:spacing w:line="360" w:lineRule="auto"/>
              <w:rPr>
                <w:color w:val="auto"/>
                <w:sz w:val="24"/>
              </w:rPr>
            </w:pPr>
            <w:r>
              <w:rPr>
                <w:rFonts w:hint="eastAsia"/>
                <w:color w:val="auto"/>
                <w:sz w:val="24"/>
              </w:rPr>
              <w:t>（一）满足《中华人民共和国政府采购法》第二十二条规定，提供下列资料：</w:t>
            </w:r>
          </w:p>
        </w:tc>
      </w:tr>
      <w:tr w14:paraId="3CF5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exact"/>
          <w:jc w:val="center"/>
        </w:trPr>
        <w:tc>
          <w:tcPr>
            <w:tcW w:w="910" w:type="dxa"/>
            <w:vMerge w:val="continue"/>
            <w:tcBorders>
              <w:left w:val="single" w:color="auto" w:sz="4" w:space="0"/>
              <w:right w:val="single" w:color="auto" w:sz="4" w:space="0"/>
            </w:tcBorders>
            <w:vAlign w:val="center"/>
          </w:tcPr>
          <w:p w14:paraId="47E45C3D">
            <w:pPr>
              <w:widowControl/>
              <w:spacing w:line="360" w:lineRule="auto"/>
              <w:jc w:val="left"/>
              <w:rPr>
                <w:rFonts w:hint="eastAsia" w:ascii="宋体" w:hAnsi="宋体" w:cs="宋体"/>
                <w:color w:val="auto"/>
                <w:sz w:val="24"/>
              </w:rPr>
            </w:pPr>
          </w:p>
        </w:tc>
        <w:tc>
          <w:tcPr>
            <w:tcW w:w="706" w:type="dxa"/>
            <w:vMerge w:val="continue"/>
            <w:tcBorders>
              <w:left w:val="single" w:color="auto" w:sz="4" w:space="0"/>
              <w:right w:val="single" w:color="auto" w:sz="4" w:space="0"/>
            </w:tcBorders>
            <w:vAlign w:val="center"/>
          </w:tcPr>
          <w:p w14:paraId="1EB37730">
            <w:pPr>
              <w:widowControl/>
              <w:spacing w:line="360" w:lineRule="auto"/>
              <w:jc w:val="left"/>
              <w:rPr>
                <w:rFonts w:hint="eastAsia" w:ascii="宋体" w:hAnsi="宋体" w:cs="宋体"/>
                <w:color w:val="auto"/>
                <w:sz w:val="24"/>
              </w:rPr>
            </w:pPr>
          </w:p>
        </w:tc>
        <w:tc>
          <w:tcPr>
            <w:tcW w:w="3414" w:type="dxa"/>
            <w:tcBorders>
              <w:top w:val="single" w:color="auto" w:sz="4" w:space="0"/>
              <w:left w:val="single" w:color="auto" w:sz="4" w:space="0"/>
              <w:bottom w:val="single" w:color="auto" w:sz="4" w:space="0"/>
              <w:right w:val="single" w:color="auto" w:sz="4" w:space="0"/>
            </w:tcBorders>
            <w:vAlign w:val="center"/>
          </w:tcPr>
          <w:p w14:paraId="65F03CE9">
            <w:pPr>
              <w:spacing w:line="360" w:lineRule="auto"/>
              <w:rPr>
                <w:color w:val="auto"/>
                <w:sz w:val="24"/>
              </w:rPr>
            </w:pPr>
            <w:r>
              <w:rPr>
                <w:rFonts w:hint="eastAsia"/>
                <w:color w:val="auto"/>
                <w:sz w:val="24"/>
              </w:rPr>
              <w:t>具有独立承担民事责任的能力</w:t>
            </w:r>
          </w:p>
        </w:tc>
        <w:tc>
          <w:tcPr>
            <w:tcW w:w="5000" w:type="dxa"/>
            <w:tcBorders>
              <w:top w:val="single" w:color="auto" w:sz="4" w:space="0"/>
              <w:left w:val="single" w:color="auto" w:sz="4" w:space="0"/>
              <w:bottom w:val="single" w:color="auto" w:sz="4" w:space="0"/>
              <w:right w:val="single" w:color="auto" w:sz="4" w:space="0"/>
            </w:tcBorders>
            <w:vAlign w:val="center"/>
          </w:tcPr>
          <w:p w14:paraId="4C5D93A1">
            <w:pPr>
              <w:spacing w:line="360" w:lineRule="auto"/>
              <w:rPr>
                <w:color w:val="auto"/>
                <w:sz w:val="24"/>
              </w:rPr>
            </w:pPr>
            <w:r>
              <w:rPr>
                <w:rFonts w:hint="eastAsia" w:ascii="宋体" w:hAnsi="宋体" w:cs="宋体"/>
                <w:color w:val="auto"/>
                <w:sz w:val="24"/>
                <w:szCs w:val="21"/>
              </w:rPr>
              <w:t>提供有效的营业执照或其他组织证明或自然人身份证明</w:t>
            </w:r>
            <w:r>
              <w:rPr>
                <w:rFonts w:hint="eastAsia"/>
                <w:color w:val="auto"/>
                <w:sz w:val="24"/>
              </w:rPr>
              <w:t>。</w:t>
            </w:r>
          </w:p>
        </w:tc>
      </w:tr>
      <w:tr w14:paraId="382E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2" w:hRule="exact"/>
          <w:jc w:val="center"/>
        </w:trPr>
        <w:tc>
          <w:tcPr>
            <w:tcW w:w="910" w:type="dxa"/>
            <w:vMerge w:val="continue"/>
            <w:tcBorders>
              <w:left w:val="single" w:color="auto" w:sz="4" w:space="0"/>
              <w:right w:val="single" w:color="auto" w:sz="4" w:space="0"/>
            </w:tcBorders>
            <w:vAlign w:val="center"/>
          </w:tcPr>
          <w:p w14:paraId="2F07E9A4">
            <w:pPr>
              <w:widowControl/>
              <w:spacing w:line="360" w:lineRule="auto"/>
              <w:jc w:val="left"/>
              <w:rPr>
                <w:rFonts w:hint="eastAsia" w:ascii="宋体" w:hAnsi="宋体" w:cs="宋体"/>
                <w:color w:val="auto"/>
                <w:sz w:val="24"/>
              </w:rPr>
            </w:pPr>
          </w:p>
        </w:tc>
        <w:tc>
          <w:tcPr>
            <w:tcW w:w="706" w:type="dxa"/>
            <w:vMerge w:val="continue"/>
            <w:tcBorders>
              <w:left w:val="single" w:color="auto" w:sz="4" w:space="0"/>
              <w:right w:val="single" w:color="auto" w:sz="4" w:space="0"/>
            </w:tcBorders>
            <w:vAlign w:val="center"/>
          </w:tcPr>
          <w:p w14:paraId="5D9B1689">
            <w:pPr>
              <w:widowControl/>
              <w:spacing w:line="360" w:lineRule="auto"/>
              <w:jc w:val="left"/>
              <w:rPr>
                <w:rFonts w:hint="eastAsia" w:ascii="宋体" w:hAnsi="宋体" w:cs="宋体"/>
                <w:color w:val="auto"/>
                <w:sz w:val="24"/>
              </w:rPr>
            </w:pPr>
          </w:p>
        </w:tc>
        <w:tc>
          <w:tcPr>
            <w:tcW w:w="3414" w:type="dxa"/>
            <w:tcBorders>
              <w:top w:val="single" w:color="auto" w:sz="4" w:space="0"/>
              <w:left w:val="single" w:color="auto" w:sz="4" w:space="0"/>
              <w:bottom w:val="single" w:color="auto" w:sz="4" w:space="0"/>
              <w:right w:val="single" w:color="auto" w:sz="4" w:space="0"/>
            </w:tcBorders>
            <w:vAlign w:val="center"/>
          </w:tcPr>
          <w:p w14:paraId="21BC7D6F">
            <w:pPr>
              <w:spacing w:line="360" w:lineRule="auto"/>
              <w:rPr>
                <w:color w:val="auto"/>
                <w:sz w:val="24"/>
              </w:rPr>
            </w:pPr>
            <w:r>
              <w:rPr>
                <w:rFonts w:hint="eastAsia"/>
                <w:color w:val="auto"/>
                <w:sz w:val="24"/>
              </w:rPr>
              <w:t>具有良好的商业信誉和健全的财务会计制度</w:t>
            </w:r>
          </w:p>
        </w:tc>
        <w:tc>
          <w:tcPr>
            <w:tcW w:w="5000" w:type="dxa"/>
            <w:tcBorders>
              <w:top w:val="single" w:color="auto" w:sz="4" w:space="0"/>
              <w:left w:val="single" w:color="auto" w:sz="4" w:space="0"/>
              <w:bottom w:val="single" w:color="auto" w:sz="4" w:space="0"/>
              <w:right w:val="single" w:color="auto" w:sz="4" w:space="0"/>
            </w:tcBorders>
            <w:vAlign w:val="center"/>
          </w:tcPr>
          <w:p w14:paraId="5724C1DF">
            <w:pPr>
              <w:spacing w:line="360" w:lineRule="auto"/>
              <w:rPr>
                <w:color w:val="auto"/>
                <w:sz w:val="24"/>
              </w:rPr>
            </w:pPr>
            <w:r>
              <w:rPr>
                <w:rFonts w:hint="eastAsia" w:ascii="宋体" w:hAnsi="宋体" w:cs="宋体"/>
                <w:color w:val="auto"/>
                <w:sz w:val="24"/>
                <w:szCs w:val="21"/>
              </w:rPr>
              <w:t>提供2022年至今任意一年的财务报表或经第三方审计的财务报告（包括资产负债表、现金流量表、利润表或损益表及会计报表附注），2025年1月以后成立的提供成立至本项目公告发布前一个月的财务报表或开户银行出具的资信证明或资金存款证明）</w:t>
            </w:r>
            <w:r>
              <w:rPr>
                <w:rFonts w:hint="eastAsia"/>
                <w:color w:val="auto"/>
                <w:sz w:val="24"/>
              </w:rPr>
              <w:t>。</w:t>
            </w:r>
          </w:p>
        </w:tc>
      </w:tr>
      <w:tr w14:paraId="3C44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exact"/>
          <w:jc w:val="center"/>
        </w:trPr>
        <w:tc>
          <w:tcPr>
            <w:tcW w:w="910" w:type="dxa"/>
            <w:vMerge w:val="continue"/>
            <w:tcBorders>
              <w:left w:val="single" w:color="auto" w:sz="4" w:space="0"/>
              <w:right w:val="single" w:color="auto" w:sz="4" w:space="0"/>
            </w:tcBorders>
            <w:vAlign w:val="center"/>
          </w:tcPr>
          <w:p w14:paraId="67C5AA59">
            <w:pPr>
              <w:widowControl/>
              <w:spacing w:line="360" w:lineRule="auto"/>
              <w:jc w:val="left"/>
              <w:rPr>
                <w:rFonts w:hint="eastAsia" w:ascii="宋体" w:hAnsi="宋体" w:cs="宋体"/>
                <w:color w:val="auto"/>
                <w:sz w:val="24"/>
              </w:rPr>
            </w:pPr>
          </w:p>
        </w:tc>
        <w:tc>
          <w:tcPr>
            <w:tcW w:w="706" w:type="dxa"/>
            <w:vMerge w:val="continue"/>
            <w:tcBorders>
              <w:left w:val="single" w:color="auto" w:sz="4" w:space="0"/>
              <w:right w:val="single" w:color="auto" w:sz="4" w:space="0"/>
            </w:tcBorders>
            <w:vAlign w:val="center"/>
          </w:tcPr>
          <w:p w14:paraId="2524F5EB">
            <w:pPr>
              <w:widowControl/>
              <w:spacing w:line="360" w:lineRule="auto"/>
              <w:jc w:val="left"/>
              <w:rPr>
                <w:rFonts w:hint="eastAsia" w:ascii="宋体" w:hAnsi="宋体" w:cs="宋体"/>
                <w:color w:val="auto"/>
                <w:sz w:val="24"/>
              </w:rPr>
            </w:pPr>
          </w:p>
        </w:tc>
        <w:tc>
          <w:tcPr>
            <w:tcW w:w="3414" w:type="dxa"/>
            <w:tcBorders>
              <w:top w:val="single" w:color="auto" w:sz="4" w:space="0"/>
              <w:left w:val="single" w:color="auto" w:sz="4" w:space="0"/>
              <w:bottom w:val="single" w:color="auto" w:sz="4" w:space="0"/>
              <w:right w:val="single" w:color="auto" w:sz="4" w:space="0"/>
            </w:tcBorders>
            <w:vAlign w:val="center"/>
          </w:tcPr>
          <w:p w14:paraId="15FB0D31">
            <w:pPr>
              <w:spacing w:line="360" w:lineRule="auto"/>
              <w:rPr>
                <w:color w:val="auto"/>
                <w:sz w:val="24"/>
              </w:rPr>
            </w:pPr>
            <w:r>
              <w:rPr>
                <w:rFonts w:hint="eastAsia"/>
                <w:color w:val="auto"/>
                <w:sz w:val="24"/>
              </w:rPr>
              <w:t>具有履行合同所必需的设备和专业技术能力</w:t>
            </w:r>
          </w:p>
        </w:tc>
        <w:tc>
          <w:tcPr>
            <w:tcW w:w="5000" w:type="dxa"/>
            <w:tcBorders>
              <w:top w:val="single" w:color="auto" w:sz="4" w:space="0"/>
              <w:left w:val="single" w:color="auto" w:sz="4" w:space="0"/>
              <w:bottom w:val="single" w:color="auto" w:sz="4" w:space="0"/>
              <w:right w:val="single" w:color="auto" w:sz="4" w:space="0"/>
            </w:tcBorders>
            <w:vAlign w:val="center"/>
          </w:tcPr>
          <w:p w14:paraId="5B35DBF4">
            <w:pPr>
              <w:spacing w:line="360" w:lineRule="auto"/>
              <w:rPr>
                <w:color w:val="auto"/>
                <w:sz w:val="24"/>
              </w:rPr>
            </w:pPr>
            <w:r>
              <w:rPr>
                <w:rFonts w:hint="eastAsia"/>
                <w:color w:val="auto"/>
                <w:sz w:val="24"/>
              </w:rPr>
              <w:t>提供相关证明材料或承诺。</w:t>
            </w:r>
          </w:p>
        </w:tc>
      </w:tr>
      <w:tr w14:paraId="3E0D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1" w:hRule="exact"/>
          <w:jc w:val="center"/>
        </w:trPr>
        <w:tc>
          <w:tcPr>
            <w:tcW w:w="910" w:type="dxa"/>
            <w:vMerge w:val="continue"/>
            <w:tcBorders>
              <w:left w:val="single" w:color="auto" w:sz="4" w:space="0"/>
              <w:right w:val="single" w:color="auto" w:sz="4" w:space="0"/>
            </w:tcBorders>
            <w:vAlign w:val="center"/>
          </w:tcPr>
          <w:p w14:paraId="17D7C912">
            <w:pPr>
              <w:widowControl/>
              <w:spacing w:line="360" w:lineRule="auto"/>
              <w:jc w:val="left"/>
              <w:rPr>
                <w:rFonts w:hint="eastAsia" w:ascii="宋体" w:hAnsi="宋体" w:cs="宋体"/>
                <w:color w:val="auto"/>
                <w:sz w:val="24"/>
              </w:rPr>
            </w:pPr>
          </w:p>
        </w:tc>
        <w:tc>
          <w:tcPr>
            <w:tcW w:w="706" w:type="dxa"/>
            <w:vMerge w:val="continue"/>
            <w:tcBorders>
              <w:left w:val="single" w:color="auto" w:sz="4" w:space="0"/>
              <w:right w:val="single" w:color="auto" w:sz="4" w:space="0"/>
            </w:tcBorders>
            <w:vAlign w:val="center"/>
          </w:tcPr>
          <w:p w14:paraId="4C498910">
            <w:pPr>
              <w:widowControl/>
              <w:spacing w:line="360" w:lineRule="auto"/>
              <w:jc w:val="left"/>
              <w:rPr>
                <w:rFonts w:hint="eastAsia" w:ascii="宋体" w:hAnsi="宋体" w:cs="宋体"/>
                <w:color w:val="auto"/>
                <w:sz w:val="24"/>
              </w:rPr>
            </w:pPr>
          </w:p>
        </w:tc>
        <w:tc>
          <w:tcPr>
            <w:tcW w:w="3414" w:type="dxa"/>
            <w:tcBorders>
              <w:top w:val="single" w:color="auto" w:sz="4" w:space="0"/>
              <w:left w:val="single" w:color="auto" w:sz="4" w:space="0"/>
              <w:bottom w:val="single" w:color="auto" w:sz="4" w:space="0"/>
              <w:right w:val="single" w:color="auto" w:sz="4" w:space="0"/>
            </w:tcBorders>
            <w:vAlign w:val="center"/>
          </w:tcPr>
          <w:p w14:paraId="3C1BF644">
            <w:pPr>
              <w:spacing w:line="360" w:lineRule="auto"/>
              <w:rPr>
                <w:color w:val="auto"/>
                <w:sz w:val="24"/>
              </w:rPr>
            </w:pPr>
            <w:r>
              <w:rPr>
                <w:rFonts w:hint="eastAsia"/>
                <w:color w:val="auto"/>
                <w:sz w:val="24"/>
              </w:rPr>
              <w:t>有依法缴纳税收和社会保障资金的良好记录</w:t>
            </w:r>
          </w:p>
        </w:tc>
        <w:tc>
          <w:tcPr>
            <w:tcW w:w="5000" w:type="dxa"/>
            <w:tcBorders>
              <w:top w:val="single" w:color="auto" w:sz="4" w:space="0"/>
              <w:left w:val="single" w:color="auto" w:sz="4" w:space="0"/>
              <w:bottom w:val="single" w:color="auto" w:sz="4" w:space="0"/>
              <w:right w:val="single" w:color="auto" w:sz="4" w:space="0"/>
            </w:tcBorders>
            <w:vAlign w:val="center"/>
          </w:tcPr>
          <w:p w14:paraId="17C3652C">
            <w:pPr>
              <w:spacing w:line="360" w:lineRule="auto"/>
              <w:rPr>
                <w:color w:val="auto"/>
                <w:sz w:val="24"/>
              </w:rPr>
            </w:pPr>
            <w:r>
              <w:rPr>
                <w:rFonts w:hint="eastAsia" w:ascii="宋体" w:hAnsi="宋体" w:cs="宋体"/>
                <w:color w:val="auto"/>
                <w:sz w:val="24"/>
                <w:szCs w:val="21"/>
              </w:rPr>
              <w:t>提供2024年6月至采购截止时间前任意3个月依法缴纳税收和缴纳社会保障资金的证明（新成立公司提供已有资料，如依法免税或不需要缴纳社会保障资金的，应提供相应文件证明）</w:t>
            </w:r>
            <w:r>
              <w:rPr>
                <w:rFonts w:hint="eastAsia"/>
                <w:color w:val="auto"/>
                <w:sz w:val="24"/>
              </w:rPr>
              <w:t>。</w:t>
            </w:r>
          </w:p>
        </w:tc>
      </w:tr>
      <w:tr w14:paraId="346A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exact"/>
          <w:jc w:val="center"/>
        </w:trPr>
        <w:tc>
          <w:tcPr>
            <w:tcW w:w="910" w:type="dxa"/>
            <w:vMerge w:val="continue"/>
            <w:tcBorders>
              <w:left w:val="single" w:color="auto" w:sz="4" w:space="0"/>
              <w:right w:val="single" w:color="auto" w:sz="4" w:space="0"/>
            </w:tcBorders>
            <w:vAlign w:val="center"/>
          </w:tcPr>
          <w:p w14:paraId="16C4A3EF">
            <w:pPr>
              <w:widowControl/>
              <w:spacing w:line="360" w:lineRule="auto"/>
              <w:jc w:val="left"/>
              <w:rPr>
                <w:rFonts w:hint="eastAsia" w:ascii="宋体" w:hAnsi="宋体" w:cs="宋体"/>
                <w:color w:val="auto"/>
                <w:sz w:val="24"/>
              </w:rPr>
            </w:pPr>
          </w:p>
        </w:tc>
        <w:tc>
          <w:tcPr>
            <w:tcW w:w="706" w:type="dxa"/>
            <w:vMerge w:val="continue"/>
            <w:tcBorders>
              <w:left w:val="single" w:color="auto" w:sz="4" w:space="0"/>
              <w:right w:val="single" w:color="auto" w:sz="4" w:space="0"/>
            </w:tcBorders>
            <w:vAlign w:val="center"/>
          </w:tcPr>
          <w:p w14:paraId="10D1C532">
            <w:pPr>
              <w:widowControl/>
              <w:spacing w:line="360" w:lineRule="auto"/>
              <w:jc w:val="left"/>
              <w:rPr>
                <w:rFonts w:hint="eastAsia" w:ascii="宋体" w:hAnsi="宋体" w:cs="宋体"/>
                <w:color w:val="auto"/>
                <w:sz w:val="24"/>
              </w:rPr>
            </w:pPr>
          </w:p>
        </w:tc>
        <w:tc>
          <w:tcPr>
            <w:tcW w:w="3414" w:type="dxa"/>
            <w:tcBorders>
              <w:top w:val="single" w:color="auto" w:sz="4" w:space="0"/>
              <w:left w:val="single" w:color="auto" w:sz="4" w:space="0"/>
              <w:bottom w:val="single" w:color="auto" w:sz="4" w:space="0"/>
              <w:right w:val="single" w:color="auto" w:sz="4" w:space="0"/>
            </w:tcBorders>
            <w:vAlign w:val="center"/>
          </w:tcPr>
          <w:p w14:paraId="5A86B992">
            <w:pPr>
              <w:spacing w:line="360" w:lineRule="auto"/>
              <w:rPr>
                <w:color w:val="auto"/>
                <w:sz w:val="24"/>
              </w:rPr>
            </w:pPr>
            <w:r>
              <w:rPr>
                <w:rFonts w:hint="eastAsia"/>
                <w:color w:val="auto"/>
                <w:sz w:val="24"/>
              </w:rPr>
              <w:t>参加政府采购活动前三年内，在经营活动中没有重大违法记录</w:t>
            </w:r>
          </w:p>
        </w:tc>
        <w:tc>
          <w:tcPr>
            <w:tcW w:w="5000" w:type="dxa"/>
            <w:tcBorders>
              <w:top w:val="single" w:color="auto" w:sz="4" w:space="0"/>
              <w:left w:val="single" w:color="auto" w:sz="4" w:space="0"/>
              <w:bottom w:val="single" w:color="auto" w:sz="4" w:space="0"/>
              <w:right w:val="single" w:color="auto" w:sz="4" w:space="0"/>
            </w:tcBorders>
            <w:vAlign w:val="center"/>
          </w:tcPr>
          <w:p w14:paraId="7D8A0EE5">
            <w:pPr>
              <w:spacing w:line="360" w:lineRule="auto"/>
              <w:rPr>
                <w:color w:val="auto"/>
                <w:sz w:val="24"/>
              </w:rPr>
            </w:pPr>
            <w:r>
              <w:rPr>
                <w:rFonts w:hint="eastAsia"/>
                <w:color w:val="auto"/>
                <w:sz w:val="24"/>
              </w:rPr>
              <w:t>提供书面声明</w:t>
            </w:r>
          </w:p>
        </w:tc>
      </w:tr>
      <w:tr w14:paraId="5BE6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5" w:hRule="exact"/>
          <w:jc w:val="center"/>
        </w:trPr>
        <w:tc>
          <w:tcPr>
            <w:tcW w:w="910" w:type="dxa"/>
            <w:vMerge w:val="continue"/>
            <w:tcBorders>
              <w:left w:val="single" w:color="auto" w:sz="4" w:space="0"/>
              <w:right w:val="single" w:color="auto" w:sz="4" w:space="0"/>
            </w:tcBorders>
            <w:vAlign w:val="center"/>
          </w:tcPr>
          <w:p w14:paraId="70F94044">
            <w:pPr>
              <w:widowControl/>
              <w:spacing w:line="360" w:lineRule="auto"/>
              <w:jc w:val="left"/>
              <w:rPr>
                <w:rFonts w:hint="eastAsia" w:ascii="宋体" w:hAnsi="宋体" w:cs="宋体"/>
                <w:color w:val="auto"/>
                <w:sz w:val="24"/>
              </w:rPr>
            </w:pPr>
          </w:p>
        </w:tc>
        <w:tc>
          <w:tcPr>
            <w:tcW w:w="706" w:type="dxa"/>
            <w:vMerge w:val="continue"/>
            <w:tcBorders>
              <w:left w:val="single" w:color="auto" w:sz="4" w:space="0"/>
              <w:right w:val="single" w:color="auto" w:sz="4" w:space="0"/>
            </w:tcBorders>
            <w:vAlign w:val="center"/>
          </w:tcPr>
          <w:p w14:paraId="252366F1">
            <w:pPr>
              <w:widowControl/>
              <w:spacing w:line="360" w:lineRule="auto"/>
              <w:jc w:val="left"/>
              <w:rPr>
                <w:rFonts w:hint="eastAsia" w:ascii="宋体" w:hAnsi="宋体" w:cs="宋体"/>
                <w:color w:val="auto"/>
                <w:sz w:val="24"/>
              </w:rPr>
            </w:pPr>
          </w:p>
        </w:tc>
        <w:tc>
          <w:tcPr>
            <w:tcW w:w="3414" w:type="dxa"/>
            <w:tcBorders>
              <w:top w:val="single" w:color="auto" w:sz="4" w:space="0"/>
              <w:left w:val="single" w:color="auto" w:sz="4" w:space="0"/>
              <w:bottom w:val="single" w:color="auto" w:sz="4" w:space="0"/>
              <w:right w:val="single" w:color="auto" w:sz="4" w:space="0"/>
            </w:tcBorders>
            <w:vAlign w:val="center"/>
          </w:tcPr>
          <w:p w14:paraId="5A30F74D">
            <w:pPr>
              <w:spacing w:line="360" w:lineRule="auto"/>
              <w:rPr>
                <w:color w:val="auto"/>
                <w:sz w:val="24"/>
              </w:rPr>
            </w:pPr>
            <w:r>
              <w:rPr>
                <w:rFonts w:hint="eastAsia"/>
                <w:color w:val="auto"/>
                <w:sz w:val="24"/>
              </w:rPr>
              <w:t>法律、行政法规规定的其他条件</w:t>
            </w:r>
          </w:p>
          <w:p w14:paraId="238C3751">
            <w:pPr>
              <w:spacing w:line="360" w:lineRule="auto"/>
              <w:ind w:firstLine="480" w:firstLineChars="200"/>
              <w:rPr>
                <w:color w:val="auto"/>
                <w:sz w:val="24"/>
              </w:rPr>
            </w:pPr>
          </w:p>
        </w:tc>
        <w:tc>
          <w:tcPr>
            <w:tcW w:w="5000" w:type="dxa"/>
            <w:tcBorders>
              <w:top w:val="single" w:color="auto" w:sz="4" w:space="0"/>
              <w:left w:val="single" w:color="auto" w:sz="4" w:space="0"/>
              <w:bottom w:val="single" w:color="auto" w:sz="4" w:space="0"/>
              <w:right w:val="single" w:color="auto" w:sz="4" w:space="0"/>
            </w:tcBorders>
            <w:vAlign w:val="center"/>
          </w:tcPr>
          <w:p w14:paraId="5532D8F2">
            <w:pPr>
              <w:spacing w:line="360" w:lineRule="auto"/>
              <w:rPr>
                <w:rFonts w:hint="eastAsia" w:ascii="宋体" w:hAnsi="宋体"/>
                <w:color w:val="auto"/>
                <w:kern w:val="0"/>
                <w:sz w:val="24"/>
              </w:rPr>
            </w:pPr>
            <w:r>
              <w:rPr>
                <w:rFonts w:hint="eastAsia" w:ascii="宋体" w:hAnsi="宋体"/>
                <w:color w:val="auto"/>
                <w:kern w:val="0"/>
                <w:sz w:val="24"/>
              </w:rPr>
              <w:t>（1）单位负责人为同一人或者存在直接控股、管理关系的不同</w:t>
            </w:r>
            <w:r>
              <w:rPr>
                <w:rFonts w:hint="eastAsia" w:ascii="宋体" w:hAnsi="宋体"/>
                <w:color w:val="auto"/>
                <w:kern w:val="0"/>
                <w:sz w:val="24"/>
                <w:lang w:eastAsia="zh-CN"/>
              </w:rPr>
              <w:t>供应商</w:t>
            </w:r>
            <w:r>
              <w:rPr>
                <w:rFonts w:hint="eastAsia" w:ascii="宋体" w:hAnsi="宋体"/>
                <w:color w:val="auto"/>
                <w:kern w:val="0"/>
                <w:sz w:val="24"/>
              </w:rPr>
              <w:t>，不得参加同一合同项下的政府采购活动。为采购项目提供整体设计、规范编制或者项目管理、监理、检测等服务的</w:t>
            </w:r>
            <w:r>
              <w:rPr>
                <w:rFonts w:hint="eastAsia" w:ascii="宋体" w:hAnsi="宋体"/>
                <w:color w:val="auto"/>
                <w:kern w:val="0"/>
                <w:sz w:val="24"/>
                <w:lang w:eastAsia="zh-CN"/>
              </w:rPr>
              <w:t>供应商</w:t>
            </w:r>
            <w:r>
              <w:rPr>
                <w:rFonts w:hint="eastAsia" w:ascii="宋体" w:hAnsi="宋体"/>
                <w:color w:val="auto"/>
                <w:kern w:val="0"/>
                <w:sz w:val="24"/>
              </w:rPr>
              <w:t>，不得再参加该采购项目的其他采购活动。</w:t>
            </w:r>
          </w:p>
          <w:p w14:paraId="1AB99070">
            <w:pPr>
              <w:spacing w:line="360" w:lineRule="auto"/>
              <w:rPr>
                <w:color w:val="auto"/>
              </w:rPr>
            </w:pPr>
            <w:r>
              <w:rPr>
                <w:rFonts w:hint="eastAsia" w:ascii="宋体" w:hAnsi="宋体"/>
                <w:color w:val="auto"/>
                <w:kern w:val="0"/>
                <w:sz w:val="24"/>
              </w:rPr>
              <w:t>（2）</w:t>
            </w:r>
            <w:r>
              <w:rPr>
                <w:rFonts w:hint="eastAsia" w:ascii="宋体" w:hAnsi="宋体" w:cs="宋体"/>
                <w:color w:val="auto"/>
                <w:sz w:val="24"/>
                <w:szCs w:val="21"/>
                <w:lang w:eastAsia="zh-CN"/>
              </w:rPr>
              <w:t>供应商不得被“信用中国”网站（www.creditchina.gov.cn）列入失信被执行人或重大税收违法失信主体名单、不得为“中国政府采购网”（www.ccgp.gov.cn）政府采购严重违法失信行为记录名单中被财政部门禁止参加政府采购活动的供应商（处罚决定规定的时间和地域范围内）（信誉查询时间截点：本项目采购公告发布之日起至响应文件递交截止时间止。代理机构在响应文件递交截止时间止对潜在供应商信誉情况进行查询，并交由评标委员会进行复核评审）。</w:t>
            </w:r>
            <w:r>
              <w:rPr>
                <w:rFonts w:hint="eastAsia" w:ascii="宋体" w:hAnsi="宋体" w:cs="宋体"/>
                <w:color w:val="auto"/>
                <w:sz w:val="24"/>
                <w:szCs w:val="21"/>
              </w:rPr>
              <w:t>截止时间止对潜在</w:t>
            </w:r>
            <w:r>
              <w:rPr>
                <w:rFonts w:hint="eastAsia" w:ascii="宋体" w:hAnsi="宋体" w:cs="宋体"/>
                <w:color w:val="auto"/>
                <w:sz w:val="24"/>
                <w:szCs w:val="21"/>
                <w:lang w:eastAsia="zh-CN"/>
              </w:rPr>
              <w:t>供应商</w:t>
            </w:r>
            <w:r>
              <w:rPr>
                <w:rFonts w:hint="eastAsia" w:ascii="宋体" w:hAnsi="宋体" w:cs="宋体"/>
                <w:color w:val="auto"/>
                <w:sz w:val="24"/>
                <w:szCs w:val="21"/>
              </w:rPr>
              <w:t>信誉情况进行查询，并交由评标委员会进行复核评审）。</w:t>
            </w:r>
          </w:p>
        </w:tc>
      </w:tr>
    </w:tbl>
    <w:p w14:paraId="3F92402C">
      <w:pPr>
        <w:rPr>
          <w:rFonts w:hint="eastAsia" w:asciiTheme="minorEastAsia" w:hAnsiTheme="minorEastAsia" w:eastAsiaTheme="minorEastAsia" w:cstheme="minorEastAsia"/>
          <w:b/>
          <w:bCs/>
          <w:color w:val="auto"/>
          <w:kern w:val="44"/>
          <w:sz w:val="36"/>
          <w:szCs w:val="20"/>
        </w:rPr>
      </w:pPr>
      <w:r>
        <w:rPr>
          <w:rFonts w:hint="eastAsia" w:asciiTheme="minorEastAsia" w:hAnsiTheme="minorEastAsia" w:eastAsiaTheme="minorEastAsia" w:cstheme="minorEastAsia"/>
          <w:b/>
          <w:bCs/>
          <w:color w:val="auto"/>
          <w:kern w:val="44"/>
          <w:sz w:val="36"/>
          <w:szCs w:val="20"/>
        </w:rPr>
        <w:br w:type="page"/>
      </w:r>
    </w:p>
    <w:p w14:paraId="68B4B1F9">
      <w:pPr>
        <w:pStyle w:val="2"/>
        <w:spacing w:line="240" w:lineRule="auto"/>
        <w:jc w:val="center"/>
        <w:rPr>
          <w:rFonts w:hint="eastAsia" w:asciiTheme="minorEastAsia" w:hAnsiTheme="minorEastAsia" w:eastAsiaTheme="minorEastAsia" w:cstheme="minorEastAsia"/>
          <w:bCs/>
          <w:color w:val="auto"/>
          <w:sz w:val="36"/>
        </w:rPr>
      </w:pPr>
      <w:bookmarkStart w:id="277" w:name="_Toc28601"/>
      <w:bookmarkStart w:id="278" w:name="_Toc18944"/>
      <w:bookmarkStart w:id="279" w:name="_Toc4493"/>
      <w:r>
        <w:rPr>
          <w:rFonts w:hint="eastAsia" w:asciiTheme="minorEastAsia" w:hAnsiTheme="minorEastAsia" w:eastAsiaTheme="minorEastAsia" w:cstheme="minorEastAsia"/>
          <w:bCs/>
          <w:color w:val="auto"/>
          <w:sz w:val="36"/>
        </w:rPr>
        <w:t>第七章  评标办法（综合评分法）</w:t>
      </w:r>
      <w:bookmarkEnd w:id="277"/>
      <w:bookmarkEnd w:id="278"/>
      <w:bookmarkEnd w:id="279"/>
    </w:p>
    <w:p w14:paraId="771C7D10">
      <w:pPr>
        <w:jc w:val="center"/>
        <w:rPr>
          <w:color w:val="auto"/>
          <w:sz w:val="28"/>
          <w:szCs w:val="36"/>
        </w:rPr>
      </w:pPr>
      <w:r>
        <w:rPr>
          <w:rFonts w:hint="eastAsia"/>
          <w:b/>
          <w:bCs/>
          <w:color w:val="auto"/>
          <w:sz w:val="28"/>
          <w:szCs w:val="36"/>
        </w:rPr>
        <w:t>评标办法前附表</w:t>
      </w:r>
    </w:p>
    <w:p w14:paraId="1AF6C653">
      <w:pPr>
        <w:spacing w:line="480" w:lineRule="exact"/>
        <w:rPr>
          <w:b/>
          <w:bCs/>
          <w:color w:val="auto"/>
          <w:kern w:val="0"/>
          <w:sz w:val="24"/>
        </w:rPr>
      </w:pPr>
      <w:r>
        <w:rPr>
          <w:rFonts w:hint="eastAsia"/>
          <w:b/>
          <w:bCs/>
          <w:color w:val="auto"/>
          <w:sz w:val="24"/>
        </w:rPr>
        <w:t>1、形式评审标准</w:t>
      </w:r>
    </w:p>
    <w:tbl>
      <w:tblPr>
        <w:tblStyle w:val="41"/>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4016"/>
        <w:gridCol w:w="4599"/>
      </w:tblGrid>
      <w:tr w14:paraId="3608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25" w:type="dxa"/>
            <w:vMerge w:val="restart"/>
            <w:tcBorders>
              <w:top w:val="single" w:color="auto" w:sz="4" w:space="0"/>
              <w:left w:val="single" w:color="auto" w:sz="4" w:space="0"/>
              <w:bottom w:val="single" w:color="auto" w:sz="4" w:space="0"/>
              <w:right w:val="single" w:color="auto" w:sz="4" w:space="0"/>
            </w:tcBorders>
            <w:vAlign w:val="center"/>
          </w:tcPr>
          <w:p w14:paraId="08232D35">
            <w:pPr>
              <w:spacing w:before="100" w:beforeAutospacing="1" w:after="100" w:afterAutospacing="1" w:line="360" w:lineRule="auto"/>
              <w:jc w:val="center"/>
              <w:rPr>
                <w:rFonts w:hint="eastAsia" w:ascii="宋体" w:hAnsi="宋体" w:cs="宋体"/>
                <w:color w:val="auto"/>
                <w:sz w:val="24"/>
              </w:rPr>
            </w:pPr>
            <w:r>
              <w:rPr>
                <w:rFonts w:hint="eastAsia" w:ascii="宋体" w:hAnsi="宋体" w:cs="宋体"/>
                <w:color w:val="auto"/>
                <w:sz w:val="24"/>
              </w:rPr>
              <w:t>形式评审标准</w:t>
            </w:r>
          </w:p>
        </w:tc>
        <w:tc>
          <w:tcPr>
            <w:tcW w:w="4016" w:type="dxa"/>
            <w:tcBorders>
              <w:top w:val="single" w:color="auto" w:sz="4" w:space="0"/>
              <w:left w:val="single" w:color="auto" w:sz="4" w:space="0"/>
              <w:bottom w:val="single" w:color="auto" w:sz="4" w:space="0"/>
              <w:right w:val="single" w:color="auto" w:sz="4" w:space="0"/>
            </w:tcBorders>
            <w:vAlign w:val="center"/>
          </w:tcPr>
          <w:p w14:paraId="4889EF91">
            <w:pPr>
              <w:spacing w:before="100" w:beforeAutospacing="1" w:after="100" w:afterAutospacing="1" w:line="360" w:lineRule="auto"/>
              <w:jc w:val="center"/>
              <w:rPr>
                <w:rFonts w:hint="eastAsia" w:ascii="宋体" w:hAnsi="宋体" w:cs="宋体"/>
                <w:color w:val="auto"/>
                <w:sz w:val="24"/>
              </w:rPr>
            </w:pPr>
            <w:r>
              <w:rPr>
                <w:rFonts w:hint="eastAsia" w:ascii="宋体" w:hAnsi="宋体" w:cs="宋体"/>
                <w:color w:val="auto"/>
                <w:sz w:val="24"/>
                <w:lang w:eastAsia="zh-CN"/>
              </w:rPr>
              <w:t>供应商</w:t>
            </w:r>
            <w:r>
              <w:rPr>
                <w:rFonts w:hint="eastAsia" w:ascii="宋体" w:hAnsi="宋体" w:cs="宋体"/>
                <w:color w:val="auto"/>
                <w:sz w:val="24"/>
              </w:rPr>
              <w:t>名称</w:t>
            </w:r>
          </w:p>
        </w:tc>
        <w:tc>
          <w:tcPr>
            <w:tcW w:w="4599" w:type="dxa"/>
            <w:tcBorders>
              <w:top w:val="single" w:color="auto" w:sz="4" w:space="0"/>
              <w:left w:val="single" w:color="auto" w:sz="4" w:space="0"/>
              <w:bottom w:val="single" w:color="auto" w:sz="4" w:space="0"/>
              <w:right w:val="single" w:color="auto" w:sz="4" w:space="0"/>
            </w:tcBorders>
            <w:vAlign w:val="center"/>
          </w:tcPr>
          <w:p w14:paraId="6EB8790C">
            <w:pPr>
              <w:spacing w:before="100" w:beforeAutospacing="1" w:after="100" w:afterAutospacing="1" w:line="360" w:lineRule="auto"/>
              <w:jc w:val="center"/>
              <w:rPr>
                <w:rFonts w:hint="eastAsia" w:ascii="宋体" w:hAnsi="宋体" w:cs="宋体"/>
                <w:color w:val="auto"/>
                <w:sz w:val="24"/>
              </w:rPr>
            </w:pPr>
            <w:r>
              <w:rPr>
                <w:rFonts w:hint="eastAsia" w:ascii="宋体" w:hAnsi="宋体" w:cs="宋体"/>
                <w:color w:val="auto"/>
                <w:sz w:val="24"/>
              </w:rPr>
              <w:t>与营业执照、资质证书一致</w:t>
            </w:r>
          </w:p>
        </w:tc>
      </w:tr>
      <w:tr w14:paraId="5749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14:paraId="04E311EF">
            <w:pPr>
              <w:widowControl/>
              <w:spacing w:line="360" w:lineRule="auto"/>
              <w:jc w:val="left"/>
              <w:rPr>
                <w:rFonts w:hint="eastAsia" w:ascii="宋体" w:hAnsi="宋体" w:cs="宋体"/>
                <w:color w:val="auto"/>
                <w:sz w:val="24"/>
              </w:rPr>
            </w:pPr>
          </w:p>
        </w:tc>
        <w:tc>
          <w:tcPr>
            <w:tcW w:w="4016" w:type="dxa"/>
            <w:tcBorders>
              <w:top w:val="single" w:color="auto" w:sz="4" w:space="0"/>
              <w:left w:val="single" w:color="auto" w:sz="4" w:space="0"/>
              <w:bottom w:val="single" w:color="auto" w:sz="4" w:space="0"/>
              <w:right w:val="single" w:color="auto" w:sz="4" w:space="0"/>
            </w:tcBorders>
            <w:vAlign w:val="center"/>
          </w:tcPr>
          <w:p w14:paraId="1633B0A1">
            <w:pPr>
              <w:spacing w:before="100" w:beforeAutospacing="1" w:after="100" w:afterAutospacing="1" w:line="360" w:lineRule="auto"/>
              <w:jc w:val="center"/>
              <w:rPr>
                <w:rFonts w:hint="eastAsia" w:ascii="宋体" w:hAnsi="宋体" w:cs="宋体"/>
                <w:color w:val="auto"/>
                <w:sz w:val="24"/>
              </w:rPr>
            </w:pPr>
            <w:r>
              <w:rPr>
                <w:rFonts w:hint="eastAsia" w:ascii="宋体" w:hAnsi="宋体" w:cs="宋体"/>
                <w:color w:val="auto"/>
                <w:sz w:val="24"/>
              </w:rPr>
              <w:t>投标文件的签署</w:t>
            </w:r>
          </w:p>
        </w:tc>
        <w:tc>
          <w:tcPr>
            <w:tcW w:w="4599" w:type="dxa"/>
            <w:tcBorders>
              <w:top w:val="single" w:color="auto" w:sz="4" w:space="0"/>
              <w:left w:val="single" w:color="auto" w:sz="4" w:space="0"/>
              <w:bottom w:val="single" w:color="auto" w:sz="4" w:space="0"/>
              <w:right w:val="single" w:color="auto" w:sz="4" w:space="0"/>
            </w:tcBorders>
            <w:vAlign w:val="center"/>
          </w:tcPr>
          <w:p w14:paraId="580BC9CF">
            <w:pPr>
              <w:spacing w:before="100" w:beforeAutospacing="1" w:after="100" w:afterAutospacing="1" w:line="360" w:lineRule="auto"/>
              <w:jc w:val="center"/>
              <w:rPr>
                <w:rFonts w:hint="eastAsia" w:ascii="宋体" w:hAnsi="宋体" w:cs="宋体"/>
                <w:color w:val="auto"/>
                <w:sz w:val="24"/>
              </w:rPr>
            </w:pPr>
            <w:r>
              <w:rPr>
                <w:rFonts w:hint="eastAsia" w:ascii="宋体" w:hAnsi="宋体" w:cs="宋体"/>
                <w:color w:val="auto"/>
                <w:sz w:val="24"/>
              </w:rPr>
              <w:t>符合第二章“</w:t>
            </w:r>
            <w:r>
              <w:rPr>
                <w:rFonts w:hint="eastAsia" w:ascii="宋体" w:hAnsi="宋体" w:cs="宋体"/>
                <w:color w:val="auto"/>
                <w:sz w:val="24"/>
                <w:lang w:eastAsia="zh-CN"/>
              </w:rPr>
              <w:t>供应商</w:t>
            </w:r>
            <w:r>
              <w:rPr>
                <w:rFonts w:hint="eastAsia" w:ascii="宋体" w:hAnsi="宋体" w:cs="宋体"/>
                <w:color w:val="auto"/>
                <w:sz w:val="24"/>
              </w:rPr>
              <w:t>须知”要求</w:t>
            </w:r>
          </w:p>
        </w:tc>
      </w:tr>
      <w:tr w14:paraId="7C34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14:paraId="487C0847">
            <w:pPr>
              <w:widowControl/>
              <w:spacing w:line="360" w:lineRule="auto"/>
              <w:jc w:val="left"/>
              <w:rPr>
                <w:rFonts w:hint="eastAsia" w:ascii="宋体" w:hAnsi="宋体" w:cs="宋体"/>
                <w:color w:val="auto"/>
                <w:sz w:val="24"/>
              </w:rPr>
            </w:pPr>
          </w:p>
        </w:tc>
        <w:tc>
          <w:tcPr>
            <w:tcW w:w="4016" w:type="dxa"/>
            <w:tcBorders>
              <w:top w:val="single" w:color="auto" w:sz="4" w:space="0"/>
              <w:left w:val="single" w:color="auto" w:sz="4" w:space="0"/>
              <w:bottom w:val="single" w:color="auto" w:sz="4" w:space="0"/>
              <w:right w:val="single" w:color="auto" w:sz="4" w:space="0"/>
            </w:tcBorders>
            <w:vAlign w:val="center"/>
          </w:tcPr>
          <w:p w14:paraId="5956773D">
            <w:pPr>
              <w:spacing w:before="100" w:beforeAutospacing="1" w:after="100" w:afterAutospacing="1" w:line="360" w:lineRule="auto"/>
              <w:jc w:val="center"/>
              <w:rPr>
                <w:rFonts w:hint="eastAsia" w:ascii="宋体" w:hAnsi="宋体" w:cs="宋体"/>
                <w:color w:val="auto"/>
                <w:sz w:val="24"/>
              </w:rPr>
            </w:pPr>
            <w:r>
              <w:rPr>
                <w:rFonts w:hint="eastAsia" w:ascii="宋体" w:hAnsi="宋体" w:cs="宋体"/>
                <w:color w:val="auto"/>
                <w:sz w:val="24"/>
              </w:rPr>
              <w:t>报价唯一</w:t>
            </w:r>
          </w:p>
        </w:tc>
        <w:tc>
          <w:tcPr>
            <w:tcW w:w="4599" w:type="dxa"/>
            <w:tcBorders>
              <w:top w:val="single" w:color="auto" w:sz="4" w:space="0"/>
              <w:left w:val="single" w:color="auto" w:sz="4" w:space="0"/>
              <w:bottom w:val="single" w:color="auto" w:sz="4" w:space="0"/>
              <w:right w:val="single" w:color="auto" w:sz="4" w:space="0"/>
            </w:tcBorders>
            <w:vAlign w:val="center"/>
          </w:tcPr>
          <w:p w14:paraId="65294B21">
            <w:pPr>
              <w:spacing w:before="100" w:beforeAutospacing="1" w:after="100" w:afterAutospacing="1" w:line="360" w:lineRule="auto"/>
              <w:jc w:val="center"/>
              <w:rPr>
                <w:rFonts w:hint="eastAsia" w:ascii="宋体" w:hAnsi="宋体" w:cs="宋体"/>
                <w:color w:val="auto"/>
                <w:sz w:val="24"/>
              </w:rPr>
            </w:pPr>
            <w:r>
              <w:rPr>
                <w:rFonts w:hint="eastAsia" w:ascii="宋体" w:hAnsi="宋体" w:cs="宋体"/>
                <w:color w:val="auto"/>
                <w:sz w:val="24"/>
              </w:rPr>
              <w:t>只能有一个报价</w:t>
            </w:r>
          </w:p>
        </w:tc>
      </w:tr>
      <w:tr w14:paraId="6756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14:paraId="77D76769">
            <w:pPr>
              <w:widowControl/>
              <w:spacing w:line="360" w:lineRule="auto"/>
              <w:jc w:val="left"/>
              <w:rPr>
                <w:rFonts w:hint="eastAsia" w:ascii="宋体" w:hAnsi="宋体" w:cs="宋体"/>
                <w:color w:val="auto"/>
                <w:sz w:val="24"/>
              </w:rPr>
            </w:pPr>
          </w:p>
        </w:tc>
        <w:tc>
          <w:tcPr>
            <w:tcW w:w="4016" w:type="dxa"/>
            <w:tcBorders>
              <w:top w:val="single" w:color="auto" w:sz="4" w:space="0"/>
              <w:left w:val="single" w:color="auto" w:sz="4" w:space="0"/>
              <w:bottom w:val="single" w:color="auto" w:sz="4" w:space="0"/>
              <w:right w:val="single" w:color="auto" w:sz="4" w:space="0"/>
            </w:tcBorders>
            <w:vAlign w:val="center"/>
          </w:tcPr>
          <w:p w14:paraId="1DA729BF">
            <w:pPr>
              <w:spacing w:before="100" w:beforeAutospacing="1" w:after="100" w:afterAutospacing="1" w:line="360" w:lineRule="auto"/>
              <w:jc w:val="center"/>
              <w:rPr>
                <w:rFonts w:hint="eastAsia" w:ascii="宋体" w:hAnsi="宋体" w:cs="宋体"/>
                <w:color w:val="auto"/>
                <w:sz w:val="24"/>
              </w:rPr>
            </w:pPr>
            <w:r>
              <w:rPr>
                <w:rFonts w:hint="eastAsia" w:ascii="宋体" w:hAnsi="宋体" w:cs="宋体"/>
                <w:color w:val="auto"/>
                <w:sz w:val="24"/>
              </w:rPr>
              <w:t>法定代表人身份证明或附法定代表人身份证明的授权委托书</w:t>
            </w:r>
          </w:p>
        </w:tc>
        <w:tc>
          <w:tcPr>
            <w:tcW w:w="4599" w:type="dxa"/>
            <w:tcBorders>
              <w:top w:val="single" w:color="auto" w:sz="4" w:space="0"/>
              <w:left w:val="single" w:color="auto" w:sz="4" w:space="0"/>
              <w:bottom w:val="single" w:color="auto" w:sz="4" w:space="0"/>
              <w:right w:val="single" w:color="auto" w:sz="4" w:space="0"/>
            </w:tcBorders>
            <w:vAlign w:val="center"/>
          </w:tcPr>
          <w:p w14:paraId="30F94EF1">
            <w:pPr>
              <w:spacing w:before="100" w:beforeAutospacing="1" w:after="100" w:afterAutospacing="1" w:line="360" w:lineRule="auto"/>
              <w:jc w:val="center"/>
              <w:rPr>
                <w:rFonts w:hint="eastAsia" w:ascii="宋体" w:hAnsi="宋体" w:cs="宋体"/>
                <w:color w:val="auto"/>
                <w:sz w:val="24"/>
              </w:rPr>
            </w:pPr>
            <w:r>
              <w:rPr>
                <w:rFonts w:hint="eastAsia" w:ascii="宋体" w:hAnsi="宋体" w:cs="宋体"/>
                <w:color w:val="auto"/>
                <w:sz w:val="24"/>
              </w:rPr>
              <w:t>符合投标文件格式要求，内容真实有效</w:t>
            </w:r>
          </w:p>
        </w:tc>
      </w:tr>
    </w:tbl>
    <w:p w14:paraId="7359F8B7">
      <w:pPr>
        <w:rPr>
          <w:b/>
          <w:bCs/>
          <w:color w:val="auto"/>
          <w:sz w:val="24"/>
        </w:rPr>
      </w:pPr>
    </w:p>
    <w:p w14:paraId="5DA7795E">
      <w:pPr>
        <w:rPr>
          <w:b/>
          <w:bCs/>
          <w:color w:val="auto"/>
        </w:rPr>
      </w:pPr>
      <w:r>
        <w:rPr>
          <w:rFonts w:hint="eastAsia"/>
          <w:b/>
          <w:bCs/>
          <w:color w:val="auto"/>
          <w:sz w:val="24"/>
        </w:rPr>
        <w:t>2、响应性评审标准</w:t>
      </w:r>
    </w:p>
    <w:tbl>
      <w:tblPr>
        <w:tblStyle w:val="41"/>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011"/>
        <w:gridCol w:w="6604"/>
      </w:tblGrid>
      <w:tr w14:paraId="6900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restart"/>
            <w:tcBorders>
              <w:top w:val="single" w:color="auto" w:sz="4" w:space="0"/>
              <w:left w:val="single" w:color="auto" w:sz="4" w:space="0"/>
              <w:right w:val="single" w:color="auto" w:sz="4" w:space="0"/>
            </w:tcBorders>
            <w:vAlign w:val="center"/>
          </w:tcPr>
          <w:p w14:paraId="7CE7F2C5">
            <w:pPr>
              <w:spacing w:before="100" w:beforeAutospacing="1" w:after="100" w:afterAutospacing="1" w:line="360" w:lineRule="auto"/>
              <w:rPr>
                <w:rFonts w:hint="eastAsia" w:ascii="宋体" w:hAnsi="宋体" w:cs="宋体"/>
                <w:color w:val="auto"/>
                <w:sz w:val="24"/>
              </w:rPr>
            </w:pPr>
            <w:r>
              <w:rPr>
                <w:rFonts w:hint="eastAsia" w:ascii="宋体" w:hAnsi="宋体" w:cs="宋体"/>
                <w:color w:val="auto"/>
                <w:sz w:val="24"/>
              </w:rPr>
              <w:t>响应性评审标准</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695977C9">
            <w:pPr>
              <w:spacing w:line="360" w:lineRule="auto"/>
              <w:jc w:val="center"/>
              <w:rPr>
                <w:rFonts w:hint="eastAsia" w:ascii="宋体" w:hAnsi="宋体" w:cs="宋体"/>
                <w:color w:val="auto"/>
                <w:sz w:val="24"/>
              </w:rPr>
            </w:pPr>
            <w:r>
              <w:rPr>
                <w:rFonts w:hint="eastAsia" w:ascii="宋体" w:hAnsi="宋体" w:cs="宋体"/>
                <w:color w:val="auto"/>
                <w:sz w:val="24"/>
              </w:rPr>
              <w:t>响应价格</w:t>
            </w:r>
          </w:p>
        </w:tc>
        <w:tc>
          <w:tcPr>
            <w:tcW w:w="6604" w:type="dxa"/>
            <w:tcBorders>
              <w:top w:val="single" w:color="auto" w:sz="4" w:space="0"/>
              <w:left w:val="single" w:color="auto" w:sz="4" w:space="0"/>
              <w:bottom w:val="single" w:color="auto" w:sz="4" w:space="0"/>
              <w:right w:val="single" w:color="auto" w:sz="4" w:space="0"/>
            </w:tcBorders>
            <w:shd w:val="clear" w:color="auto" w:fill="auto"/>
            <w:vAlign w:val="center"/>
          </w:tcPr>
          <w:p w14:paraId="28553C8D">
            <w:pPr>
              <w:spacing w:line="360" w:lineRule="auto"/>
              <w:jc w:val="center"/>
              <w:rPr>
                <w:rFonts w:hint="eastAsia" w:ascii="宋体" w:hAnsi="宋体" w:cs="宋体"/>
                <w:color w:val="auto"/>
                <w:sz w:val="24"/>
              </w:rPr>
            </w:pPr>
            <w:r>
              <w:rPr>
                <w:rFonts w:hint="eastAsia" w:ascii="宋体" w:hAnsi="宋体" w:cs="宋体"/>
                <w:color w:val="auto"/>
                <w:sz w:val="24"/>
              </w:rPr>
              <w:t>符合第二章“</w:t>
            </w:r>
            <w:r>
              <w:rPr>
                <w:rFonts w:hint="eastAsia" w:ascii="宋体" w:hAnsi="宋体" w:cs="宋体"/>
                <w:color w:val="auto"/>
                <w:sz w:val="24"/>
                <w:lang w:eastAsia="zh-CN"/>
              </w:rPr>
              <w:t>供应商</w:t>
            </w:r>
            <w:r>
              <w:rPr>
                <w:rFonts w:hint="eastAsia" w:ascii="宋体" w:hAnsi="宋体" w:cs="宋体"/>
                <w:color w:val="auto"/>
                <w:sz w:val="24"/>
              </w:rPr>
              <w:t>须知”第4项规定</w:t>
            </w:r>
          </w:p>
        </w:tc>
      </w:tr>
      <w:tr w14:paraId="3030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Merge w:val="continue"/>
            <w:tcBorders>
              <w:left w:val="single" w:color="auto" w:sz="4" w:space="0"/>
              <w:right w:val="single" w:color="auto" w:sz="4" w:space="0"/>
            </w:tcBorders>
            <w:vAlign w:val="center"/>
          </w:tcPr>
          <w:p w14:paraId="5D0FABEC">
            <w:pPr>
              <w:spacing w:before="100" w:beforeAutospacing="1" w:after="100" w:afterAutospacing="1" w:line="360" w:lineRule="auto"/>
              <w:rPr>
                <w:rFonts w:hint="eastAsia" w:ascii="宋体" w:hAnsi="宋体" w:cs="宋体"/>
                <w:color w:val="auto"/>
                <w:sz w:val="24"/>
              </w:rPr>
            </w:pPr>
          </w:p>
        </w:tc>
        <w:tc>
          <w:tcPr>
            <w:tcW w:w="2011" w:type="dxa"/>
            <w:tcBorders>
              <w:top w:val="single" w:color="auto" w:sz="4" w:space="0"/>
              <w:left w:val="single" w:color="auto" w:sz="4" w:space="0"/>
              <w:bottom w:val="single" w:color="auto" w:sz="4" w:space="0"/>
              <w:right w:val="single" w:color="auto" w:sz="4" w:space="0"/>
            </w:tcBorders>
            <w:vAlign w:val="center"/>
          </w:tcPr>
          <w:p w14:paraId="3D43766B">
            <w:pPr>
              <w:spacing w:line="360" w:lineRule="auto"/>
              <w:jc w:val="center"/>
              <w:rPr>
                <w:rFonts w:hint="eastAsia" w:ascii="宋体" w:hAnsi="宋体" w:cs="宋体"/>
                <w:color w:val="auto"/>
                <w:sz w:val="24"/>
              </w:rPr>
            </w:pPr>
            <w:r>
              <w:rPr>
                <w:rFonts w:hint="eastAsia" w:ascii="宋体" w:hAnsi="宋体" w:cs="宋体"/>
                <w:color w:val="auto"/>
                <w:sz w:val="24"/>
              </w:rPr>
              <w:t>响应内容</w:t>
            </w:r>
          </w:p>
        </w:tc>
        <w:tc>
          <w:tcPr>
            <w:tcW w:w="6604" w:type="dxa"/>
            <w:tcBorders>
              <w:top w:val="single" w:color="auto" w:sz="4" w:space="0"/>
              <w:left w:val="single" w:color="auto" w:sz="4" w:space="0"/>
              <w:bottom w:val="single" w:color="auto" w:sz="4" w:space="0"/>
              <w:right w:val="single" w:color="auto" w:sz="4" w:space="0"/>
            </w:tcBorders>
            <w:vAlign w:val="center"/>
          </w:tcPr>
          <w:p w14:paraId="6022C01C">
            <w:pPr>
              <w:spacing w:line="360" w:lineRule="auto"/>
              <w:jc w:val="center"/>
              <w:rPr>
                <w:rFonts w:hint="eastAsia" w:ascii="宋体" w:hAnsi="宋体" w:cs="宋体"/>
                <w:color w:val="auto"/>
                <w:sz w:val="24"/>
              </w:rPr>
            </w:pPr>
            <w:r>
              <w:rPr>
                <w:rFonts w:hint="eastAsia" w:ascii="宋体" w:hAnsi="宋体" w:cs="宋体"/>
                <w:color w:val="auto"/>
                <w:sz w:val="24"/>
              </w:rPr>
              <w:t>符合第二章“</w:t>
            </w:r>
            <w:r>
              <w:rPr>
                <w:rFonts w:hint="eastAsia" w:ascii="宋体" w:hAnsi="宋体" w:cs="宋体"/>
                <w:color w:val="auto"/>
                <w:sz w:val="24"/>
                <w:lang w:eastAsia="zh-CN"/>
              </w:rPr>
              <w:t>供应商</w:t>
            </w:r>
            <w:r>
              <w:rPr>
                <w:rFonts w:hint="eastAsia" w:ascii="宋体" w:hAnsi="宋体" w:cs="宋体"/>
                <w:color w:val="auto"/>
                <w:sz w:val="24"/>
              </w:rPr>
              <w:t>须知”第5项规定</w:t>
            </w:r>
          </w:p>
        </w:tc>
      </w:tr>
      <w:tr w14:paraId="518F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5" w:type="dxa"/>
            <w:vMerge w:val="continue"/>
            <w:tcBorders>
              <w:left w:val="single" w:color="auto" w:sz="4" w:space="0"/>
              <w:right w:val="single" w:color="auto" w:sz="4" w:space="0"/>
            </w:tcBorders>
            <w:vAlign w:val="center"/>
          </w:tcPr>
          <w:p w14:paraId="5CFAEAA5">
            <w:pPr>
              <w:widowControl/>
              <w:spacing w:line="360" w:lineRule="auto"/>
              <w:jc w:val="left"/>
              <w:rPr>
                <w:rFonts w:hint="eastAsia" w:ascii="宋体" w:hAnsi="宋体" w:cs="宋体"/>
                <w:color w:val="auto"/>
                <w:sz w:val="24"/>
              </w:rPr>
            </w:pPr>
          </w:p>
        </w:tc>
        <w:tc>
          <w:tcPr>
            <w:tcW w:w="2011" w:type="dxa"/>
            <w:tcBorders>
              <w:top w:val="single" w:color="auto" w:sz="4" w:space="0"/>
              <w:left w:val="single" w:color="auto" w:sz="4" w:space="0"/>
              <w:bottom w:val="single" w:color="auto" w:sz="4" w:space="0"/>
              <w:right w:val="single" w:color="auto" w:sz="4" w:space="0"/>
            </w:tcBorders>
            <w:vAlign w:val="center"/>
          </w:tcPr>
          <w:p w14:paraId="2108AD89">
            <w:pPr>
              <w:spacing w:line="360" w:lineRule="auto"/>
              <w:jc w:val="center"/>
              <w:rPr>
                <w:rFonts w:hint="eastAsia" w:ascii="宋体" w:hAnsi="宋体" w:cs="宋体"/>
                <w:color w:val="auto"/>
                <w:sz w:val="24"/>
              </w:rPr>
            </w:pPr>
            <w:r>
              <w:rPr>
                <w:rFonts w:hint="eastAsia" w:ascii="宋体" w:hAnsi="宋体" w:cs="宋体"/>
                <w:color w:val="auto"/>
                <w:sz w:val="24"/>
              </w:rPr>
              <w:t>合同履行期限</w:t>
            </w:r>
          </w:p>
        </w:tc>
        <w:tc>
          <w:tcPr>
            <w:tcW w:w="6604" w:type="dxa"/>
            <w:tcBorders>
              <w:top w:val="single" w:color="auto" w:sz="4" w:space="0"/>
              <w:left w:val="single" w:color="auto" w:sz="4" w:space="0"/>
              <w:bottom w:val="single" w:color="auto" w:sz="4" w:space="0"/>
              <w:right w:val="single" w:color="auto" w:sz="4" w:space="0"/>
            </w:tcBorders>
            <w:vAlign w:val="center"/>
          </w:tcPr>
          <w:p w14:paraId="64F62254">
            <w:pPr>
              <w:spacing w:line="360" w:lineRule="auto"/>
              <w:jc w:val="center"/>
              <w:rPr>
                <w:rFonts w:hint="eastAsia" w:ascii="宋体" w:hAnsi="宋体" w:cs="宋体"/>
                <w:color w:val="auto"/>
                <w:sz w:val="24"/>
              </w:rPr>
            </w:pPr>
            <w:r>
              <w:rPr>
                <w:rFonts w:hint="eastAsia" w:ascii="宋体" w:hAnsi="宋体" w:cs="宋体"/>
                <w:color w:val="auto"/>
                <w:sz w:val="24"/>
              </w:rPr>
              <w:t>符合第二章“</w:t>
            </w:r>
            <w:r>
              <w:rPr>
                <w:rFonts w:hint="eastAsia" w:ascii="宋体" w:hAnsi="宋体" w:cs="宋体"/>
                <w:color w:val="auto"/>
                <w:sz w:val="24"/>
                <w:lang w:eastAsia="zh-CN"/>
              </w:rPr>
              <w:t>供应商</w:t>
            </w:r>
            <w:r>
              <w:rPr>
                <w:rFonts w:hint="eastAsia" w:ascii="宋体" w:hAnsi="宋体" w:cs="宋体"/>
                <w:color w:val="auto"/>
                <w:sz w:val="24"/>
              </w:rPr>
              <w:t>须知”第6项规定</w:t>
            </w:r>
          </w:p>
        </w:tc>
      </w:tr>
      <w:tr w14:paraId="78F6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5" w:type="dxa"/>
            <w:vMerge w:val="continue"/>
            <w:tcBorders>
              <w:left w:val="single" w:color="auto" w:sz="4" w:space="0"/>
              <w:right w:val="single" w:color="auto" w:sz="4" w:space="0"/>
            </w:tcBorders>
            <w:vAlign w:val="center"/>
          </w:tcPr>
          <w:p w14:paraId="19B3B8C9">
            <w:pPr>
              <w:widowControl/>
              <w:spacing w:line="360" w:lineRule="auto"/>
              <w:jc w:val="left"/>
              <w:rPr>
                <w:rFonts w:hint="eastAsia" w:ascii="宋体" w:hAnsi="宋体" w:cs="宋体"/>
                <w:color w:val="auto"/>
                <w:sz w:val="24"/>
              </w:rPr>
            </w:pPr>
          </w:p>
        </w:tc>
        <w:tc>
          <w:tcPr>
            <w:tcW w:w="2011" w:type="dxa"/>
            <w:tcBorders>
              <w:top w:val="single" w:color="auto" w:sz="4" w:space="0"/>
              <w:left w:val="single" w:color="auto" w:sz="4" w:space="0"/>
              <w:bottom w:val="single" w:color="auto" w:sz="4" w:space="0"/>
              <w:right w:val="single" w:color="auto" w:sz="4" w:space="0"/>
            </w:tcBorders>
            <w:vAlign w:val="center"/>
          </w:tcPr>
          <w:p w14:paraId="1EC4BEF4">
            <w:pPr>
              <w:spacing w:line="360" w:lineRule="auto"/>
              <w:jc w:val="center"/>
              <w:rPr>
                <w:rFonts w:hint="eastAsia" w:ascii="宋体" w:hAnsi="宋体" w:cs="宋体"/>
                <w:color w:val="auto"/>
                <w:sz w:val="24"/>
              </w:rPr>
            </w:pPr>
            <w:r>
              <w:rPr>
                <w:rFonts w:hint="eastAsia" w:ascii="宋体" w:hAnsi="宋体" w:cs="宋体"/>
                <w:color w:val="auto"/>
                <w:sz w:val="24"/>
              </w:rPr>
              <w:t>质保期</w:t>
            </w:r>
          </w:p>
        </w:tc>
        <w:tc>
          <w:tcPr>
            <w:tcW w:w="6604" w:type="dxa"/>
            <w:tcBorders>
              <w:top w:val="single" w:color="auto" w:sz="4" w:space="0"/>
              <w:left w:val="single" w:color="auto" w:sz="4" w:space="0"/>
              <w:bottom w:val="single" w:color="auto" w:sz="4" w:space="0"/>
              <w:right w:val="single" w:color="auto" w:sz="4" w:space="0"/>
            </w:tcBorders>
            <w:vAlign w:val="center"/>
          </w:tcPr>
          <w:p w14:paraId="7CDE5880">
            <w:pPr>
              <w:spacing w:line="360" w:lineRule="auto"/>
              <w:jc w:val="center"/>
              <w:rPr>
                <w:rFonts w:hint="eastAsia" w:ascii="宋体" w:hAnsi="宋体" w:cs="宋体"/>
                <w:color w:val="auto"/>
                <w:sz w:val="24"/>
              </w:rPr>
            </w:pPr>
            <w:r>
              <w:rPr>
                <w:rFonts w:hint="eastAsia" w:ascii="宋体" w:hAnsi="宋体" w:cs="宋体"/>
                <w:color w:val="auto"/>
                <w:sz w:val="24"/>
              </w:rPr>
              <w:t>符合第二章“</w:t>
            </w:r>
            <w:r>
              <w:rPr>
                <w:rFonts w:hint="eastAsia" w:ascii="宋体" w:hAnsi="宋体" w:cs="宋体"/>
                <w:color w:val="auto"/>
                <w:sz w:val="24"/>
                <w:lang w:eastAsia="zh-CN"/>
              </w:rPr>
              <w:t>供应商</w:t>
            </w:r>
            <w:r>
              <w:rPr>
                <w:rFonts w:hint="eastAsia" w:ascii="宋体" w:hAnsi="宋体" w:cs="宋体"/>
                <w:color w:val="auto"/>
                <w:sz w:val="24"/>
              </w:rPr>
              <w:t>须知”第8项规定</w:t>
            </w:r>
          </w:p>
        </w:tc>
      </w:tr>
      <w:tr w14:paraId="7589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5" w:type="dxa"/>
            <w:vMerge w:val="continue"/>
            <w:tcBorders>
              <w:left w:val="single" w:color="auto" w:sz="4" w:space="0"/>
              <w:right w:val="single" w:color="auto" w:sz="4" w:space="0"/>
            </w:tcBorders>
            <w:vAlign w:val="center"/>
          </w:tcPr>
          <w:p w14:paraId="14464F97">
            <w:pPr>
              <w:widowControl/>
              <w:spacing w:line="360" w:lineRule="auto"/>
              <w:jc w:val="left"/>
              <w:rPr>
                <w:rFonts w:hint="eastAsia" w:ascii="宋体" w:hAnsi="宋体" w:cs="宋体"/>
                <w:color w:val="auto"/>
                <w:sz w:val="24"/>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686804EE">
            <w:pPr>
              <w:spacing w:line="360" w:lineRule="auto"/>
              <w:jc w:val="center"/>
              <w:rPr>
                <w:rFonts w:hint="eastAsia" w:ascii="宋体" w:hAnsi="宋体" w:cs="宋体"/>
                <w:color w:val="auto"/>
                <w:sz w:val="24"/>
              </w:rPr>
            </w:pPr>
            <w:r>
              <w:rPr>
                <w:rFonts w:hint="eastAsia" w:ascii="宋体" w:hAnsi="宋体" w:cs="宋体"/>
                <w:color w:val="auto"/>
                <w:sz w:val="24"/>
              </w:rPr>
              <w:t>质量标准</w:t>
            </w:r>
          </w:p>
        </w:tc>
        <w:tc>
          <w:tcPr>
            <w:tcW w:w="6604" w:type="dxa"/>
            <w:tcBorders>
              <w:top w:val="single" w:color="auto" w:sz="4" w:space="0"/>
              <w:left w:val="single" w:color="auto" w:sz="4" w:space="0"/>
              <w:bottom w:val="single" w:color="auto" w:sz="4" w:space="0"/>
              <w:right w:val="single" w:color="auto" w:sz="4" w:space="0"/>
            </w:tcBorders>
            <w:shd w:val="clear" w:color="auto" w:fill="auto"/>
            <w:vAlign w:val="center"/>
          </w:tcPr>
          <w:p w14:paraId="79921DB0">
            <w:pPr>
              <w:spacing w:line="360" w:lineRule="auto"/>
              <w:jc w:val="center"/>
              <w:rPr>
                <w:rFonts w:hint="eastAsia" w:ascii="宋体" w:hAnsi="宋体" w:cs="宋体"/>
                <w:color w:val="auto"/>
                <w:sz w:val="24"/>
              </w:rPr>
            </w:pPr>
            <w:r>
              <w:rPr>
                <w:rFonts w:hint="eastAsia" w:ascii="宋体" w:hAnsi="宋体" w:cs="宋体"/>
                <w:color w:val="auto"/>
                <w:sz w:val="24"/>
              </w:rPr>
              <w:t>符合第二章“</w:t>
            </w:r>
            <w:r>
              <w:rPr>
                <w:rFonts w:hint="eastAsia" w:ascii="宋体" w:hAnsi="宋体" w:cs="宋体"/>
                <w:color w:val="auto"/>
                <w:sz w:val="24"/>
                <w:lang w:eastAsia="zh-CN"/>
              </w:rPr>
              <w:t>供应商</w:t>
            </w:r>
            <w:r>
              <w:rPr>
                <w:rFonts w:hint="eastAsia" w:ascii="宋体" w:hAnsi="宋体" w:cs="宋体"/>
                <w:color w:val="auto"/>
                <w:sz w:val="24"/>
              </w:rPr>
              <w:t>须知”第9项规定</w:t>
            </w:r>
          </w:p>
        </w:tc>
      </w:tr>
      <w:tr w14:paraId="611F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5" w:type="dxa"/>
            <w:vMerge w:val="continue"/>
            <w:tcBorders>
              <w:left w:val="single" w:color="auto" w:sz="4" w:space="0"/>
              <w:right w:val="single" w:color="auto" w:sz="4" w:space="0"/>
            </w:tcBorders>
            <w:vAlign w:val="center"/>
          </w:tcPr>
          <w:p w14:paraId="0837CC7B">
            <w:pPr>
              <w:widowControl/>
              <w:spacing w:line="360" w:lineRule="auto"/>
              <w:jc w:val="left"/>
              <w:rPr>
                <w:rFonts w:hint="eastAsia" w:ascii="宋体" w:hAnsi="宋体" w:cs="宋体"/>
                <w:color w:val="auto"/>
                <w:sz w:val="24"/>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3429BB21">
            <w:pPr>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节能产品</w:t>
            </w:r>
          </w:p>
        </w:tc>
        <w:tc>
          <w:tcPr>
            <w:tcW w:w="6604" w:type="dxa"/>
            <w:tcBorders>
              <w:top w:val="single" w:color="auto" w:sz="4" w:space="0"/>
              <w:left w:val="single" w:color="auto" w:sz="4" w:space="0"/>
              <w:bottom w:val="single" w:color="auto" w:sz="4" w:space="0"/>
              <w:right w:val="single" w:color="auto" w:sz="4" w:space="0"/>
            </w:tcBorders>
            <w:shd w:val="clear" w:color="auto" w:fill="auto"/>
            <w:vAlign w:val="center"/>
          </w:tcPr>
          <w:p w14:paraId="7FD2F3BD">
            <w:pPr>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符合第二章“</w:t>
            </w:r>
            <w:r>
              <w:rPr>
                <w:rFonts w:hint="eastAsia" w:ascii="宋体" w:hAnsi="宋体" w:cs="宋体"/>
                <w:b/>
                <w:bCs/>
                <w:color w:val="auto"/>
                <w:sz w:val="24"/>
                <w:szCs w:val="24"/>
                <w:lang w:eastAsia="zh-CN"/>
              </w:rPr>
              <w:t>供应商</w:t>
            </w:r>
            <w:r>
              <w:rPr>
                <w:rFonts w:hint="eastAsia" w:ascii="宋体" w:hAnsi="宋体" w:eastAsia="宋体" w:cs="宋体"/>
                <w:b/>
                <w:bCs/>
                <w:color w:val="auto"/>
                <w:sz w:val="24"/>
                <w:szCs w:val="24"/>
              </w:rPr>
              <w:t>须知”第</w:t>
            </w:r>
            <w:r>
              <w:rPr>
                <w:rFonts w:hint="eastAsia" w:ascii="宋体" w:hAnsi="宋体" w:cs="宋体"/>
                <w:b/>
                <w:bCs/>
                <w:color w:val="auto"/>
                <w:sz w:val="24"/>
                <w:szCs w:val="24"/>
                <w:lang w:val="en-US" w:eastAsia="zh-CN"/>
              </w:rPr>
              <w:t>12</w:t>
            </w:r>
            <w:r>
              <w:rPr>
                <w:rFonts w:hint="eastAsia" w:ascii="宋体" w:hAnsi="宋体" w:eastAsia="宋体" w:cs="宋体"/>
                <w:b/>
                <w:bCs/>
                <w:color w:val="auto"/>
                <w:sz w:val="24"/>
                <w:szCs w:val="24"/>
              </w:rPr>
              <w:t>项规定</w:t>
            </w:r>
          </w:p>
        </w:tc>
      </w:tr>
      <w:tr w14:paraId="7E14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5" w:type="dxa"/>
            <w:vMerge w:val="continue"/>
            <w:tcBorders>
              <w:left w:val="single" w:color="auto" w:sz="4" w:space="0"/>
              <w:right w:val="single" w:color="auto" w:sz="4" w:space="0"/>
            </w:tcBorders>
            <w:vAlign w:val="center"/>
          </w:tcPr>
          <w:p w14:paraId="5D57BF2E">
            <w:pPr>
              <w:widowControl/>
              <w:spacing w:line="360" w:lineRule="auto"/>
              <w:jc w:val="left"/>
              <w:rPr>
                <w:rFonts w:hint="eastAsia" w:ascii="宋体" w:hAnsi="宋体" w:cs="宋体"/>
                <w:color w:val="auto"/>
                <w:sz w:val="24"/>
              </w:rPr>
            </w:pPr>
          </w:p>
        </w:tc>
        <w:tc>
          <w:tcPr>
            <w:tcW w:w="2011" w:type="dxa"/>
            <w:tcBorders>
              <w:top w:val="single" w:color="auto" w:sz="4" w:space="0"/>
              <w:left w:val="single" w:color="auto" w:sz="4" w:space="0"/>
              <w:bottom w:val="single" w:color="auto" w:sz="4" w:space="0"/>
              <w:right w:val="single" w:color="auto" w:sz="4" w:space="0"/>
            </w:tcBorders>
            <w:vAlign w:val="center"/>
          </w:tcPr>
          <w:p w14:paraId="713D723A">
            <w:pPr>
              <w:spacing w:line="360" w:lineRule="auto"/>
              <w:jc w:val="center"/>
              <w:rPr>
                <w:rFonts w:hint="eastAsia" w:ascii="宋体" w:hAnsi="宋体" w:cs="宋体"/>
                <w:color w:val="auto"/>
                <w:sz w:val="24"/>
              </w:rPr>
            </w:pPr>
            <w:r>
              <w:rPr>
                <w:rFonts w:hint="eastAsia" w:ascii="宋体" w:hAnsi="宋体" w:cs="宋体"/>
                <w:color w:val="auto"/>
                <w:sz w:val="24"/>
              </w:rPr>
              <w:t>其他实质性要求</w:t>
            </w:r>
          </w:p>
        </w:tc>
        <w:tc>
          <w:tcPr>
            <w:tcW w:w="6604" w:type="dxa"/>
            <w:tcBorders>
              <w:top w:val="single" w:color="auto" w:sz="4" w:space="0"/>
              <w:left w:val="single" w:color="auto" w:sz="4" w:space="0"/>
              <w:bottom w:val="single" w:color="auto" w:sz="4" w:space="0"/>
              <w:right w:val="single" w:color="auto" w:sz="4" w:space="0"/>
            </w:tcBorders>
            <w:vAlign w:val="center"/>
          </w:tcPr>
          <w:p w14:paraId="5D541773">
            <w:pPr>
              <w:spacing w:line="360" w:lineRule="auto"/>
              <w:jc w:val="center"/>
              <w:rPr>
                <w:rFonts w:hint="eastAsia" w:ascii="宋体" w:hAnsi="宋体" w:cs="宋体"/>
                <w:color w:val="auto"/>
                <w:sz w:val="24"/>
              </w:rPr>
            </w:pPr>
            <w:r>
              <w:rPr>
                <w:rFonts w:hint="eastAsia" w:ascii="宋体" w:hAnsi="宋体" w:cs="宋体"/>
                <w:color w:val="auto"/>
                <w:spacing w:val="-6"/>
                <w:kern w:val="0"/>
                <w:sz w:val="24"/>
              </w:rPr>
              <w:t>符合招标文件规定的其他实质性要求</w:t>
            </w:r>
          </w:p>
        </w:tc>
      </w:tr>
    </w:tbl>
    <w:p w14:paraId="74338C68">
      <w:pPr>
        <w:tabs>
          <w:tab w:val="left" w:pos="3327"/>
        </w:tabs>
        <w:rPr>
          <w:color w:val="auto"/>
        </w:rPr>
      </w:pPr>
      <w:r>
        <w:rPr>
          <w:rFonts w:hint="eastAsia"/>
          <w:color w:val="auto"/>
        </w:rPr>
        <w:tab/>
      </w:r>
    </w:p>
    <w:p w14:paraId="789E79C6">
      <w:pPr>
        <w:spacing w:line="480" w:lineRule="exact"/>
        <w:rPr>
          <w:b/>
          <w:bCs/>
          <w:color w:val="auto"/>
          <w:sz w:val="24"/>
        </w:rPr>
      </w:pPr>
    </w:p>
    <w:p w14:paraId="72B294D7">
      <w:pPr>
        <w:spacing w:line="480" w:lineRule="exact"/>
        <w:rPr>
          <w:b/>
          <w:bCs/>
          <w:color w:val="auto"/>
          <w:sz w:val="24"/>
        </w:rPr>
      </w:pPr>
    </w:p>
    <w:p w14:paraId="4804FC4F">
      <w:pPr>
        <w:spacing w:line="480" w:lineRule="exact"/>
        <w:rPr>
          <w:b/>
          <w:bCs/>
          <w:color w:val="auto"/>
          <w:sz w:val="24"/>
        </w:rPr>
      </w:pPr>
      <w:r>
        <w:rPr>
          <w:rFonts w:hint="eastAsia"/>
          <w:b/>
          <w:bCs/>
          <w:color w:val="auto"/>
          <w:sz w:val="24"/>
        </w:rPr>
        <w:br w:type="page"/>
      </w:r>
      <w:r>
        <w:rPr>
          <w:rFonts w:hint="eastAsia"/>
          <w:b/>
          <w:bCs/>
          <w:color w:val="auto"/>
          <w:sz w:val="24"/>
        </w:rPr>
        <w:t>3、详细评审（综合评分法评分内容）</w:t>
      </w:r>
    </w:p>
    <w:tbl>
      <w:tblPr>
        <w:tblStyle w:val="41"/>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648"/>
        <w:gridCol w:w="6899"/>
      </w:tblGrid>
      <w:tr w14:paraId="0A96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3" w:type="dxa"/>
            <w:vAlign w:val="center"/>
          </w:tcPr>
          <w:p w14:paraId="02503473">
            <w:pPr>
              <w:pStyle w:val="3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w:t>
            </w:r>
          </w:p>
        </w:tc>
        <w:tc>
          <w:tcPr>
            <w:tcW w:w="1648" w:type="dxa"/>
            <w:vAlign w:val="center"/>
          </w:tcPr>
          <w:p w14:paraId="59F8D9C5">
            <w:pPr>
              <w:pStyle w:val="3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条款内容</w:t>
            </w:r>
          </w:p>
        </w:tc>
        <w:tc>
          <w:tcPr>
            <w:tcW w:w="6899" w:type="dxa"/>
            <w:vAlign w:val="center"/>
          </w:tcPr>
          <w:p w14:paraId="3AC74B09">
            <w:pPr>
              <w:pStyle w:val="3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7479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881" w:type="dxa"/>
            <w:gridSpan w:val="2"/>
            <w:shd w:val="clear" w:color="auto" w:fill="auto"/>
            <w:vAlign w:val="center"/>
          </w:tcPr>
          <w:p w14:paraId="4A08DDCF">
            <w:pPr>
              <w:pStyle w:val="3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tc>
        <w:tc>
          <w:tcPr>
            <w:tcW w:w="6899" w:type="dxa"/>
            <w:shd w:val="clear" w:color="auto" w:fill="auto"/>
            <w:vAlign w:val="center"/>
          </w:tcPr>
          <w:p w14:paraId="51321B4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分值构成F1+F2（满分100分）</w:t>
            </w:r>
          </w:p>
          <w:p w14:paraId="0A4E2F4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注：响应文件满足谈判文件全部实质性要求，且按照评审因素的量化指标评审得分最高的供应商为中标候选人的评标方法。</w:t>
            </w:r>
          </w:p>
        </w:tc>
      </w:tr>
      <w:tr w14:paraId="0E38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3" w:type="dxa"/>
            <w:shd w:val="clear" w:color="auto" w:fill="auto"/>
            <w:vAlign w:val="center"/>
          </w:tcPr>
          <w:p w14:paraId="63009153">
            <w:pPr>
              <w:pStyle w:val="3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报价部分</w:t>
            </w:r>
          </w:p>
          <w:p w14:paraId="27D40049">
            <w:pPr>
              <w:pStyle w:val="3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F1</w:t>
            </w:r>
          </w:p>
        </w:tc>
        <w:tc>
          <w:tcPr>
            <w:tcW w:w="1648" w:type="dxa"/>
            <w:shd w:val="clear" w:color="auto" w:fill="auto"/>
            <w:vAlign w:val="center"/>
          </w:tcPr>
          <w:p w14:paraId="0B1BAFEA">
            <w:pPr>
              <w:pStyle w:val="3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14:paraId="40384ABF">
            <w:pPr>
              <w:pStyle w:val="3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（满分30分）</w:t>
            </w:r>
          </w:p>
        </w:tc>
        <w:tc>
          <w:tcPr>
            <w:tcW w:w="6899" w:type="dxa"/>
            <w:shd w:val="clear" w:color="auto" w:fill="auto"/>
            <w:vAlign w:val="center"/>
          </w:tcPr>
          <w:p w14:paraId="066FB60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公开招标文件</w:t>
            </w:r>
            <w:r>
              <w:rPr>
                <w:rFonts w:hint="eastAsia" w:ascii="宋体" w:hAnsi="宋体" w:eastAsia="宋体" w:cs="宋体"/>
                <w:color w:val="auto"/>
                <w:sz w:val="24"/>
                <w:szCs w:val="24"/>
              </w:rPr>
              <w:t>要求且报价最低的供应商的价格为</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基准价。</w:t>
            </w:r>
          </w:p>
          <w:p w14:paraId="01BB6C5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评审报价得分＝（</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基准价/评</w:t>
            </w:r>
            <w:r>
              <w:rPr>
                <w:rFonts w:hint="eastAsia" w:ascii="宋体" w:hAnsi="宋体" w:eastAsia="宋体" w:cs="宋体"/>
                <w:color w:val="auto"/>
                <w:sz w:val="24"/>
                <w:szCs w:val="24"/>
                <w:lang w:val="en-US" w:eastAsia="zh-CN"/>
              </w:rPr>
              <w:t>标</w:t>
            </w:r>
            <w:r>
              <w:rPr>
                <w:rFonts w:hint="eastAsia" w:ascii="宋体" w:hAnsi="宋体" w:eastAsia="宋体" w:cs="宋体"/>
                <w:color w:val="auto"/>
                <w:sz w:val="24"/>
                <w:szCs w:val="24"/>
              </w:rPr>
              <w:t>报价）×30。（通过资格性评审和有效性、完整性和响应程度审查的供应商才能进入报价评分）</w:t>
            </w:r>
          </w:p>
        </w:tc>
      </w:tr>
      <w:tr w14:paraId="7220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588" w:hRule="atLeast"/>
        </w:trPr>
        <w:tc>
          <w:tcPr>
            <w:tcW w:w="1233" w:type="dxa"/>
            <w:vMerge w:val="restart"/>
            <w:shd w:val="clear" w:color="auto" w:fill="auto"/>
            <w:tcMar>
              <w:top w:w="0" w:type="dxa"/>
              <w:left w:w="108" w:type="dxa"/>
              <w:bottom w:w="0" w:type="dxa"/>
              <w:right w:w="108" w:type="dxa"/>
            </w:tcMar>
            <w:vAlign w:val="center"/>
          </w:tcPr>
          <w:p w14:paraId="15D11B7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技术部分</w:t>
            </w:r>
          </w:p>
          <w:p w14:paraId="12187C2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F2</w:t>
            </w:r>
          </w:p>
        </w:tc>
        <w:tc>
          <w:tcPr>
            <w:tcW w:w="1648" w:type="dxa"/>
            <w:shd w:val="clear" w:color="auto" w:fill="auto"/>
            <w:tcMar>
              <w:top w:w="0" w:type="dxa"/>
              <w:left w:w="108" w:type="dxa"/>
              <w:bottom w:w="0" w:type="dxa"/>
              <w:right w:w="108" w:type="dxa"/>
            </w:tcMar>
            <w:vAlign w:val="center"/>
          </w:tcPr>
          <w:p w14:paraId="505FB3A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技术参数响应评审</w:t>
            </w:r>
          </w:p>
          <w:p w14:paraId="027C7640">
            <w:pPr>
              <w:pStyle w:val="15"/>
              <w:spacing w:line="360" w:lineRule="auto"/>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（满分</w:t>
            </w:r>
            <w:r>
              <w:rPr>
                <w:rFonts w:hint="eastAsia" w:ascii="宋体" w:hAnsi="宋体" w:eastAsia="宋体" w:cs="宋体"/>
                <w:b w:val="0"/>
                <w:color w:val="auto"/>
                <w:sz w:val="24"/>
                <w:szCs w:val="24"/>
                <w:lang w:val="en-US" w:eastAsia="zh-CN"/>
              </w:rPr>
              <w:t>30</w:t>
            </w:r>
            <w:r>
              <w:rPr>
                <w:rFonts w:hint="eastAsia" w:ascii="宋体" w:hAnsi="宋体" w:eastAsia="宋体" w:cs="宋体"/>
                <w:b w:val="0"/>
                <w:color w:val="auto"/>
                <w:sz w:val="24"/>
                <w:szCs w:val="24"/>
              </w:rPr>
              <w:t>分）</w:t>
            </w:r>
          </w:p>
        </w:tc>
        <w:tc>
          <w:tcPr>
            <w:tcW w:w="6899" w:type="dxa"/>
            <w:shd w:val="clear" w:color="auto" w:fill="auto"/>
            <w:tcMar>
              <w:top w:w="0" w:type="dxa"/>
              <w:left w:w="108" w:type="dxa"/>
              <w:bottom w:w="0" w:type="dxa"/>
              <w:right w:w="108" w:type="dxa"/>
            </w:tcMar>
            <w:vAlign w:val="center"/>
          </w:tcPr>
          <w:p w14:paraId="7BD12188">
            <w:pPr>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依据投标文件技术规格偏离表，所投产品主要技术指标、技术参数响应性程度，参数及性能的详细说明书或其它产品相关资料、文字、图片、检测机构出具的检测报告等有效证明材料进行评分：</w:t>
            </w:r>
          </w:p>
          <w:p w14:paraId="4D78242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1、重要技术指标响应评审评分（满分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6FAE758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”中的“技术参数”标注“▲”号的为重要技术指标，每出现1项不满足采购文件要求，扣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此项分值</w:t>
            </w:r>
            <w:r>
              <w:rPr>
                <w:rFonts w:hint="eastAsia" w:ascii="宋体" w:hAnsi="宋体" w:eastAsia="宋体" w:cs="宋体"/>
                <w:color w:val="auto"/>
                <w:sz w:val="24"/>
                <w:szCs w:val="24"/>
                <w:highlight w:val="none"/>
              </w:rPr>
              <w:t>扣完为止；</w:t>
            </w:r>
          </w:p>
          <w:p w14:paraId="43F4C18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2、一般技术指标响应评审评分（满分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1D2C5D50">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”中的“技术参数”未标注“▲”号的为一般技术指标，技术参数每出现1项不满足采购文件要求，每出现一项扣0.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此项分值</w:t>
            </w:r>
            <w:r>
              <w:rPr>
                <w:rFonts w:hint="eastAsia" w:ascii="宋体" w:hAnsi="宋体" w:eastAsia="宋体" w:cs="宋体"/>
                <w:color w:val="auto"/>
                <w:sz w:val="24"/>
                <w:szCs w:val="24"/>
                <w:highlight w:val="none"/>
              </w:rPr>
              <w:t>扣完为止；</w:t>
            </w:r>
          </w:p>
          <w:p w14:paraId="39399BF0">
            <w:pPr>
              <w:pStyle w:val="15"/>
              <w:spacing w:line="360" w:lineRule="auto"/>
              <w:rPr>
                <w:rFonts w:hint="eastAsia" w:ascii="宋体" w:hAnsi="宋体" w:eastAsia="宋体" w:cs="宋体"/>
                <w:b w:val="0"/>
                <w:color w:val="auto"/>
                <w:sz w:val="24"/>
                <w:szCs w:val="24"/>
              </w:rPr>
            </w:pPr>
            <w:r>
              <w:rPr>
                <w:rFonts w:hint="eastAsia" w:ascii="宋体" w:hAnsi="宋体" w:eastAsia="宋体" w:cs="宋体"/>
                <w:bCs/>
                <w:color w:val="auto"/>
                <w:sz w:val="24"/>
                <w:szCs w:val="24"/>
              </w:rPr>
              <w:t>（注：</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按招标文件中技术偏离表的技术参数要求逐条应答，所提供相关证明材料必须真实，特别对有具体参数要求的指标，</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必须提供所投设备产品的具体数值，若投标文件中技术支持资料参数与技术条款偏离表应答不符或无支持资料应答的，评标委员会在评审时可以视为不响应该条技术条款的规定。）</w:t>
            </w:r>
          </w:p>
        </w:tc>
      </w:tr>
      <w:tr w14:paraId="3B96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atLeast"/>
        </w:trPr>
        <w:tc>
          <w:tcPr>
            <w:tcW w:w="1233" w:type="dxa"/>
            <w:vMerge w:val="continue"/>
            <w:shd w:val="clear" w:color="auto" w:fill="auto"/>
            <w:tcMar>
              <w:top w:w="0" w:type="dxa"/>
              <w:left w:w="108" w:type="dxa"/>
              <w:bottom w:w="0" w:type="dxa"/>
              <w:right w:w="108" w:type="dxa"/>
            </w:tcMar>
            <w:vAlign w:val="center"/>
          </w:tcPr>
          <w:p w14:paraId="6754EC9D">
            <w:pPr>
              <w:spacing w:line="360" w:lineRule="auto"/>
              <w:jc w:val="center"/>
              <w:rPr>
                <w:rFonts w:hint="eastAsia" w:ascii="宋体" w:hAnsi="宋体" w:eastAsia="宋体" w:cs="宋体"/>
                <w:color w:val="auto"/>
                <w:sz w:val="24"/>
                <w:szCs w:val="24"/>
              </w:rPr>
            </w:pPr>
          </w:p>
        </w:tc>
        <w:tc>
          <w:tcPr>
            <w:tcW w:w="1648" w:type="dxa"/>
            <w:shd w:val="clear" w:color="auto" w:fill="auto"/>
            <w:tcMar>
              <w:top w:w="0" w:type="dxa"/>
              <w:left w:w="108" w:type="dxa"/>
              <w:bottom w:w="0" w:type="dxa"/>
              <w:right w:w="108" w:type="dxa"/>
            </w:tcMar>
            <w:vAlign w:val="center"/>
          </w:tcPr>
          <w:p w14:paraId="66B431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w:t>
            </w:r>
            <w:r>
              <w:rPr>
                <w:rFonts w:hint="eastAsia" w:ascii="宋体" w:hAnsi="宋体" w:eastAsia="宋体" w:cs="宋体"/>
                <w:color w:val="auto"/>
                <w:sz w:val="24"/>
                <w:szCs w:val="24"/>
                <w:highlight w:val="none"/>
              </w:rPr>
              <w:t>实施方案评审</w:t>
            </w:r>
          </w:p>
          <w:p w14:paraId="29D750F9">
            <w:pPr>
              <w:pStyle w:val="15"/>
              <w:spacing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（满分</w:t>
            </w:r>
            <w:r>
              <w:rPr>
                <w:rFonts w:hint="eastAsia" w:ascii="宋体" w:hAnsi="宋体" w:eastAsia="宋体" w:cs="宋体"/>
                <w:b w:val="0"/>
                <w:color w:val="auto"/>
                <w:sz w:val="24"/>
                <w:szCs w:val="24"/>
                <w:highlight w:val="none"/>
                <w:lang w:val="en-US" w:eastAsia="zh-CN"/>
              </w:rPr>
              <w:t>16</w:t>
            </w:r>
            <w:r>
              <w:rPr>
                <w:rFonts w:hint="eastAsia" w:ascii="宋体" w:hAnsi="宋体" w:eastAsia="宋体" w:cs="宋体"/>
                <w:b w:val="0"/>
                <w:color w:val="auto"/>
                <w:sz w:val="24"/>
                <w:szCs w:val="24"/>
                <w:highlight w:val="none"/>
              </w:rPr>
              <w:t>分）</w:t>
            </w:r>
          </w:p>
        </w:tc>
        <w:tc>
          <w:tcPr>
            <w:tcW w:w="6899" w:type="dxa"/>
            <w:shd w:val="clear" w:color="auto" w:fill="auto"/>
            <w:tcMar>
              <w:top w:w="0" w:type="dxa"/>
              <w:left w:w="108" w:type="dxa"/>
              <w:bottom w:w="0" w:type="dxa"/>
              <w:right w:w="108" w:type="dxa"/>
            </w:tcMar>
            <w:vAlign w:val="center"/>
          </w:tcPr>
          <w:p w14:paraId="444A282A">
            <w:pPr>
              <w:numPr>
                <w:ilvl w:val="0"/>
                <w:numId w:val="0"/>
              </w:num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提供的项目实施方案进行评审，满分</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分，包括（但不限于）以下内容：</w:t>
            </w:r>
          </w:p>
          <w:p w14:paraId="6BF3A693">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①项目重难点分析；</w:t>
            </w:r>
          </w:p>
          <w:p w14:paraId="7D4A5500">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②项目实施工作内容；</w:t>
            </w:r>
          </w:p>
          <w:p w14:paraId="27ABEE17">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③包装运输安装调试方案；</w:t>
            </w:r>
          </w:p>
          <w:p w14:paraId="75BE85BB">
            <w:pPr>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④培训方案</w:t>
            </w:r>
            <w:r>
              <w:rPr>
                <w:rFonts w:hint="eastAsia" w:ascii="宋体" w:hAnsi="宋体" w:cs="宋体"/>
                <w:color w:val="auto"/>
                <w:sz w:val="24"/>
                <w:szCs w:val="24"/>
                <w:highlight w:val="none"/>
                <w:lang w:eastAsia="zh-CN"/>
              </w:rPr>
              <w:t>。</w:t>
            </w:r>
          </w:p>
          <w:p w14:paraId="565F8C9D">
            <w:pPr>
              <w:pStyle w:val="14"/>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p>
          <w:p w14:paraId="3E0CABC5">
            <w:pPr>
              <w:pStyle w:val="1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1.评标委员会根据投标人投标文件情况对招标文件响应程度赋分：所有内容表述完整、针对性强，功能逻辑清晰、合理可行，完全满足采购需求得</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p w14:paraId="787C27D8">
            <w:pPr>
              <w:pStyle w:val="1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2.以上“1、2、3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”项内容，每缺少一项内容扣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3B944A73">
            <w:pPr>
              <w:pStyle w:val="1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3.以上任意一项内容中每一处描述有缺陷的扣1分，分数扣完为止。</w:t>
            </w:r>
          </w:p>
          <w:p w14:paraId="30A329CB">
            <w:pPr>
              <w:pStyle w:val="1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以上内容涉及到的描述缺陷是指：内容不</w:t>
            </w:r>
            <w:r>
              <w:rPr>
                <w:rFonts w:hint="eastAsia" w:ascii="宋体" w:hAnsi="宋体" w:cs="宋体"/>
                <w:color w:val="auto"/>
                <w:sz w:val="24"/>
                <w:szCs w:val="24"/>
                <w:highlight w:val="none"/>
                <w:lang w:val="en-US" w:eastAsia="zh-CN"/>
              </w:rPr>
              <w:t>详实</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方案不具体</w:t>
            </w:r>
            <w:r>
              <w:rPr>
                <w:rFonts w:hint="eastAsia" w:ascii="宋体" w:hAnsi="宋体" w:eastAsia="宋体" w:cs="宋体"/>
                <w:color w:val="auto"/>
                <w:sz w:val="24"/>
                <w:szCs w:val="24"/>
                <w:highlight w:val="none"/>
              </w:rPr>
              <w:t>，无针对性或针对性差、无可行性或可行性差。</w:t>
            </w:r>
          </w:p>
          <w:p w14:paraId="20641C19">
            <w:pPr>
              <w:pStyle w:val="1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未提供项目实施方案的不得分。</w:t>
            </w:r>
          </w:p>
        </w:tc>
      </w:tr>
      <w:tr w14:paraId="2FF3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98" w:hRule="atLeast"/>
        </w:trPr>
        <w:tc>
          <w:tcPr>
            <w:tcW w:w="1233" w:type="dxa"/>
            <w:vMerge w:val="continue"/>
            <w:shd w:val="clear" w:color="auto" w:fill="auto"/>
            <w:tcMar>
              <w:top w:w="0" w:type="dxa"/>
              <w:left w:w="108" w:type="dxa"/>
              <w:bottom w:w="0" w:type="dxa"/>
              <w:right w:w="108" w:type="dxa"/>
            </w:tcMar>
            <w:vAlign w:val="center"/>
          </w:tcPr>
          <w:p w14:paraId="1C398687">
            <w:pPr>
              <w:spacing w:line="360" w:lineRule="auto"/>
              <w:jc w:val="center"/>
              <w:rPr>
                <w:rFonts w:hint="eastAsia" w:ascii="宋体" w:hAnsi="宋体" w:eastAsia="宋体" w:cs="宋体"/>
                <w:color w:val="auto"/>
                <w:sz w:val="24"/>
                <w:szCs w:val="24"/>
              </w:rPr>
            </w:pPr>
          </w:p>
        </w:tc>
        <w:tc>
          <w:tcPr>
            <w:tcW w:w="1648" w:type="dxa"/>
            <w:shd w:val="clear" w:color="auto" w:fill="auto"/>
            <w:tcMar>
              <w:top w:w="0" w:type="dxa"/>
              <w:left w:w="108" w:type="dxa"/>
              <w:bottom w:w="0" w:type="dxa"/>
              <w:right w:w="108" w:type="dxa"/>
            </w:tcMar>
            <w:vAlign w:val="center"/>
          </w:tcPr>
          <w:p w14:paraId="65EAB8EA">
            <w:pPr>
              <w:pStyle w:val="15"/>
              <w:spacing w:line="360" w:lineRule="auto"/>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售后服务</w:t>
            </w:r>
            <w:r>
              <w:rPr>
                <w:rFonts w:hint="eastAsia" w:ascii="宋体" w:hAnsi="宋体" w:eastAsia="宋体" w:cs="宋体"/>
                <w:b w:val="0"/>
                <w:color w:val="auto"/>
                <w:sz w:val="24"/>
                <w:szCs w:val="24"/>
                <w:lang w:eastAsia="zh-CN"/>
              </w:rPr>
              <w:t>方案</w:t>
            </w:r>
            <w:r>
              <w:rPr>
                <w:rFonts w:hint="eastAsia" w:ascii="宋体" w:hAnsi="宋体" w:eastAsia="宋体" w:cs="宋体"/>
                <w:b w:val="0"/>
                <w:color w:val="auto"/>
                <w:sz w:val="24"/>
                <w:szCs w:val="24"/>
              </w:rPr>
              <w:t>评审</w:t>
            </w:r>
          </w:p>
          <w:p w14:paraId="78C4DAF8">
            <w:pPr>
              <w:pStyle w:val="15"/>
              <w:spacing w:line="360" w:lineRule="auto"/>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（满分</w:t>
            </w:r>
            <w:r>
              <w:rPr>
                <w:rFonts w:hint="eastAsia" w:ascii="宋体" w:hAnsi="宋体" w:eastAsia="宋体" w:cs="宋体"/>
                <w:b w:val="0"/>
                <w:color w:val="auto"/>
                <w:sz w:val="24"/>
                <w:szCs w:val="24"/>
                <w:lang w:val="en-US" w:eastAsia="zh-CN"/>
              </w:rPr>
              <w:t>9</w:t>
            </w:r>
            <w:r>
              <w:rPr>
                <w:rFonts w:hint="eastAsia" w:ascii="宋体" w:hAnsi="宋体" w:eastAsia="宋体" w:cs="宋体"/>
                <w:b w:val="0"/>
                <w:color w:val="auto"/>
                <w:sz w:val="24"/>
                <w:szCs w:val="24"/>
              </w:rPr>
              <w:t>分）</w:t>
            </w:r>
          </w:p>
        </w:tc>
        <w:tc>
          <w:tcPr>
            <w:tcW w:w="6899" w:type="dxa"/>
            <w:shd w:val="clear" w:color="auto" w:fill="auto"/>
            <w:tcMar>
              <w:top w:w="0" w:type="dxa"/>
              <w:left w:w="108" w:type="dxa"/>
              <w:bottom w:w="0" w:type="dxa"/>
              <w:right w:w="108" w:type="dxa"/>
            </w:tcMar>
            <w:vAlign w:val="center"/>
          </w:tcPr>
          <w:p w14:paraId="331166DD">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提供的售后服务方案进行评审，满分</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包括（但不限于）以下内容：</w:t>
            </w:r>
          </w:p>
          <w:p w14:paraId="22787DCA">
            <w:pPr>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售后服务体系、售后服务承诺及保障措施；</w:t>
            </w:r>
          </w:p>
          <w:p w14:paraId="1F34793A">
            <w:pPr>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售后响应时间、保修制度、应急故障响应、处理时间及退换货处理方式；</w:t>
            </w:r>
          </w:p>
          <w:p w14:paraId="11EF585A">
            <w:pPr>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对产品的运行可能出现的情况制定预防和常用解决方案；</w:t>
            </w:r>
          </w:p>
          <w:p w14:paraId="4C31112C">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16CA173">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文件情况对招标文件响应程度赋分：所有内容表述完整、针对性强，功能逻辑清晰、合理可行，有完善的服务体系及科学规范的管理体系，现场服务技术力量及人员组成合理，售后服务方案、承诺及保证完善具体，针对性强，能为采购人提供及时、高效、便捷的售后服务，完全满足采购需求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0F7A71CD">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2.以上“1、2、3”项内容，每缺少一项内容扣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76C81B7">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3.以上任意一项内容中每一处描述有缺陷的扣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分，分数扣完为止。</w:t>
            </w:r>
          </w:p>
          <w:p w14:paraId="48B924D1">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以上内容涉及到的描述缺陷是指：内容不详实、</w:t>
            </w:r>
            <w:r>
              <w:rPr>
                <w:rFonts w:hint="eastAsia" w:ascii="宋体" w:hAnsi="宋体" w:cs="宋体"/>
                <w:color w:val="auto"/>
                <w:sz w:val="24"/>
                <w:szCs w:val="24"/>
                <w:highlight w:val="none"/>
                <w:lang w:val="en-US" w:eastAsia="zh-CN"/>
              </w:rPr>
              <w:t>措施</w:t>
            </w:r>
            <w:r>
              <w:rPr>
                <w:rFonts w:hint="eastAsia" w:ascii="宋体" w:hAnsi="宋体" w:eastAsia="宋体" w:cs="宋体"/>
                <w:color w:val="auto"/>
                <w:sz w:val="24"/>
                <w:szCs w:val="24"/>
                <w:highlight w:val="none"/>
              </w:rPr>
              <w:t>不具体，无针对性或针对性差、无可行性或可行性差。</w:t>
            </w:r>
          </w:p>
          <w:p w14:paraId="01C64FE1">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未提供售后服务方案的不得分。</w:t>
            </w:r>
          </w:p>
        </w:tc>
      </w:tr>
      <w:tr w14:paraId="50C5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00" w:hRule="atLeast"/>
        </w:trPr>
        <w:tc>
          <w:tcPr>
            <w:tcW w:w="1233" w:type="dxa"/>
            <w:vMerge w:val="continue"/>
            <w:shd w:val="clear" w:color="auto" w:fill="auto"/>
            <w:tcMar>
              <w:top w:w="0" w:type="dxa"/>
              <w:left w:w="108" w:type="dxa"/>
              <w:bottom w:w="0" w:type="dxa"/>
              <w:right w:w="108" w:type="dxa"/>
            </w:tcMar>
            <w:vAlign w:val="center"/>
          </w:tcPr>
          <w:p w14:paraId="0E8BEEE0">
            <w:pPr>
              <w:spacing w:line="360" w:lineRule="auto"/>
              <w:jc w:val="center"/>
              <w:rPr>
                <w:rFonts w:hint="eastAsia" w:ascii="宋体" w:hAnsi="宋体" w:eastAsia="宋体" w:cs="宋体"/>
                <w:color w:val="auto"/>
                <w:sz w:val="24"/>
                <w:szCs w:val="24"/>
              </w:rPr>
            </w:pPr>
          </w:p>
        </w:tc>
        <w:tc>
          <w:tcPr>
            <w:tcW w:w="1648" w:type="dxa"/>
            <w:shd w:val="clear" w:color="auto" w:fill="auto"/>
            <w:tcMar>
              <w:top w:w="0" w:type="dxa"/>
              <w:left w:w="108" w:type="dxa"/>
              <w:bottom w:w="0" w:type="dxa"/>
              <w:right w:w="108" w:type="dxa"/>
            </w:tcMar>
            <w:vAlign w:val="center"/>
          </w:tcPr>
          <w:p w14:paraId="44810D0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质量保证措施及承诺</w:t>
            </w:r>
            <w:r>
              <w:rPr>
                <w:rFonts w:hint="eastAsia" w:ascii="宋体" w:hAnsi="宋体" w:eastAsia="宋体" w:cs="宋体"/>
                <w:color w:val="auto"/>
                <w:sz w:val="24"/>
                <w:szCs w:val="24"/>
              </w:rPr>
              <w:t>评审</w:t>
            </w:r>
          </w:p>
          <w:p w14:paraId="25DD925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tc>
        <w:tc>
          <w:tcPr>
            <w:tcW w:w="6899" w:type="dxa"/>
            <w:shd w:val="clear" w:color="auto" w:fill="auto"/>
            <w:tcMar>
              <w:top w:w="0" w:type="dxa"/>
              <w:left w:w="108" w:type="dxa"/>
              <w:bottom w:w="0" w:type="dxa"/>
              <w:right w:w="108" w:type="dxa"/>
            </w:tcMar>
            <w:vAlign w:val="center"/>
          </w:tcPr>
          <w:p w14:paraId="40441AC7">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提供的质量保证措施及承诺进行评审，满分</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分，包括（但不限于）以下内容：</w:t>
            </w:r>
          </w:p>
          <w:p w14:paraId="0FC411D9">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质量保证措施</w:t>
            </w:r>
            <w:r>
              <w:rPr>
                <w:rFonts w:hint="eastAsia" w:ascii="宋体" w:hAnsi="宋体" w:eastAsia="宋体" w:cs="宋体"/>
                <w:color w:val="auto"/>
                <w:sz w:val="24"/>
                <w:szCs w:val="24"/>
                <w:highlight w:val="none"/>
              </w:rPr>
              <w:t>；</w:t>
            </w:r>
          </w:p>
          <w:p w14:paraId="6FED653B">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②质量承诺及违约责任承诺。</w:t>
            </w:r>
          </w:p>
          <w:p w14:paraId="01517981">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DAF0116">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投标文件情况对招标文件响应程度赋分：所有内容表述完整、针对性强，功能逻辑清晰、合理可行，</w:t>
            </w:r>
            <w:r>
              <w:rPr>
                <w:rFonts w:hint="eastAsia" w:ascii="宋体" w:hAnsi="宋体" w:eastAsia="宋体" w:cs="宋体"/>
                <w:color w:val="auto"/>
                <w:sz w:val="24"/>
                <w:szCs w:val="24"/>
                <w:highlight w:val="none"/>
                <w:lang w:eastAsia="zh-CN"/>
              </w:rPr>
              <w:t>质量保证措施及承诺</w:t>
            </w:r>
            <w:r>
              <w:rPr>
                <w:rFonts w:hint="eastAsia" w:ascii="宋体" w:hAnsi="宋体" w:eastAsia="宋体" w:cs="宋体"/>
                <w:color w:val="auto"/>
                <w:sz w:val="24"/>
                <w:szCs w:val="24"/>
                <w:highlight w:val="none"/>
              </w:rPr>
              <w:t>内容完善具体，</w:t>
            </w:r>
            <w:r>
              <w:rPr>
                <w:rFonts w:hint="eastAsia" w:ascii="宋体" w:hAnsi="宋体" w:eastAsia="宋体" w:cs="宋体"/>
                <w:color w:val="auto"/>
                <w:sz w:val="24"/>
                <w:szCs w:val="24"/>
                <w:highlight w:val="none"/>
                <w:lang w:eastAsia="zh-CN"/>
              </w:rPr>
              <w:t>有具体的违约自然人承诺，</w:t>
            </w:r>
            <w:r>
              <w:rPr>
                <w:rFonts w:hint="eastAsia" w:ascii="宋体" w:hAnsi="宋体" w:eastAsia="宋体" w:cs="宋体"/>
                <w:color w:val="auto"/>
                <w:sz w:val="24"/>
                <w:szCs w:val="24"/>
                <w:highlight w:val="none"/>
              </w:rPr>
              <w:t>针对性强，能为采购人提供及时、高效、便捷的质量保障，完全满足采购需求得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DC97DD0">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2.以上“1、2”项内容，每缺少一项内容扣</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5EC6B38">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3.以上任意一项内容中每一处描述有缺陷的扣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分，分数扣完为止。</w:t>
            </w:r>
          </w:p>
          <w:p w14:paraId="79DA0C95">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以上内容涉及到的描述缺陷是指：内容不详实、</w:t>
            </w:r>
            <w:r>
              <w:rPr>
                <w:rFonts w:hint="eastAsia" w:ascii="宋体" w:hAnsi="宋体" w:cs="宋体"/>
                <w:color w:val="auto"/>
                <w:sz w:val="24"/>
                <w:szCs w:val="24"/>
                <w:highlight w:val="none"/>
                <w:lang w:val="en-US" w:eastAsia="zh-CN"/>
              </w:rPr>
              <w:t>措施</w:t>
            </w:r>
            <w:r>
              <w:rPr>
                <w:rFonts w:hint="eastAsia" w:ascii="宋体" w:hAnsi="宋体" w:eastAsia="宋体" w:cs="宋体"/>
                <w:color w:val="auto"/>
                <w:sz w:val="24"/>
                <w:szCs w:val="24"/>
                <w:highlight w:val="none"/>
              </w:rPr>
              <w:t>不具体，无针对性或针对性差、无可行性或可行性差。</w:t>
            </w:r>
          </w:p>
          <w:p w14:paraId="3D21B264">
            <w:pPr>
              <w:adjustRightInd w:val="0"/>
              <w:spacing w:line="360" w:lineRule="auto"/>
              <w:rPr>
                <w:rFonts w:hint="eastAsia" w:ascii="宋体" w:hAnsi="宋体" w:eastAsia="宋体" w:cs="宋体"/>
                <w:b w:val="0"/>
                <w:bCs/>
                <w:color w:val="auto"/>
                <w:sz w:val="24"/>
                <w:szCs w:val="24"/>
              </w:rPr>
            </w:pPr>
            <w:r>
              <w:rPr>
                <w:rFonts w:hint="eastAsia" w:ascii="宋体" w:hAnsi="宋体" w:eastAsia="宋体" w:cs="宋体"/>
                <w:color w:val="auto"/>
                <w:sz w:val="24"/>
                <w:szCs w:val="24"/>
                <w:highlight w:val="none"/>
              </w:rPr>
              <w:t>未提供产品质量</w:t>
            </w:r>
            <w:r>
              <w:rPr>
                <w:rFonts w:hint="eastAsia" w:ascii="宋体" w:hAnsi="宋体" w:eastAsia="宋体" w:cs="宋体"/>
                <w:color w:val="auto"/>
                <w:sz w:val="24"/>
                <w:szCs w:val="24"/>
                <w:highlight w:val="none"/>
                <w:lang w:eastAsia="zh-CN"/>
              </w:rPr>
              <w:t>保证措施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承诺及违约责任承诺的不得分。</w:t>
            </w:r>
          </w:p>
        </w:tc>
      </w:tr>
      <w:tr w14:paraId="466C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20" w:hRule="atLeast"/>
        </w:trPr>
        <w:tc>
          <w:tcPr>
            <w:tcW w:w="1233" w:type="dxa"/>
            <w:vMerge w:val="continue"/>
            <w:shd w:val="clear" w:color="auto" w:fill="auto"/>
            <w:tcMar>
              <w:top w:w="0" w:type="dxa"/>
              <w:left w:w="108" w:type="dxa"/>
              <w:bottom w:w="0" w:type="dxa"/>
              <w:right w:w="108" w:type="dxa"/>
            </w:tcMar>
            <w:vAlign w:val="center"/>
          </w:tcPr>
          <w:p w14:paraId="45767069">
            <w:pPr>
              <w:spacing w:line="360" w:lineRule="auto"/>
              <w:jc w:val="center"/>
              <w:rPr>
                <w:rFonts w:hint="eastAsia" w:ascii="宋体" w:hAnsi="宋体" w:eastAsia="宋体" w:cs="宋体"/>
                <w:color w:val="auto"/>
                <w:sz w:val="24"/>
                <w:szCs w:val="24"/>
              </w:rPr>
            </w:pPr>
          </w:p>
        </w:tc>
        <w:tc>
          <w:tcPr>
            <w:tcW w:w="1648" w:type="dxa"/>
            <w:shd w:val="clear" w:color="auto" w:fill="auto"/>
            <w:tcMar>
              <w:top w:w="0" w:type="dxa"/>
              <w:left w:w="108" w:type="dxa"/>
              <w:bottom w:w="0" w:type="dxa"/>
              <w:right w:w="108" w:type="dxa"/>
            </w:tcMar>
            <w:vAlign w:val="center"/>
          </w:tcPr>
          <w:p w14:paraId="33A28A9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项目组人员配备</w:t>
            </w:r>
            <w:r>
              <w:rPr>
                <w:rFonts w:hint="eastAsia" w:ascii="宋体" w:hAnsi="宋体" w:cs="宋体"/>
                <w:color w:val="auto"/>
                <w:sz w:val="24"/>
                <w:szCs w:val="24"/>
                <w:highlight w:val="none"/>
                <w:lang w:val="en-US" w:eastAsia="zh-CN"/>
              </w:rPr>
              <w:t>评审</w:t>
            </w:r>
          </w:p>
          <w:p w14:paraId="76CED84F">
            <w:pPr>
              <w:jc w:val="center"/>
              <w:rPr>
                <w:rFonts w:hint="default" w:ascii="宋体" w:hAnsi="宋体" w:eastAsia="宋体" w:cs="宋体"/>
                <w:b w:val="0"/>
                <w:color w:val="auto"/>
                <w:sz w:val="24"/>
                <w:szCs w:val="24"/>
                <w:lang w:val="en-US" w:eastAsia="zh-CN"/>
              </w:rPr>
            </w:pPr>
            <w:r>
              <w:rPr>
                <w:rFonts w:hint="eastAsia" w:ascii="宋体" w:hAnsi="宋体" w:cs="宋体"/>
                <w:color w:val="auto"/>
                <w:sz w:val="24"/>
                <w:szCs w:val="24"/>
                <w:highlight w:val="none"/>
              </w:rPr>
              <w:t>（满分</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c>
          <w:tcPr>
            <w:tcW w:w="6899" w:type="dxa"/>
            <w:shd w:val="clear" w:color="auto" w:fill="auto"/>
            <w:tcMar>
              <w:top w:w="0" w:type="dxa"/>
              <w:left w:w="108" w:type="dxa"/>
              <w:bottom w:w="0" w:type="dxa"/>
              <w:right w:w="108" w:type="dxa"/>
            </w:tcMar>
            <w:vAlign w:val="top"/>
          </w:tcPr>
          <w:p w14:paraId="52923F1A">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1CAA5CD">
            <w:pPr>
              <w:adjustRightIn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具有理工科专业高级工程师职称证书和理工科技师或上职业技能等级证书得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提供相关证明材料，不提供不得分。</w:t>
            </w:r>
          </w:p>
          <w:p w14:paraId="7ECD6EE5">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）项目实施的技术人员（</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06F87320">
            <w:pPr>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拟派往的项目人员具有相对应行业中级职称证书或高级工职业技能等级证书；每提供1个得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分，最高得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分，同一人提供多个证书按1个证书计算，以上证书重复提供按1个计分</w:t>
            </w:r>
            <w:r>
              <w:rPr>
                <w:rFonts w:hint="eastAsia" w:ascii="宋体" w:hAnsi="宋体" w:eastAsia="宋体" w:cs="宋体"/>
                <w:color w:val="auto"/>
                <w:sz w:val="24"/>
                <w:szCs w:val="24"/>
                <w:highlight w:val="none"/>
                <w:lang w:eastAsia="zh-CN"/>
              </w:rPr>
              <w:t>，提供相关证明材料，不提供不得分。</w:t>
            </w:r>
          </w:p>
          <w:p w14:paraId="0344627C">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注：提供相关资料复印件（人员相关资格证书、近一年来任意1个月缴纳社保证明材料）等。</w:t>
            </w:r>
          </w:p>
        </w:tc>
      </w:tr>
      <w:tr w14:paraId="6FF8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20" w:hRule="atLeast"/>
        </w:trPr>
        <w:tc>
          <w:tcPr>
            <w:tcW w:w="1233" w:type="dxa"/>
            <w:vMerge w:val="continue"/>
            <w:shd w:val="clear" w:color="auto" w:fill="auto"/>
            <w:tcMar>
              <w:top w:w="0" w:type="dxa"/>
              <w:left w:w="108" w:type="dxa"/>
              <w:bottom w:w="0" w:type="dxa"/>
              <w:right w:w="108" w:type="dxa"/>
            </w:tcMar>
            <w:vAlign w:val="center"/>
          </w:tcPr>
          <w:p w14:paraId="76072CD2">
            <w:pPr>
              <w:spacing w:line="360" w:lineRule="auto"/>
              <w:jc w:val="center"/>
              <w:rPr>
                <w:rFonts w:hint="eastAsia" w:ascii="宋体" w:hAnsi="宋体" w:eastAsia="宋体" w:cs="宋体"/>
                <w:color w:val="auto"/>
                <w:sz w:val="24"/>
                <w:szCs w:val="24"/>
              </w:rPr>
            </w:pPr>
          </w:p>
        </w:tc>
        <w:tc>
          <w:tcPr>
            <w:tcW w:w="1648" w:type="dxa"/>
            <w:shd w:val="clear" w:color="auto" w:fill="auto"/>
            <w:tcMar>
              <w:top w:w="0" w:type="dxa"/>
              <w:left w:w="108" w:type="dxa"/>
              <w:bottom w:w="0" w:type="dxa"/>
              <w:right w:w="108" w:type="dxa"/>
            </w:tcMar>
            <w:vAlign w:val="center"/>
          </w:tcPr>
          <w:p w14:paraId="6BC351AC">
            <w:pPr>
              <w:pStyle w:val="15"/>
              <w:spacing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rPr>
              <w:t>类似业绩</w:t>
            </w:r>
            <w:r>
              <w:rPr>
                <w:rFonts w:hint="eastAsia" w:ascii="宋体" w:hAnsi="宋体" w:eastAsia="宋体" w:cs="宋体"/>
                <w:b w:val="0"/>
                <w:color w:val="auto"/>
                <w:sz w:val="24"/>
                <w:szCs w:val="24"/>
                <w:lang w:val="en-US" w:eastAsia="zh-CN"/>
              </w:rPr>
              <w:t>评审</w:t>
            </w:r>
          </w:p>
          <w:p w14:paraId="3F21120B">
            <w:pPr>
              <w:pStyle w:val="15"/>
              <w:spacing w:line="360" w:lineRule="auto"/>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（满分</w:t>
            </w:r>
            <w:r>
              <w:rPr>
                <w:rFonts w:hint="eastAsia" w:ascii="宋体" w:hAnsi="宋体" w:eastAsia="宋体" w:cs="宋体"/>
                <w:b w:val="0"/>
                <w:color w:val="auto"/>
                <w:sz w:val="24"/>
                <w:szCs w:val="24"/>
                <w:lang w:val="en-US" w:eastAsia="zh-CN"/>
              </w:rPr>
              <w:t>5</w:t>
            </w:r>
            <w:r>
              <w:rPr>
                <w:rFonts w:hint="eastAsia" w:ascii="宋体" w:hAnsi="宋体" w:eastAsia="宋体" w:cs="宋体"/>
                <w:b w:val="0"/>
                <w:color w:val="auto"/>
                <w:sz w:val="24"/>
                <w:szCs w:val="24"/>
              </w:rPr>
              <w:t>分）</w:t>
            </w:r>
          </w:p>
        </w:tc>
        <w:tc>
          <w:tcPr>
            <w:tcW w:w="6899" w:type="dxa"/>
            <w:shd w:val="clear" w:color="auto" w:fill="auto"/>
            <w:tcMar>
              <w:top w:w="0" w:type="dxa"/>
              <w:left w:w="108" w:type="dxa"/>
              <w:bottom w:w="0" w:type="dxa"/>
              <w:right w:w="108" w:type="dxa"/>
            </w:tcMar>
            <w:vAlign w:val="center"/>
          </w:tcPr>
          <w:p w14:paraId="00E518E6">
            <w:pPr>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供应商或生产厂商提供近三年2022年1月1日以来成功实施的相近项目案例，每提供一个案例得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分，最高</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分。供应商提供的业绩或案例证明均是非同类项目的本项不得分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合同以签定时间为准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须提供合同复印件或中标通知书。</w:t>
            </w:r>
          </w:p>
        </w:tc>
      </w:tr>
    </w:tbl>
    <w:p w14:paraId="3ABFF4DB">
      <w:pPr>
        <w:spacing w:line="360" w:lineRule="auto"/>
        <w:rPr>
          <w:rFonts w:hint="eastAsia" w:ascii="宋体" w:hAnsi="宋体" w:cs="宋体"/>
          <w:color w:val="auto"/>
          <w:sz w:val="24"/>
          <w:shd w:val="clear" w:color="auto" w:fill="FFFFFF"/>
        </w:rPr>
      </w:pPr>
      <w:r>
        <w:rPr>
          <w:rFonts w:hint="eastAsia" w:ascii="宋体" w:hAnsi="宋体" w:cs="宋体"/>
          <w:color w:val="auto"/>
          <w:sz w:val="24"/>
          <w:shd w:val="clear" w:color="auto" w:fill="FFFFFF"/>
        </w:rPr>
        <w:t>注：1.上述表中按每项评审要求所涉及到的所有资料，</w:t>
      </w:r>
      <w:bookmarkStart w:id="280" w:name="_Hlk140584128"/>
      <w:r>
        <w:rPr>
          <w:rFonts w:hint="eastAsia" w:ascii="宋体" w:hAnsi="宋体" w:cs="宋体"/>
          <w:color w:val="auto"/>
          <w:sz w:val="24"/>
          <w:shd w:val="clear" w:color="auto" w:fill="FFFFFF"/>
        </w:rPr>
        <w:t>供应商</w:t>
      </w:r>
      <w:bookmarkEnd w:id="280"/>
      <w:r>
        <w:rPr>
          <w:rFonts w:hint="eastAsia" w:ascii="宋体" w:hAnsi="宋体" w:cs="宋体"/>
          <w:color w:val="auto"/>
          <w:sz w:val="24"/>
          <w:shd w:val="clear" w:color="auto" w:fill="FFFFFF"/>
        </w:rPr>
        <w:t>必须认真分类放于响应文件中。评标委员会成员按以上详细评分标准规定及供应商内容自主独立打分。</w:t>
      </w:r>
    </w:p>
    <w:p w14:paraId="71214401">
      <w:pPr>
        <w:spacing w:line="360" w:lineRule="auto"/>
        <w:rPr>
          <w:color w:val="auto"/>
          <w:sz w:val="24"/>
        </w:rPr>
      </w:pPr>
      <w:r>
        <w:rPr>
          <w:rFonts w:hint="eastAsia" w:ascii="宋体" w:hAnsi="宋体" w:cs="宋体"/>
          <w:color w:val="auto"/>
          <w:sz w:val="24"/>
          <w:shd w:val="clear" w:color="auto" w:fill="FFFFFF"/>
        </w:rPr>
        <w:t>2.综合得分计算规则：取所有供应商的评审评分计算算术平均值，最后得分保留两位小数，第三位四舍五入。</w:t>
      </w:r>
    </w:p>
    <w:p w14:paraId="243AE163">
      <w:pPr>
        <w:rPr>
          <w:color w:val="auto"/>
          <w:sz w:val="24"/>
        </w:rPr>
      </w:pPr>
    </w:p>
    <w:p w14:paraId="01E552BC">
      <w:pPr>
        <w:pStyle w:val="3"/>
        <w:spacing w:before="0"/>
        <w:rPr>
          <w:rFonts w:hint="eastAsia" w:asciiTheme="minorEastAsia" w:hAnsiTheme="minorEastAsia" w:eastAsiaTheme="minorEastAsia" w:cstheme="minorEastAsia"/>
          <w:color w:val="auto"/>
          <w:sz w:val="24"/>
          <w:szCs w:val="24"/>
        </w:rPr>
      </w:pPr>
      <w:bookmarkStart w:id="281" w:name="_Toc5011"/>
      <w:bookmarkStart w:id="282" w:name="_Toc2729"/>
      <w:bookmarkStart w:id="283" w:name="_Toc11993"/>
      <w:bookmarkStart w:id="284" w:name="_Toc14243"/>
      <w:bookmarkStart w:id="285" w:name="_Toc25646"/>
      <w:r>
        <w:rPr>
          <w:rFonts w:hint="eastAsia" w:asciiTheme="minorEastAsia" w:hAnsiTheme="minorEastAsia" w:eastAsiaTheme="minorEastAsia" w:cstheme="minorEastAsia"/>
          <w:color w:val="auto"/>
          <w:sz w:val="24"/>
          <w:szCs w:val="24"/>
        </w:rPr>
        <w:t>1. 评标方法</w:t>
      </w:r>
      <w:bookmarkEnd w:id="281"/>
      <w:bookmarkEnd w:id="282"/>
      <w:bookmarkEnd w:id="283"/>
      <w:bookmarkEnd w:id="284"/>
      <w:bookmarkEnd w:id="285"/>
    </w:p>
    <w:p w14:paraId="55A39983">
      <w:pPr>
        <w:adjustRightIn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本次评标采用综合评分法。评标委员会对通过资格审查、符合性审查的投标文件，按照本章第2 款规定的评分标准进行打分，并按得分由高到低顺序推荐中标候选人；得分相同的，按投标报价由低到高顺序排列。得分且投标报价相同的并列。投标文件满足招标文件全部实质性要求，且按照评审因素的量化指标评审得分最高的</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为排名第一的中标候选人。</w:t>
      </w:r>
    </w:p>
    <w:p w14:paraId="00451EAC">
      <w:pPr>
        <w:pStyle w:val="3"/>
        <w:spacing w:before="0"/>
        <w:rPr>
          <w:rFonts w:hint="eastAsia" w:asciiTheme="minorEastAsia" w:hAnsiTheme="minorEastAsia" w:eastAsiaTheme="minorEastAsia" w:cstheme="minorEastAsia"/>
          <w:color w:val="auto"/>
          <w:sz w:val="24"/>
          <w:szCs w:val="24"/>
        </w:rPr>
      </w:pPr>
      <w:bookmarkStart w:id="286" w:name="_Toc22803"/>
      <w:bookmarkStart w:id="287" w:name="_Toc22678"/>
      <w:bookmarkStart w:id="288" w:name="_Toc15306"/>
      <w:bookmarkStart w:id="289" w:name="_Toc29912"/>
      <w:bookmarkStart w:id="290" w:name="_Toc14328"/>
      <w:r>
        <w:rPr>
          <w:rFonts w:hint="eastAsia" w:asciiTheme="minorEastAsia" w:hAnsiTheme="minorEastAsia" w:eastAsiaTheme="minorEastAsia" w:cstheme="minorEastAsia"/>
          <w:color w:val="auto"/>
          <w:sz w:val="24"/>
          <w:szCs w:val="24"/>
        </w:rPr>
        <w:t>2. 评审标准</w:t>
      </w:r>
      <w:bookmarkEnd w:id="286"/>
      <w:bookmarkEnd w:id="287"/>
      <w:bookmarkEnd w:id="288"/>
      <w:bookmarkEnd w:id="289"/>
      <w:bookmarkEnd w:id="290"/>
    </w:p>
    <w:p w14:paraId="76B65C10">
      <w:pPr>
        <w:pStyle w:val="4"/>
        <w:spacing w:before="0"/>
        <w:rPr>
          <w:rFonts w:hint="eastAsia" w:asciiTheme="minorEastAsia" w:hAnsiTheme="minorEastAsia" w:eastAsiaTheme="minorEastAsia" w:cstheme="minorEastAsia"/>
          <w:color w:val="auto"/>
          <w:sz w:val="24"/>
          <w:szCs w:val="24"/>
        </w:rPr>
      </w:pPr>
      <w:bookmarkStart w:id="291" w:name="_Toc8601"/>
      <w:bookmarkStart w:id="292" w:name="_Toc8316"/>
      <w:bookmarkStart w:id="293" w:name="_Toc1947"/>
      <w:r>
        <w:rPr>
          <w:rFonts w:hint="eastAsia" w:asciiTheme="minorEastAsia" w:hAnsiTheme="minorEastAsia" w:eastAsiaTheme="minorEastAsia" w:cstheme="minorEastAsia"/>
          <w:color w:val="auto"/>
          <w:sz w:val="24"/>
          <w:szCs w:val="24"/>
        </w:rPr>
        <w:t>2.1 符合性评审标准</w:t>
      </w:r>
      <w:bookmarkEnd w:id="291"/>
      <w:bookmarkEnd w:id="292"/>
      <w:bookmarkEnd w:id="293"/>
    </w:p>
    <w:p w14:paraId="4CF6B8C4">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符合性审查标准：依据招标文件的规定，从投标文件的有效性、完整性和对招标文件的响应程度进行审查，以确定是否对招标文件的实质性要求作出响应；见评标办法前附表。</w:t>
      </w:r>
    </w:p>
    <w:p w14:paraId="301B0F18">
      <w:pPr>
        <w:pStyle w:val="4"/>
        <w:spacing w:before="0"/>
        <w:rPr>
          <w:rFonts w:hint="eastAsia" w:asciiTheme="minorEastAsia" w:hAnsiTheme="minorEastAsia" w:eastAsiaTheme="minorEastAsia" w:cstheme="minorEastAsia"/>
          <w:color w:val="auto"/>
          <w:sz w:val="24"/>
          <w:szCs w:val="24"/>
        </w:rPr>
      </w:pPr>
      <w:bookmarkStart w:id="294" w:name="_Toc687"/>
      <w:bookmarkStart w:id="295" w:name="_Toc24559"/>
      <w:bookmarkStart w:id="296" w:name="_Toc7841"/>
      <w:r>
        <w:rPr>
          <w:rFonts w:hint="eastAsia" w:asciiTheme="minorEastAsia" w:hAnsiTheme="minorEastAsia" w:eastAsiaTheme="minorEastAsia" w:cstheme="minorEastAsia"/>
          <w:color w:val="auto"/>
          <w:sz w:val="24"/>
          <w:szCs w:val="24"/>
        </w:rPr>
        <w:t>2.2 分值构成与评分标准</w:t>
      </w:r>
      <w:bookmarkEnd w:id="294"/>
      <w:bookmarkEnd w:id="295"/>
      <w:bookmarkEnd w:id="296"/>
    </w:p>
    <w:p w14:paraId="191EE808">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 分值构成</w:t>
      </w:r>
    </w:p>
    <w:p w14:paraId="51B84C5A">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（1）报价部分：见评标办法前附表；</w:t>
      </w:r>
    </w:p>
    <w:p w14:paraId="2656038C">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（2）技术部分：见评标办法前附表。</w:t>
      </w:r>
    </w:p>
    <w:p w14:paraId="4CD2C615">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 评标基准价计算方法：见评标办法前附表。</w:t>
      </w:r>
    </w:p>
    <w:p w14:paraId="4D06049F">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 评分标准</w:t>
      </w:r>
    </w:p>
    <w:p w14:paraId="7AEC1E4D">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按招标文件中规定的评标方法和标准，对符合性评审合格的投标文件进行商务和技术评估，综合比较与评价。</w:t>
      </w:r>
    </w:p>
    <w:p w14:paraId="4F53684F">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bookmarkStart w:id="297" w:name="_Toc21678"/>
      <w:bookmarkStart w:id="298" w:name="_Toc12941"/>
      <w:r>
        <w:rPr>
          <w:rFonts w:hint="eastAsia" w:asciiTheme="minorEastAsia" w:hAnsiTheme="minorEastAsia" w:eastAsiaTheme="minorEastAsia" w:cstheme="minorEastAsia"/>
          <w:color w:val="auto"/>
          <w:sz w:val="24"/>
          <w:szCs w:val="24"/>
        </w:rPr>
        <w:t>（1）报价部分：见评标办法前附表；</w:t>
      </w:r>
    </w:p>
    <w:p w14:paraId="4DD56DC0">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（2）技术部分：见评标办法前附表。</w:t>
      </w:r>
    </w:p>
    <w:p w14:paraId="0FE02A6E">
      <w:pPr>
        <w:pStyle w:val="3"/>
        <w:spacing w:before="0"/>
        <w:rPr>
          <w:rFonts w:hint="eastAsia" w:asciiTheme="minorEastAsia" w:hAnsiTheme="minorEastAsia" w:eastAsiaTheme="minorEastAsia" w:cstheme="minorEastAsia"/>
          <w:color w:val="auto"/>
          <w:sz w:val="24"/>
          <w:szCs w:val="24"/>
        </w:rPr>
      </w:pPr>
      <w:bookmarkStart w:id="299" w:name="_Toc6249"/>
      <w:bookmarkStart w:id="300" w:name="_Toc4784"/>
      <w:bookmarkStart w:id="301" w:name="_Toc24772"/>
      <w:r>
        <w:rPr>
          <w:rFonts w:hint="eastAsia" w:asciiTheme="minorEastAsia" w:hAnsiTheme="minorEastAsia" w:eastAsiaTheme="minorEastAsia" w:cstheme="minorEastAsia"/>
          <w:color w:val="auto"/>
          <w:sz w:val="24"/>
          <w:szCs w:val="24"/>
        </w:rPr>
        <w:t>3. 评标程序</w:t>
      </w:r>
      <w:bookmarkEnd w:id="297"/>
      <w:bookmarkEnd w:id="298"/>
      <w:bookmarkEnd w:id="299"/>
      <w:bookmarkEnd w:id="300"/>
      <w:bookmarkEnd w:id="301"/>
    </w:p>
    <w:p w14:paraId="25C882F9">
      <w:pPr>
        <w:pStyle w:val="4"/>
        <w:spacing w:before="0"/>
        <w:rPr>
          <w:rFonts w:hint="eastAsia" w:asciiTheme="minorEastAsia" w:hAnsiTheme="minorEastAsia" w:eastAsiaTheme="minorEastAsia" w:cstheme="minorEastAsia"/>
          <w:color w:val="auto"/>
          <w:sz w:val="24"/>
          <w:szCs w:val="24"/>
        </w:rPr>
      </w:pPr>
      <w:bookmarkStart w:id="302" w:name="_Toc22011"/>
      <w:bookmarkStart w:id="303" w:name="_Toc17113"/>
      <w:bookmarkStart w:id="304" w:name="_Toc18836"/>
      <w:r>
        <w:rPr>
          <w:rFonts w:hint="eastAsia" w:asciiTheme="minorEastAsia" w:hAnsiTheme="minorEastAsia" w:eastAsiaTheme="minorEastAsia" w:cstheme="minorEastAsia"/>
          <w:color w:val="auto"/>
          <w:sz w:val="24"/>
          <w:szCs w:val="24"/>
        </w:rPr>
        <w:t>3.1 符合性评审</w:t>
      </w:r>
      <w:bookmarkEnd w:id="302"/>
      <w:bookmarkEnd w:id="303"/>
      <w:bookmarkEnd w:id="304"/>
    </w:p>
    <w:p w14:paraId="1855491A">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3.1.1 评标委员会依据本章第1项、第2项规定的标准对投标文件进行符合性评审。有一项不符合评审标准的，作废标处理。</w:t>
      </w:r>
    </w:p>
    <w:p w14:paraId="1AE2183B">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3.1.2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有以下情形之一的，其投标作废标处理：</w:t>
      </w:r>
    </w:p>
    <w:p w14:paraId="6EC8423C">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（1）串通投标或弄虚作假或有其他违法行为的；</w:t>
      </w:r>
    </w:p>
    <w:p w14:paraId="13A1D77C">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（2）不按评标委员会要求澄清、说明或补正的。</w:t>
      </w:r>
    </w:p>
    <w:p w14:paraId="42D461E0">
      <w:pPr>
        <w:pStyle w:val="4"/>
        <w:spacing w:before="0"/>
        <w:rPr>
          <w:rFonts w:hint="eastAsia" w:asciiTheme="minorEastAsia" w:hAnsiTheme="minorEastAsia" w:eastAsiaTheme="minorEastAsia" w:cstheme="minorEastAsia"/>
          <w:color w:val="auto"/>
          <w:sz w:val="24"/>
          <w:szCs w:val="24"/>
        </w:rPr>
      </w:pPr>
      <w:bookmarkStart w:id="305" w:name="_Toc16405"/>
      <w:bookmarkStart w:id="306" w:name="_Toc11496"/>
      <w:bookmarkStart w:id="307" w:name="_Toc13000"/>
      <w:r>
        <w:rPr>
          <w:rFonts w:hint="eastAsia" w:asciiTheme="minorEastAsia" w:hAnsiTheme="minorEastAsia" w:eastAsiaTheme="minorEastAsia" w:cstheme="minorEastAsia"/>
          <w:color w:val="auto"/>
          <w:sz w:val="24"/>
          <w:szCs w:val="24"/>
        </w:rPr>
        <w:t>3.2 详细评审</w:t>
      </w:r>
      <w:bookmarkEnd w:id="305"/>
      <w:bookmarkEnd w:id="306"/>
      <w:bookmarkEnd w:id="307"/>
    </w:p>
    <w:p w14:paraId="68BBA032">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3.2.1 评标委员会按本章第2款规定的量化因素和分值进行打分，并计算出</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的评标总得分。</w:t>
      </w:r>
    </w:p>
    <w:p w14:paraId="00FD857F">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（1）按本章规定的评审因素和分值对技术部分计算出得分；</w:t>
      </w:r>
    </w:p>
    <w:p w14:paraId="18F6F8C2">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（2）按本章规定的评审因素和分值对商务部分计算出得分；</w:t>
      </w:r>
    </w:p>
    <w:p w14:paraId="55B1F6FB">
      <w:pPr>
        <w:pStyle w:val="21"/>
        <w:tabs>
          <w:tab w:val="left" w:pos="2472"/>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3.2.2技术部分和商务部分得分由评标委员会成员独立评分，计算各</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得分的算术平均值计入各</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总分。</w:t>
      </w:r>
    </w:p>
    <w:p w14:paraId="39D02942">
      <w:pPr>
        <w:pageBreakBefore w:val="0"/>
        <w:kinsoku/>
        <w:overflowPunct/>
        <w:topLinePunct w:val="0"/>
        <w:bidi w:val="0"/>
        <w:spacing w:beforeAutospacing="0" w:afterAutospacing="0" w:line="360" w:lineRule="auto"/>
        <w:ind w:left="0" w:leftChars="0" w:right="0" w:firstLine="482" w:firstLineChars="200"/>
        <w:jc w:val="left"/>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rPr>
        <w:t>3.2.3</w:t>
      </w:r>
      <w:r>
        <w:rPr>
          <w:rFonts w:hint="eastAsia" w:asciiTheme="minorEastAsia" w:hAnsiTheme="minorEastAsia" w:eastAsiaTheme="minorEastAsia" w:cstheme="minorEastAsia"/>
          <w:b/>
          <w:color w:val="auto"/>
          <w:sz w:val="24"/>
          <w:szCs w:val="24"/>
          <w:lang w:val="en-US" w:eastAsia="zh-CN"/>
        </w:rPr>
        <w:t>经评标委员会（三分之二以上评委）认定，最低报价或者重要分项报价明显不合理或者低于成本，有可能影响产品质量和不能诚信履约的（供应商报价明显低于市场行情或低于本项目最高限价的50%或低于其他有效供应商报价算术平均价30%即为明显低于），评标委员会应当要求供应商在规定时限内提供书面文件予以解释说明，并提交相关证明材料（供应商提交的证明材料包括但不限于生产运输结构、成本结构、产品质量保证）。供应商不能合理说明或者未在规定时限内提供相关证明材料的，评标委员会应当否决其投标报价，按无效报价处理。</w:t>
      </w:r>
    </w:p>
    <w:p w14:paraId="358D7369">
      <w:pPr>
        <w:spacing w:line="360" w:lineRule="auto"/>
        <w:ind w:firstLine="482" w:firstLineChars="200"/>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szCs w:val="24"/>
          <w:lang w:val="en-US" w:eastAsia="zh-CN"/>
        </w:rPr>
        <w:t>3.2.4供应商的报价应当保持单项价格的合理性，严禁出现不平衡报价的情况，项目采购结束后，采购人有权对各单项价格进行核查，对于严重超过市场价格的单价，被认定为不平衡报价的单项，如果发生数量变动，将按照有利于采购人的单价进行认价。</w:t>
      </w:r>
    </w:p>
    <w:p w14:paraId="2DFC590C">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使用综合评分法的采购项目，提供相同品牌产品（核心产品）且通过资格审查、符合性审查的不同</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参加同一合同项下投标的，按一家</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计算，评审后得分最高的同品牌</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获得中标人推荐资格；评审得分相同的，按照最有利于采购人利益的原则，由评标委员会综合评定后确定一个</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获得中标人推荐资格，其他同品牌</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不作为中标候选人。</w:t>
      </w:r>
    </w:p>
    <w:p w14:paraId="44F0E35F">
      <w:pPr>
        <w:pStyle w:val="4"/>
        <w:spacing w:before="0"/>
        <w:rPr>
          <w:rFonts w:hint="eastAsia" w:asciiTheme="minorEastAsia" w:hAnsiTheme="minorEastAsia" w:eastAsiaTheme="minorEastAsia" w:cstheme="minorEastAsia"/>
          <w:color w:val="auto"/>
          <w:sz w:val="24"/>
          <w:szCs w:val="24"/>
        </w:rPr>
      </w:pPr>
      <w:bookmarkStart w:id="308" w:name="_Toc10843"/>
      <w:bookmarkStart w:id="309" w:name="_Toc2086"/>
      <w:bookmarkStart w:id="310" w:name="_Toc17860"/>
      <w:r>
        <w:rPr>
          <w:rFonts w:hint="eastAsia" w:asciiTheme="minorEastAsia" w:hAnsiTheme="minorEastAsia" w:eastAsiaTheme="minorEastAsia" w:cstheme="minorEastAsia"/>
          <w:color w:val="auto"/>
          <w:sz w:val="24"/>
          <w:szCs w:val="24"/>
        </w:rPr>
        <w:t>3.3 投标文件的澄清原则：</w:t>
      </w:r>
      <w:bookmarkEnd w:id="308"/>
      <w:bookmarkEnd w:id="309"/>
      <w:bookmarkEnd w:id="310"/>
      <w:r>
        <w:rPr>
          <w:rFonts w:hint="eastAsia" w:asciiTheme="minorEastAsia" w:hAnsiTheme="minorEastAsia" w:eastAsiaTheme="minorEastAsia" w:cstheme="minorEastAsia"/>
          <w:color w:val="auto"/>
          <w:sz w:val="24"/>
          <w:szCs w:val="24"/>
        </w:rPr>
        <w:t xml:space="preserve"> </w:t>
      </w:r>
    </w:p>
    <w:p w14:paraId="684F8E53">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3.3.1 在评标过程中，评标委员会可以书面形式（应当由评标委员会专家签字）要求</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对所提交的投标文件中含义不明确、同类问题表述不一致或者有明显文字和计算错误的内容，进行书面澄清或说明，或者对细微偏差进行补正。评标委员会不接受</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主动提出的澄清、说明或补正。</w:t>
      </w:r>
    </w:p>
    <w:p w14:paraId="4F13E5AF">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3.3.2 </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的澄清、说明和补正应当采用书面形式，由法定代表人或其授权的代表签字，并不得改变投标文件的实质性内容。</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的书面澄清、说明和补正属于投标文件的组成部分。</w:t>
      </w:r>
    </w:p>
    <w:p w14:paraId="495F5B1E">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3.3.3 评标委员会对</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提交的澄清、说明或补正有疑问的，可以要求</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进一步澄清、说明或补正，直至满足评标委员会的要求。</w:t>
      </w:r>
    </w:p>
    <w:p w14:paraId="6A3760FE">
      <w:pPr>
        <w:pStyle w:val="4"/>
        <w:spacing w:before="0"/>
        <w:rPr>
          <w:rFonts w:hint="eastAsia" w:asciiTheme="minorEastAsia" w:hAnsiTheme="minorEastAsia" w:eastAsiaTheme="minorEastAsia" w:cstheme="minorEastAsia"/>
          <w:color w:val="auto"/>
          <w:sz w:val="24"/>
          <w:szCs w:val="24"/>
        </w:rPr>
      </w:pPr>
      <w:bookmarkStart w:id="311" w:name="_Toc20234"/>
      <w:bookmarkStart w:id="312" w:name="_Toc23050"/>
      <w:bookmarkStart w:id="313" w:name="_Toc21686"/>
      <w:r>
        <w:rPr>
          <w:rFonts w:hint="eastAsia" w:asciiTheme="minorEastAsia" w:hAnsiTheme="minorEastAsia" w:eastAsiaTheme="minorEastAsia" w:cstheme="minorEastAsia"/>
          <w:color w:val="auto"/>
          <w:sz w:val="24"/>
          <w:szCs w:val="24"/>
        </w:rPr>
        <w:t>3.4 评标结果</w:t>
      </w:r>
      <w:bookmarkEnd w:id="311"/>
      <w:bookmarkEnd w:id="312"/>
      <w:bookmarkEnd w:id="313"/>
    </w:p>
    <w:p w14:paraId="6990DAF8">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3.4.1 评标委员会按得分由高到低顺序推荐3名中标候选人，并提出书面评标报告。</w:t>
      </w:r>
    </w:p>
    <w:p w14:paraId="752D4F1B">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3.4.2 采购人根据评标委员会提出的书面评标报告和推荐的中标候选人名单，确定中标人。</w:t>
      </w:r>
    </w:p>
    <w:p w14:paraId="6640B80A">
      <w:pPr>
        <w:pStyle w:val="3"/>
        <w:spacing w:before="0"/>
        <w:rPr>
          <w:rFonts w:hint="eastAsia" w:asciiTheme="minorEastAsia" w:hAnsiTheme="minorEastAsia" w:eastAsiaTheme="minorEastAsia" w:cstheme="minorEastAsia"/>
          <w:color w:val="auto"/>
          <w:sz w:val="24"/>
          <w:szCs w:val="24"/>
        </w:rPr>
      </w:pPr>
      <w:bookmarkStart w:id="314" w:name="_Toc8168240"/>
      <w:bookmarkStart w:id="315" w:name="_Toc29985"/>
      <w:bookmarkStart w:id="316" w:name="_Toc554"/>
      <w:bookmarkStart w:id="317" w:name="_Toc5780266"/>
      <w:bookmarkStart w:id="318" w:name="_Toc18374"/>
      <w:bookmarkStart w:id="319" w:name="_Toc18040"/>
      <w:bookmarkStart w:id="320" w:name="_Toc1896"/>
      <w:bookmarkStart w:id="321" w:name="_Hlk10025701"/>
      <w:r>
        <w:rPr>
          <w:rFonts w:hint="eastAsia" w:asciiTheme="minorEastAsia" w:hAnsiTheme="minorEastAsia" w:eastAsiaTheme="minorEastAsia" w:cstheme="minorEastAsia"/>
          <w:color w:val="auto"/>
          <w:sz w:val="24"/>
          <w:szCs w:val="24"/>
        </w:rPr>
        <w:t>4. 政府采购政策</w:t>
      </w:r>
      <w:bookmarkEnd w:id="314"/>
      <w:bookmarkEnd w:id="315"/>
      <w:bookmarkEnd w:id="316"/>
      <w:bookmarkEnd w:id="317"/>
      <w:bookmarkEnd w:id="318"/>
      <w:bookmarkEnd w:id="319"/>
      <w:bookmarkEnd w:id="320"/>
    </w:p>
    <w:p w14:paraId="5BE153F0">
      <w:pPr>
        <w:pStyle w:val="4"/>
        <w:spacing w:before="0"/>
        <w:rPr>
          <w:rFonts w:hint="eastAsia" w:asciiTheme="minorEastAsia" w:hAnsiTheme="minorEastAsia" w:eastAsiaTheme="minorEastAsia" w:cstheme="minorEastAsia"/>
          <w:color w:val="auto"/>
          <w:sz w:val="24"/>
          <w:szCs w:val="24"/>
        </w:rPr>
      </w:pPr>
      <w:bookmarkStart w:id="322" w:name="_Toc55305299"/>
      <w:bookmarkStart w:id="323" w:name="_Toc56372942"/>
      <w:bookmarkStart w:id="324" w:name="_Toc7218"/>
      <w:bookmarkStart w:id="325" w:name="_Toc32072"/>
      <w:bookmarkStart w:id="326" w:name="_Toc8168241"/>
      <w:bookmarkStart w:id="327" w:name="_Toc14863"/>
      <w:bookmarkStart w:id="328" w:name="_Hlk65018654"/>
      <w:r>
        <w:rPr>
          <w:rFonts w:hint="eastAsia" w:asciiTheme="minorEastAsia" w:hAnsiTheme="minorEastAsia" w:eastAsiaTheme="minorEastAsia" w:cstheme="minorEastAsia"/>
          <w:color w:val="auto"/>
          <w:sz w:val="24"/>
          <w:szCs w:val="24"/>
        </w:rPr>
        <w:t>4.1中小企业</w:t>
      </w:r>
      <w:bookmarkEnd w:id="322"/>
      <w:bookmarkEnd w:id="323"/>
      <w:bookmarkEnd w:id="324"/>
      <w:bookmarkEnd w:id="325"/>
      <w:bookmarkEnd w:id="326"/>
      <w:bookmarkEnd w:id="327"/>
    </w:p>
    <w:p w14:paraId="6E5E0523">
      <w:pPr>
        <w:spacing w:line="480" w:lineRule="exact"/>
        <w:rPr>
          <w:rFonts w:hint="eastAsia" w:ascii="宋体" w:hAnsi="宋体" w:cs="宋体"/>
          <w:color w:val="auto"/>
          <w:sz w:val="24"/>
        </w:rPr>
      </w:pPr>
      <w:r>
        <w:rPr>
          <w:rFonts w:hint="eastAsia" w:asciiTheme="minorEastAsia" w:hAnsiTheme="minorEastAsia" w:eastAsiaTheme="minorEastAsia" w:cstheme="minorEastAsia"/>
          <w:color w:val="auto"/>
          <w:sz w:val="24"/>
        </w:rPr>
        <w:t>4.1.1</w:t>
      </w:r>
      <w:bookmarkStart w:id="329" w:name="_Toc12049"/>
      <w:bookmarkStart w:id="330" w:name="_Toc8168242"/>
      <w:bookmarkStart w:id="331" w:name="_Toc29962"/>
      <w:r>
        <w:rPr>
          <w:rFonts w:hint="eastAsia" w:ascii="宋体" w:hAnsi="宋体" w:cs="宋体"/>
          <w:color w:val="auto"/>
          <w:sz w:val="24"/>
        </w:rPr>
        <w:t>请</w:t>
      </w:r>
      <w:r>
        <w:rPr>
          <w:rFonts w:hint="eastAsia" w:ascii="宋体" w:hAnsi="宋体" w:cs="宋体"/>
          <w:color w:val="auto"/>
          <w:sz w:val="24"/>
          <w:lang w:eastAsia="zh-CN"/>
        </w:rPr>
        <w:t>供应商</w:t>
      </w:r>
      <w:r>
        <w:rPr>
          <w:rFonts w:hint="eastAsia" w:ascii="宋体" w:hAnsi="宋体" w:cs="宋体"/>
          <w:color w:val="auto"/>
          <w:sz w:val="24"/>
        </w:rPr>
        <w:t>根据“国家统计局关于印发</w:t>
      </w:r>
      <w:r>
        <w:rPr>
          <w:rFonts w:hint="eastAsia" w:ascii="宋体" w:hAnsi="宋体" w:cs="宋体"/>
          <w:color w:val="auto"/>
          <w:sz w:val="24"/>
          <w:szCs w:val="21"/>
        </w:rPr>
        <w:t>《关于进一步加大政府采购支持中小企业力度的通知》（财库〔2022〕19号）</w:t>
      </w:r>
      <w:r>
        <w:rPr>
          <w:rFonts w:hint="eastAsia" w:ascii="宋体" w:hAnsi="宋体" w:cs="宋体"/>
          <w:color w:val="auto"/>
          <w:sz w:val="24"/>
        </w:rPr>
        <w:t>、</w:t>
      </w:r>
      <w:r>
        <w:rPr>
          <w:rFonts w:hint="eastAsia" w:ascii="宋体" w:hAnsi="宋体" w:cs="宋体"/>
          <w:color w:val="auto"/>
          <w:sz w:val="24"/>
          <w:szCs w:val="21"/>
        </w:rPr>
        <w:t>《关于印发中小企业划型标准规定的通知》（工信部联企业〔2011〕300号）</w:t>
      </w:r>
      <w:r>
        <w:rPr>
          <w:rFonts w:hint="eastAsia" w:ascii="宋体" w:hAnsi="宋体" w:cs="宋体"/>
          <w:color w:val="auto"/>
          <w:sz w:val="24"/>
        </w:rPr>
        <w:t>的规定，提供《中小企业声明函》，未提供的在价格评分时不对投标报价进行扣除。</w:t>
      </w:r>
      <w:r>
        <w:rPr>
          <w:rFonts w:hint="eastAsia" w:ascii="宋体" w:hAnsi="宋体" w:cs="宋体"/>
          <w:color w:val="auto"/>
          <w:sz w:val="24"/>
          <w:lang w:eastAsia="zh-CN"/>
        </w:rPr>
        <w:t>供应商</w:t>
      </w:r>
      <w:r>
        <w:rPr>
          <w:rFonts w:hint="eastAsia" w:ascii="宋体" w:hAnsi="宋体" w:cs="宋体"/>
          <w:color w:val="auto"/>
          <w:sz w:val="24"/>
        </w:rPr>
        <w:t>对《中小企业声明函》的真实性负责。</w:t>
      </w:r>
    </w:p>
    <w:p w14:paraId="27F7FF96">
      <w:pPr>
        <w:spacing w:line="360" w:lineRule="auto"/>
        <w:jc w:val="left"/>
        <w:rPr>
          <w:rFonts w:hint="eastAsia" w:ascii="宋体" w:hAnsi="宋体" w:cs="宋体"/>
          <w:color w:val="auto"/>
          <w:sz w:val="24"/>
        </w:rPr>
      </w:pPr>
      <w:r>
        <w:rPr>
          <w:rFonts w:hint="eastAsia" w:ascii="宋体" w:hAnsi="宋体" w:cs="宋体"/>
          <w:color w:val="auto"/>
          <w:sz w:val="24"/>
        </w:rPr>
        <w:t xml:space="preserve">4.1.2各行业划型标准为： </w:t>
      </w:r>
    </w:p>
    <w:p w14:paraId="7014D84F">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（一）农、林、牧、渔业。营业收入20000万元以下的为中小微型企业。其中， </w:t>
      </w:r>
    </w:p>
    <w:p w14:paraId="6ABB3F17">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营业收入500万元及以上的为中型企业，营业收入50万元及以上的为小型企业，营业收入50万元以下的为微型企业。 </w:t>
      </w:r>
    </w:p>
    <w:p w14:paraId="2C7040E1">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 </w:t>
      </w:r>
    </w:p>
    <w:p w14:paraId="6975C450">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业。其中，从业人员300人及以上，且营业收入2000万元及以上的为中型企业；从业人员20人及以上，且营业收入300万元及以上的为小型企业；从业人员20人以下或营业收入300万元以下的为微型企业。 </w:t>
      </w:r>
    </w:p>
    <w:p w14:paraId="65F92353">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 </w:t>
      </w:r>
    </w:p>
    <w:p w14:paraId="21CD276F">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型企业。其中，营业收入6000万元及以上，且资产总额5000万元及以上的为中型企业；营业收入300万元及以上，且资产总额300万元及以上的为小型企业；营业收入300万元以下或资产总额300万元以下的为微型企业。 </w:t>
      </w:r>
    </w:p>
    <w:p w14:paraId="566E7F9A">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 </w:t>
      </w:r>
    </w:p>
    <w:p w14:paraId="68220C36">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业。其中，从业人员20人及以上，且营业收入5000万元及以上的为中型企业；从业人员5人及以上，且营业收入1000万元及以上的为小型企业；从业人员5人以下或营业收入1000万元以下的为微型企业。 </w:t>
      </w:r>
    </w:p>
    <w:p w14:paraId="7D3B6894">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 </w:t>
      </w:r>
    </w:p>
    <w:p w14:paraId="6B27E45C">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业。其中，从业人员50人及以上，且营业收入500万元及以上的为中型企业；从业人员10人及以上，且营业收入100万元及以上的为小型企业；从业人员10人以下或营业收入100万元以下的为微型企业。 </w:t>
      </w:r>
    </w:p>
    <w:p w14:paraId="74707B28">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1A31905D">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（七）仓储业。从业人员200人以下或营业收入30000万元以下的为中小微型企 </w:t>
      </w:r>
    </w:p>
    <w:p w14:paraId="7A7C09BC">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业。其中，从业人员100人及以上，且营业收入1000万元及以上的为中型企业；从业人员20人及以上，且营业收入100万元及以上的为小型企业；从业人员20人以下或营业收入100万元以下的为微型企业。 </w:t>
      </w:r>
    </w:p>
    <w:p w14:paraId="038E7C38">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0C401AD5">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 </w:t>
      </w:r>
    </w:p>
    <w:p w14:paraId="1252107C">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业。其中，从业人员100人及以上，且营业收入2000万元及以上的为中型企业；从业人员10人及以上，且营业收入100万元及以上的为小型企业；从业人员10人以下或营业收入100万元以下的为微型企业。 </w:t>
      </w:r>
    </w:p>
    <w:p w14:paraId="714F13E0">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 </w:t>
      </w:r>
    </w:p>
    <w:p w14:paraId="01BA6660">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业。其中，从业人员100人及以上，且营业收入2000万元及以上的为中型企业；从业人员10人及以上，且营业收入100万元及以上的为小型企业；从业人员10人以下或营业收入100万元以下的为微型企业。 </w:t>
      </w:r>
    </w:p>
    <w:p w14:paraId="66F616DD">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 </w:t>
      </w:r>
    </w:p>
    <w:p w14:paraId="09D7F9A7">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小微型企业。其中，从业人员100人及以上，且营业收入1000万元及以上的为中型企业；从业人员10人及以上，且营业收入100万元及以上的为小型企业；从业人员10人以下或营业收入100万元以下的为微型企业。 </w:t>
      </w:r>
    </w:p>
    <w:p w14:paraId="3D912C39">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 </w:t>
      </w:r>
    </w:p>
    <w:p w14:paraId="055A5529">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7581C030">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0DB6D76B">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（十四）物业管理。从业人员1000人以下或营业收入5000万元以下的为中小微 </w:t>
      </w:r>
    </w:p>
    <w:p w14:paraId="3A72DF97">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型企业。其中，从业人员300人及以上，且营业收入1000万元及以上的为中型企业；从业人员100人及以上，且营业收入500万元及以上的为小型企业；从业人员100人以下或营业收入500万元以下的为微型企业。 </w:t>
      </w:r>
    </w:p>
    <w:p w14:paraId="63F874C7">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4DA4D6BA">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（十六）其他未列明行业。从业人员300人以下的为中小微型企业。其中，从业 </w:t>
      </w:r>
    </w:p>
    <w:p w14:paraId="47CE6EA4">
      <w:pPr>
        <w:spacing w:line="360" w:lineRule="auto"/>
        <w:ind w:firstLine="480" w:firstLineChars="200"/>
        <w:rPr>
          <w:rFonts w:hint="eastAsia" w:ascii="宋体" w:hAnsi="宋体" w:cs="宋体"/>
          <w:color w:val="auto"/>
          <w:sz w:val="24"/>
        </w:rPr>
      </w:pPr>
      <w:r>
        <w:rPr>
          <w:rFonts w:hint="eastAsia" w:ascii="宋体" w:hAnsi="宋体" w:cs="宋体"/>
          <w:color w:val="auto"/>
          <w:sz w:val="24"/>
        </w:rPr>
        <w:t>人员100人及以上的为中型企业；从业人员10人及以上的为小型企业；从业人员10人以下的为微型企业。</w:t>
      </w:r>
    </w:p>
    <w:p w14:paraId="557777F2">
      <w:pPr>
        <w:pStyle w:val="4"/>
        <w:spacing w:before="0"/>
        <w:rPr>
          <w:rFonts w:hint="eastAsia" w:asciiTheme="minorEastAsia" w:hAnsiTheme="minorEastAsia" w:eastAsiaTheme="minorEastAsia" w:cstheme="minorEastAsia"/>
          <w:color w:val="auto"/>
          <w:sz w:val="24"/>
          <w:szCs w:val="24"/>
        </w:rPr>
      </w:pPr>
      <w:bookmarkStart w:id="332" w:name="_Toc22290"/>
      <w:r>
        <w:rPr>
          <w:rFonts w:hint="eastAsia" w:asciiTheme="minorEastAsia" w:hAnsiTheme="minorEastAsia" w:eastAsiaTheme="minorEastAsia" w:cstheme="minorEastAsia"/>
          <w:color w:val="auto"/>
          <w:sz w:val="24"/>
          <w:szCs w:val="24"/>
        </w:rPr>
        <w:t>4.2监狱企业</w:t>
      </w:r>
      <w:bookmarkEnd w:id="329"/>
      <w:bookmarkEnd w:id="330"/>
      <w:bookmarkEnd w:id="331"/>
      <w:bookmarkEnd w:id="332"/>
    </w:p>
    <w:p w14:paraId="63416E1B">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029F0ED">
      <w:pPr>
        <w:pStyle w:val="4"/>
        <w:spacing w:before="0"/>
        <w:rPr>
          <w:rFonts w:hint="eastAsia" w:asciiTheme="minorEastAsia" w:hAnsiTheme="minorEastAsia" w:eastAsiaTheme="minorEastAsia" w:cstheme="minorEastAsia"/>
          <w:color w:val="auto"/>
          <w:sz w:val="24"/>
          <w:szCs w:val="24"/>
        </w:rPr>
      </w:pPr>
      <w:bookmarkStart w:id="333" w:name="_Toc19200"/>
      <w:bookmarkStart w:id="334" w:name="_Toc18529"/>
      <w:bookmarkStart w:id="335" w:name="_Toc14287"/>
      <w:bookmarkStart w:id="336" w:name="_Toc8168243"/>
      <w:r>
        <w:rPr>
          <w:rFonts w:hint="eastAsia" w:asciiTheme="minorEastAsia" w:hAnsiTheme="minorEastAsia" w:eastAsiaTheme="minorEastAsia" w:cstheme="minorEastAsia"/>
          <w:color w:val="auto"/>
          <w:sz w:val="24"/>
          <w:szCs w:val="24"/>
        </w:rPr>
        <w:t>4.3残疾人福利性单位</w:t>
      </w:r>
      <w:bookmarkEnd w:id="333"/>
      <w:bookmarkEnd w:id="334"/>
      <w:bookmarkEnd w:id="335"/>
      <w:bookmarkEnd w:id="336"/>
    </w:p>
    <w:p w14:paraId="440C9C40">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4.3.1根据《财政部 民政部 中国残疾人联合会关于促进残疾人就业政府采购政策的通知》，享受政府采购支持政策的残疾人福利性单位应当同时满足以下条件：</w:t>
      </w:r>
    </w:p>
    <w:p w14:paraId="32D3092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（1）安置的残疾人占本单位在职职工人数的比例不低于25%（含25%），并且安置的残疾人人数不少于10人（含10人）；</w:t>
      </w:r>
    </w:p>
    <w:p w14:paraId="65132F6D">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（2）依法与安置的每位残疾人签订了一年以上（含一年）的劳动合同或服务协议；</w:t>
      </w:r>
    </w:p>
    <w:p w14:paraId="2C0F5804">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（3）为安置的每位残疾人按月足额缴纳了基本养老保险、基本医疗保险、失业保险、工伤保险和生育保险等社会保险费；</w:t>
      </w:r>
    </w:p>
    <w:p w14:paraId="63B06F1D">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（4）通过银行等金融机构向安置的每位残疾人，按月支付了不低于单位所在区县适用的经省级人民政府批准的月最低工资标准的工资；</w:t>
      </w:r>
    </w:p>
    <w:p w14:paraId="02A38754">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（5）提供本单位制造的货物、承担的工程或者服务（以下简称产品），或者提供其他残疾人福利性单位制造的货物（不包括使用非残疾人福利性单位注册商标的货物）。</w:t>
      </w:r>
    </w:p>
    <w:p w14:paraId="568B422F">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76E669">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4.3.2符合条件的残疾人福利性单位在参加政府采购活动时，应当提供《残疾人福利性单位声明函》，并对声明的真实性负责。</w:t>
      </w:r>
      <w:bookmarkEnd w:id="321"/>
      <w:bookmarkEnd w:id="328"/>
    </w:p>
    <w:p w14:paraId="677212BF">
      <w:pPr>
        <w:pStyle w:val="4"/>
        <w:spacing w:before="0"/>
        <w:rPr>
          <w:rFonts w:hint="eastAsia" w:asciiTheme="minorEastAsia" w:hAnsiTheme="minorEastAsia" w:eastAsiaTheme="minorEastAsia" w:cstheme="minorEastAsia"/>
          <w:color w:val="auto"/>
          <w:sz w:val="24"/>
          <w:szCs w:val="24"/>
        </w:rPr>
      </w:pPr>
      <w:bookmarkStart w:id="337" w:name="_Toc19550"/>
      <w:bookmarkStart w:id="338" w:name="_Toc8527"/>
      <w:bookmarkStart w:id="339" w:name="_Toc21314"/>
      <w:bookmarkStart w:id="340" w:name="_Toc108118841"/>
      <w:r>
        <w:rPr>
          <w:rFonts w:hint="eastAsia" w:asciiTheme="minorEastAsia" w:hAnsiTheme="minorEastAsia" w:eastAsiaTheme="minorEastAsia" w:cstheme="minorEastAsia"/>
          <w:color w:val="auto"/>
          <w:sz w:val="24"/>
          <w:szCs w:val="24"/>
        </w:rPr>
        <w:t>4.4节能、环境标志产品</w:t>
      </w:r>
      <w:bookmarkEnd w:id="337"/>
      <w:bookmarkEnd w:id="338"/>
      <w:bookmarkEnd w:id="339"/>
      <w:bookmarkEnd w:id="340"/>
    </w:p>
    <w:p w14:paraId="1E4629F7">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4.4.1节能产品是指列入财政部和国家发改委公布的《节能产品政府采购品目清单》中的产品。政府强制采购节能产品是指《节能产品政府采购品目清单》中以“★”标准类别的产品。</w:t>
      </w:r>
    </w:p>
    <w:p w14:paraId="04C4B6E2">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4.4.2环境标志产品是列入财政部、生态环境部公布的《环境标志产品政府采购品目清单》中的产品。</w:t>
      </w:r>
    </w:p>
    <w:p w14:paraId="09A8C0E4">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4.4.3本项目采购清单中若有政府强制采购节能产品，只接受获得国家确定的认证机构出具的、处于有效期之内的节能产品认证证书的产品，且产品认证应依据《节能产品政府采购品目清单》中相关标准的最新版本，依据国家标准中二级能效（水效）指标。</w:t>
      </w:r>
    </w:p>
    <w:p w14:paraId="29FC9491">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4.4.5</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提供从产品为节能/环境标志产品时，应在投标文件中承诺，函盖产品具有国家确定的认证机构出具的、处于有效期之内的节能产品/环境标志产品认证证书，且产品认证依据《节能产品政府采购品目清单》/《环境标志产品政府采购品目清单》中相关标准的最新版本，或可直接提供符合要求的节能产品/环境标志产品认证证书复印件。</w:t>
      </w:r>
    </w:p>
    <w:p w14:paraId="59DC38D2">
      <w:pPr>
        <w:pStyle w:val="4"/>
        <w:spacing w:before="0"/>
        <w:rPr>
          <w:rFonts w:hint="eastAsia" w:asciiTheme="minorEastAsia" w:hAnsiTheme="minorEastAsia" w:eastAsiaTheme="minorEastAsia" w:cstheme="minorEastAsia"/>
          <w:color w:val="auto"/>
          <w:sz w:val="24"/>
          <w:szCs w:val="24"/>
        </w:rPr>
      </w:pPr>
      <w:bookmarkStart w:id="341" w:name="_Toc32659"/>
      <w:bookmarkStart w:id="342" w:name="_Toc26075"/>
      <w:bookmarkStart w:id="343" w:name="_Toc22023"/>
      <w:bookmarkStart w:id="344" w:name="_Toc22845"/>
      <w:r>
        <w:rPr>
          <w:rFonts w:hint="eastAsia" w:asciiTheme="minorEastAsia" w:hAnsiTheme="minorEastAsia" w:eastAsiaTheme="minorEastAsia" w:cstheme="minorEastAsia"/>
          <w:color w:val="auto"/>
          <w:sz w:val="24"/>
          <w:szCs w:val="24"/>
        </w:rPr>
        <w:t>4.5国家强制认证产品</w:t>
      </w:r>
      <w:bookmarkEnd w:id="341"/>
      <w:bookmarkEnd w:id="342"/>
      <w:bookmarkEnd w:id="343"/>
      <w:bookmarkEnd w:id="344"/>
    </w:p>
    <w:p w14:paraId="707CA854">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采购产品属于《强制性产品认证目录描述与界定表（2020年修订版）》内，根据《中华人民共和国认证认可条例》及《强制性产品认证管理规定》(国家质量监督检验检疫总局第117号)规定，提供相关证明材料。</w:t>
      </w:r>
    </w:p>
    <w:sectPr>
      <w:headerReference r:id="rId8" w:type="default"/>
      <w:footerReference r:id="rId9" w:type="default"/>
      <w:pgSz w:w="11906" w:h="16838"/>
      <w:pgMar w:top="1247" w:right="1247" w:bottom="1247" w:left="1247" w:header="850"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金山简黑体">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全真簡粗明">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14BA">
    <w:pPr>
      <w:pStyle w:val="26"/>
    </w:pPr>
    <w:r>
      <mc:AlternateContent>
        <mc:Choice Requires="wps">
          <w:drawing>
            <wp:anchor distT="0" distB="0" distL="114300" distR="114300" simplePos="0" relativeHeight="251659264" behindDoc="0" locked="0" layoutInCell="1" allowOverlap="1">
              <wp:simplePos x="0" y="0"/>
              <wp:positionH relativeFrom="margin">
                <wp:posOffset>5455920</wp:posOffset>
              </wp:positionH>
              <wp:positionV relativeFrom="paragraph">
                <wp:posOffset>153035</wp:posOffset>
              </wp:positionV>
              <wp:extent cx="76200" cy="182245"/>
              <wp:effectExtent l="0" t="0" r="0" b="0"/>
              <wp:wrapNone/>
              <wp:docPr id="5" name="文本框 8"/>
              <wp:cNvGraphicFramePr/>
              <a:graphic xmlns:a="http://schemas.openxmlformats.org/drawingml/2006/main">
                <a:graphicData uri="http://schemas.microsoft.com/office/word/2010/wordprocessingShape">
                  <wps:wsp>
                    <wps:cNvSpPr txBox="1"/>
                    <wps:spPr>
                      <a:xfrm flipV="1">
                        <a:off x="0" y="0"/>
                        <a:ext cx="76200" cy="182245"/>
                      </a:xfrm>
                      <a:prstGeom prst="rect">
                        <a:avLst/>
                      </a:prstGeom>
                      <a:noFill/>
                      <a:ln>
                        <a:noFill/>
                      </a:ln>
                    </wps:spPr>
                    <wps:txbx>
                      <w:txbxContent>
                        <w:p w14:paraId="19D7D168"/>
                      </w:txbxContent>
                    </wps:txbx>
                    <wps:bodyPr lIns="0" tIns="0" rIns="0" bIns="0"/>
                  </wps:wsp>
                </a:graphicData>
              </a:graphic>
            </wp:anchor>
          </w:drawing>
        </mc:Choice>
        <mc:Fallback>
          <w:pict>
            <v:shape id="文本框 8" o:spid="_x0000_s1026" o:spt="202" type="#_x0000_t202" style="position:absolute;left:0pt;flip:y;margin-left:429.6pt;margin-top:12.05pt;height:14.35pt;width:6pt;mso-position-horizontal-relative:margin;z-index:251659264;mso-width-relative:page;mso-height-relative:page;" filled="f" stroked="f" coordsize="21600,21600" o:gfxdata="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SImUR2AAAAAkBAAAPAAAAAAAAAAEAIAAAACIAAABkcnMvZG93bnJldi54bWxQSwECFAAU&#10;AAAACACHTuJAgM0xtLgBAABuAwAADgAAAAAAAAABACAAAAAnAQAAZHJzL2Uyb0RvYy54bWxQSwUG&#10;AAAAAAYABgBZAQAAUQUAAAAA&#10;">
              <v:fill on="f" focussize="0,0"/>
              <v:stroke on="f"/>
              <v:imagedata o:title=""/>
              <o:lock v:ext="edit" aspectratio="f"/>
              <v:textbox inset="0mm,0mm,0mm,0mm">
                <w:txbxContent>
                  <w:p w14:paraId="19D7D16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4C9DF">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BB6B4">
    <w:pPr>
      <w:jc w:val="cente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A8F2C">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67A8F2C">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AE2C">
    <w:pPr>
      <w:pStyle w:val="2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A9A33">
                          <w:pPr>
                            <w:pStyle w:val="26"/>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4A9A33">
                    <w:pPr>
                      <w:pStyle w:val="26"/>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92BCB">
    <w:pPr>
      <w:pStyle w:val="28"/>
      <w:pBdr>
        <w:bottom w:val="double" w:color="auto" w:sz="8" w:space="1"/>
      </w:pBdr>
      <w:tabs>
        <w:tab w:val="left" w:pos="9514"/>
      </w:tabs>
      <w:ind w:left="1620" w:hanging="1620" w:hangingChars="900"/>
      <w:jc w:val="both"/>
      <w:rPr>
        <w:rFonts w:hint="eastAsia" w:ascii="宋体" w:hAnsi="宋体" w:cs="宋体"/>
      </w:rPr>
    </w:pPr>
    <w:r>
      <w:rPr>
        <w:rFonts w:hint="eastAsia" w:ascii="宋体" w:hAnsi="宋体" w:cs="宋体"/>
        <w:lang w:eastAsia="zh-CN"/>
      </w:rPr>
      <w:t>云南省玉溪工业财贸学校信息通信网络运行管理实训室建设采购项目</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124A">
    <w:pPr>
      <w:pStyle w:val="28"/>
      <w:pBdr>
        <w:top w:val="none" w:color="auto" w:sz="0" w:space="1"/>
        <w:left w:val="none" w:color="auto" w:sz="0" w:space="4"/>
        <w:bottom w:val="none" w:color="auto" w:sz="0" w:space="1"/>
        <w:right w:val="none" w:color="auto" w:sz="0" w:space="4"/>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CD576">
    <w:pPr>
      <w:pStyle w:val="28"/>
      <w:pBdr>
        <w:bottom w:val="double" w:color="auto" w:sz="8" w:space="1"/>
      </w:pBdr>
      <w:jc w:val="both"/>
    </w:pPr>
    <w:r>
      <w:rPr>
        <w:rFonts w:hint="eastAsia" w:ascii="宋体" w:hAnsi="宋体" w:cs="宋体"/>
        <w:lang w:eastAsia="zh-CN"/>
      </w:rPr>
      <w:t>云南省玉溪工业财贸学校信息通信网络运行管理实训室建设采购项目</w:t>
    </w:r>
    <w:r>
      <w:rPr>
        <w:rFonts w:hint="eastAsia" w:ascii="宋体" w:hAnsi="宋体" w:cs="宋体"/>
        <w:lang w:val="en-US" w:eastAsia="zh-CN"/>
      </w:rPr>
      <w:t xml:space="preserve">         </w:t>
    </w:r>
    <w:r>
      <w:rPr>
        <w:rFonts w:hint="eastAsia" w:ascii="宋体" w:hAnsi="宋体" w:cs="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533"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460" w:hanging="601"/>
      </w:pPr>
      <w:rPr>
        <w:rFonts w:hint="default"/>
        <w:lang w:val="zh-CN" w:eastAsia="zh-CN" w:bidi="zh-CN"/>
      </w:rPr>
    </w:lvl>
    <w:lvl w:ilvl="2" w:tentative="0">
      <w:start w:val="0"/>
      <w:numFmt w:val="bullet"/>
      <w:lvlText w:val="•"/>
      <w:lvlJc w:val="left"/>
      <w:pPr>
        <w:ind w:left="3381" w:hanging="601"/>
      </w:pPr>
      <w:rPr>
        <w:rFonts w:hint="default"/>
        <w:lang w:val="zh-CN" w:eastAsia="zh-CN" w:bidi="zh-CN"/>
      </w:rPr>
    </w:lvl>
    <w:lvl w:ilvl="3" w:tentative="0">
      <w:start w:val="0"/>
      <w:numFmt w:val="bullet"/>
      <w:lvlText w:val="•"/>
      <w:lvlJc w:val="left"/>
      <w:pPr>
        <w:ind w:left="4301" w:hanging="601"/>
      </w:pPr>
      <w:rPr>
        <w:rFonts w:hint="default"/>
        <w:lang w:val="zh-CN" w:eastAsia="zh-CN" w:bidi="zh-CN"/>
      </w:rPr>
    </w:lvl>
    <w:lvl w:ilvl="4" w:tentative="0">
      <w:start w:val="0"/>
      <w:numFmt w:val="bullet"/>
      <w:lvlText w:val="•"/>
      <w:lvlJc w:val="left"/>
      <w:pPr>
        <w:ind w:left="5222" w:hanging="601"/>
      </w:pPr>
      <w:rPr>
        <w:rFonts w:hint="default"/>
        <w:lang w:val="zh-CN" w:eastAsia="zh-CN" w:bidi="zh-CN"/>
      </w:rPr>
    </w:lvl>
    <w:lvl w:ilvl="5" w:tentative="0">
      <w:start w:val="0"/>
      <w:numFmt w:val="bullet"/>
      <w:lvlText w:val="•"/>
      <w:lvlJc w:val="left"/>
      <w:pPr>
        <w:ind w:left="6143" w:hanging="601"/>
      </w:pPr>
      <w:rPr>
        <w:rFonts w:hint="default"/>
        <w:lang w:val="zh-CN" w:eastAsia="zh-CN" w:bidi="zh-CN"/>
      </w:rPr>
    </w:lvl>
    <w:lvl w:ilvl="6" w:tentative="0">
      <w:start w:val="0"/>
      <w:numFmt w:val="bullet"/>
      <w:lvlText w:val="•"/>
      <w:lvlJc w:val="left"/>
      <w:pPr>
        <w:ind w:left="7063" w:hanging="601"/>
      </w:pPr>
      <w:rPr>
        <w:rFonts w:hint="default"/>
        <w:lang w:val="zh-CN" w:eastAsia="zh-CN" w:bidi="zh-CN"/>
      </w:rPr>
    </w:lvl>
    <w:lvl w:ilvl="7" w:tentative="0">
      <w:start w:val="0"/>
      <w:numFmt w:val="bullet"/>
      <w:lvlText w:val="•"/>
      <w:lvlJc w:val="left"/>
      <w:pPr>
        <w:ind w:left="7984" w:hanging="601"/>
      </w:pPr>
      <w:rPr>
        <w:rFonts w:hint="default"/>
        <w:lang w:val="zh-CN" w:eastAsia="zh-CN" w:bidi="zh-CN"/>
      </w:rPr>
    </w:lvl>
    <w:lvl w:ilvl="8" w:tentative="0">
      <w:start w:val="0"/>
      <w:numFmt w:val="bullet"/>
      <w:lvlText w:val="•"/>
      <w:lvlJc w:val="left"/>
      <w:pPr>
        <w:ind w:left="8904" w:hanging="601"/>
      </w:pPr>
      <w:rPr>
        <w:rFonts w:hint="default"/>
        <w:lang w:val="zh-CN" w:eastAsia="zh-CN" w:bidi="zh-CN"/>
      </w:rPr>
    </w:lvl>
  </w:abstractNum>
  <w:abstractNum w:abstractNumId="1">
    <w:nsid w:val="249BCE84"/>
    <w:multiLevelType w:val="singleLevel"/>
    <w:tmpl w:val="249BCE84"/>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isplayBackgroundShape w:val="1"/>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DU5YzQwNmZmYjBjODI1YWI4NjljYzMxMTVmNDQifQ=="/>
  </w:docVars>
  <w:rsids>
    <w:rsidRoot w:val="00172A27"/>
    <w:rsid w:val="00000583"/>
    <w:rsid w:val="00000DB9"/>
    <w:rsid w:val="00001D15"/>
    <w:rsid w:val="00001D57"/>
    <w:rsid w:val="0000208E"/>
    <w:rsid w:val="0000310B"/>
    <w:rsid w:val="000036BA"/>
    <w:rsid w:val="00003913"/>
    <w:rsid w:val="00004FBB"/>
    <w:rsid w:val="00006E60"/>
    <w:rsid w:val="00010A4F"/>
    <w:rsid w:val="00011174"/>
    <w:rsid w:val="00013B47"/>
    <w:rsid w:val="00015278"/>
    <w:rsid w:val="000166AC"/>
    <w:rsid w:val="000218A1"/>
    <w:rsid w:val="000240CF"/>
    <w:rsid w:val="00025128"/>
    <w:rsid w:val="0002582D"/>
    <w:rsid w:val="000260E9"/>
    <w:rsid w:val="00026478"/>
    <w:rsid w:val="00027683"/>
    <w:rsid w:val="0003012D"/>
    <w:rsid w:val="00031535"/>
    <w:rsid w:val="00031D40"/>
    <w:rsid w:val="00032A06"/>
    <w:rsid w:val="00032CC2"/>
    <w:rsid w:val="00036C5B"/>
    <w:rsid w:val="00040B5D"/>
    <w:rsid w:val="00040D02"/>
    <w:rsid w:val="00042146"/>
    <w:rsid w:val="0004345F"/>
    <w:rsid w:val="0004449A"/>
    <w:rsid w:val="000448A7"/>
    <w:rsid w:val="00044C52"/>
    <w:rsid w:val="000451C9"/>
    <w:rsid w:val="00045CD7"/>
    <w:rsid w:val="0004650F"/>
    <w:rsid w:val="00046F29"/>
    <w:rsid w:val="0004770E"/>
    <w:rsid w:val="00051754"/>
    <w:rsid w:val="000524BB"/>
    <w:rsid w:val="000535E0"/>
    <w:rsid w:val="0005412C"/>
    <w:rsid w:val="00055DD1"/>
    <w:rsid w:val="00056C34"/>
    <w:rsid w:val="00056CAB"/>
    <w:rsid w:val="000610AC"/>
    <w:rsid w:val="00062063"/>
    <w:rsid w:val="00062C89"/>
    <w:rsid w:val="00062E82"/>
    <w:rsid w:val="0006341E"/>
    <w:rsid w:val="0006413E"/>
    <w:rsid w:val="00065286"/>
    <w:rsid w:val="00066C5D"/>
    <w:rsid w:val="00066C9D"/>
    <w:rsid w:val="000671BB"/>
    <w:rsid w:val="00067A6D"/>
    <w:rsid w:val="00071493"/>
    <w:rsid w:val="00071F8D"/>
    <w:rsid w:val="00072343"/>
    <w:rsid w:val="00073050"/>
    <w:rsid w:val="0007341A"/>
    <w:rsid w:val="00076216"/>
    <w:rsid w:val="00076494"/>
    <w:rsid w:val="00077740"/>
    <w:rsid w:val="00080112"/>
    <w:rsid w:val="00080C62"/>
    <w:rsid w:val="000827D2"/>
    <w:rsid w:val="000828C7"/>
    <w:rsid w:val="00083313"/>
    <w:rsid w:val="0008391A"/>
    <w:rsid w:val="000875F4"/>
    <w:rsid w:val="00090397"/>
    <w:rsid w:val="00092C1C"/>
    <w:rsid w:val="00092CBA"/>
    <w:rsid w:val="00093275"/>
    <w:rsid w:val="000937DF"/>
    <w:rsid w:val="00093A38"/>
    <w:rsid w:val="00095067"/>
    <w:rsid w:val="000961A8"/>
    <w:rsid w:val="000964E0"/>
    <w:rsid w:val="00097220"/>
    <w:rsid w:val="000A0BC7"/>
    <w:rsid w:val="000A10BF"/>
    <w:rsid w:val="000A2AC4"/>
    <w:rsid w:val="000A5E72"/>
    <w:rsid w:val="000A677C"/>
    <w:rsid w:val="000A7C1C"/>
    <w:rsid w:val="000B1E4E"/>
    <w:rsid w:val="000B1F0E"/>
    <w:rsid w:val="000B243F"/>
    <w:rsid w:val="000B5218"/>
    <w:rsid w:val="000B574C"/>
    <w:rsid w:val="000B5B08"/>
    <w:rsid w:val="000C1581"/>
    <w:rsid w:val="000C1F63"/>
    <w:rsid w:val="000C4CFD"/>
    <w:rsid w:val="000C6224"/>
    <w:rsid w:val="000D13A6"/>
    <w:rsid w:val="000D2DB2"/>
    <w:rsid w:val="000D6D2A"/>
    <w:rsid w:val="000E0A9E"/>
    <w:rsid w:val="000E0C3C"/>
    <w:rsid w:val="000E347D"/>
    <w:rsid w:val="000E457B"/>
    <w:rsid w:val="000E4582"/>
    <w:rsid w:val="000E4708"/>
    <w:rsid w:val="000E7ED9"/>
    <w:rsid w:val="000F104F"/>
    <w:rsid w:val="000F129A"/>
    <w:rsid w:val="000F2E32"/>
    <w:rsid w:val="000F317B"/>
    <w:rsid w:val="000F3C8C"/>
    <w:rsid w:val="000F6355"/>
    <w:rsid w:val="000F6B6E"/>
    <w:rsid w:val="0010066B"/>
    <w:rsid w:val="00100DA4"/>
    <w:rsid w:val="001011FD"/>
    <w:rsid w:val="001033EC"/>
    <w:rsid w:val="00103D33"/>
    <w:rsid w:val="00104F48"/>
    <w:rsid w:val="001052AD"/>
    <w:rsid w:val="00105365"/>
    <w:rsid w:val="00105AEC"/>
    <w:rsid w:val="00107FF5"/>
    <w:rsid w:val="001110DC"/>
    <w:rsid w:val="00111C8D"/>
    <w:rsid w:val="0011243F"/>
    <w:rsid w:val="00113BC4"/>
    <w:rsid w:val="001141A1"/>
    <w:rsid w:val="001147AB"/>
    <w:rsid w:val="00114F28"/>
    <w:rsid w:val="001164B8"/>
    <w:rsid w:val="00121A2D"/>
    <w:rsid w:val="0012249E"/>
    <w:rsid w:val="001226B7"/>
    <w:rsid w:val="001237F2"/>
    <w:rsid w:val="00125FB0"/>
    <w:rsid w:val="00126F52"/>
    <w:rsid w:val="0013047F"/>
    <w:rsid w:val="00132A0B"/>
    <w:rsid w:val="00136783"/>
    <w:rsid w:val="0013787F"/>
    <w:rsid w:val="00140033"/>
    <w:rsid w:val="001407FD"/>
    <w:rsid w:val="001420C9"/>
    <w:rsid w:val="00142576"/>
    <w:rsid w:val="001429EA"/>
    <w:rsid w:val="00143494"/>
    <w:rsid w:val="0014457B"/>
    <w:rsid w:val="00146D70"/>
    <w:rsid w:val="00147B7F"/>
    <w:rsid w:val="0015050F"/>
    <w:rsid w:val="00150C25"/>
    <w:rsid w:val="00151B48"/>
    <w:rsid w:val="00152040"/>
    <w:rsid w:val="0015224A"/>
    <w:rsid w:val="001534FE"/>
    <w:rsid w:val="0015367E"/>
    <w:rsid w:val="00153DB5"/>
    <w:rsid w:val="00157B0D"/>
    <w:rsid w:val="00160D46"/>
    <w:rsid w:val="00161DDC"/>
    <w:rsid w:val="00162354"/>
    <w:rsid w:val="001623BF"/>
    <w:rsid w:val="00162CDB"/>
    <w:rsid w:val="00165C3A"/>
    <w:rsid w:val="0016689E"/>
    <w:rsid w:val="00167409"/>
    <w:rsid w:val="00167518"/>
    <w:rsid w:val="00170AD0"/>
    <w:rsid w:val="00171665"/>
    <w:rsid w:val="00172A27"/>
    <w:rsid w:val="00173330"/>
    <w:rsid w:val="00175251"/>
    <w:rsid w:val="00176BCD"/>
    <w:rsid w:val="00180408"/>
    <w:rsid w:val="001825F4"/>
    <w:rsid w:val="001833F7"/>
    <w:rsid w:val="00183FA8"/>
    <w:rsid w:val="00186330"/>
    <w:rsid w:val="00191A30"/>
    <w:rsid w:val="00192913"/>
    <w:rsid w:val="001935F2"/>
    <w:rsid w:val="00194009"/>
    <w:rsid w:val="0019551F"/>
    <w:rsid w:val="00197651"/>
    <w:rsid w:val="001A1403"/>
    <w:rsid w:val="001A166A"/>
    <w:rsid w:val="001A30C1"/>
    <w:rsid w:val="001A3199"/>
    <w:rsid w:val="001A3C3B"/>
    <w:rsid w:val="001A3FF0"/>
    <w:rsid w:val="001A424B"/>
    <w:rsid w:val="001A45DA"/>
    <w:rsid w:val="001A541E"/>
    <w:rsid w:val="001A7593"/>
    <w:rsid w:val="001B1604"/>
    <w:rsid w:val="001B46A7"/>
    <w:rsid w:val="001B7DD2"/>
    <w:rsid w:val="001B7FBA"/>
    <w:rsid w:val="001C1F41"/>
    <w:rsid w:val="001C5BD0"/>
    <w:rsid w:val="001C6922"/>
    <w:rsid w:val="001C7796"/>
    <w:rsid w:val="001C77AD"/>
    <w:rsid w:val="001D0835"/>
    <w:rsid w:val="001D0E6B"/>
    <w:rsid w:val="001D1402"/>
    <w:rsid w:val="001D1468"/>
    <w:rsid w:val="001D2431"/>
    <w:rsid w:val="001D2BE1"/>
    <w:rsid w:val="001D2FD9"/>
    <w:rsid w:val="001D2FED"/>
    <w:rsid w:val="001D46D4"/>
    <w:rsid w:val="001D4E1F"/>
    <w:rsid w:val="001D4FFC"/>
    <w:rsid w:val="001D5234"/>
    <w:rsid w:val="001D558F"/>
    <w:rsid w:val="001D6937"/>
    <w:rsid w:val="001D7B47"/>
    <w:rsid w:val="001E04EE"/>
    <w:rsid w:val="001E14AE"/>
    <w:rsid w:val="001E455B"/>
    <w:rsid w:val="001E49E2"/>
    <w:rsid w:val="001E4A9F"/>
    <w:rsid w:val="001E4D01"/>
    <w:rsid w:val="001E4DC3"/>
    <w:rsid w:val="001E4F6D"/>
    <w:rsid w:val="001E5E29"/>
    <w:rsid w:val="001E6966"/>
    <w:rsid w:val="001F12CE"/>
    <w:rsid w:val="001F2179"/>
    <w:rsid w:val="001F2E37"/>
    <w:rsid w:val="001F356D"/>
    <w:rsid w:val="001F3CD7"/>
    <w:rsid w:val="001F572F"/>
    <w:rsid w:val="001F6614"/>
    <w:rsid w:val="001F6CB8"/>
    <w:rsid w:val="001F6CF5"/>
    <w:rsid w:val="001F7568"/>
    <w:rsid w:val="0020007A"/>
    <w:rsid w:val="00200D61"/>
    <w:rsid w:val="00207974"/>
    <w:rsid w:val="00210CC2"/>
    <w:rsid w:val="00210E2C"/>
    <w:rsid w:val="002118C0"/>
    <w:rsid w:val="00211A2E"/>
    <w:rsid w:val="00211B11"/>
    <w:rsid w:val="002124CB"/>
    <w:rsid w:val="002149AF"/>
    <w:rsid w:val="00215260"/>
    <w:rsid w:val="00217C85"/>
    <w:rsid w:val="00221EAF"/>
    <w:rsid w:val="002239F0"/>
    <w:rsid w:val="00226315"/>
    <w:rsid w:val="00226EC0"/>
    <w:rsid w:val="00227635"/>
    <w:rsid w:val="00227C7D"/>
    <w:rsid w:val="00230155"/>
    <w:rsid w:val="002306D7"/>
    <w:rsid w:val="00231235"/>
    <w:rsid w:val="00231D89"/>
    <w:rsid w:val="0023489E"/>
    <w:rsid w:val="00235FC7"/>
    <w:rsid w:val="00237596"/>
    <w:rsid w:val="002403E9"/>
    <w:rsid w:val="00240E32"/>
    <w:rsid w:val="002417F1"/>
    <w:rsid w:val="002420F3"/>
    <w:rsid w:val="002427ED"/>
    <w:rsid w:val="0024331C"/>
    <w:rsid w:val="00243A69"/>
    <w:rsid w:val="00243B76"/>
    <w:rsid w:val="00243D22"/>
    <w:rsid w:val="002441F0"/>
    <w:rsid w:val="00245761"/>
    <w:rsid w:val="00246C86"/>
    <w:rsid w:val="00247D03"/>
    <w:rsid w:val="00247ECF"/>
    <w:rsid w:val="00251710"/>
    <w:rsid w:val="00251D5A"/>
    <w:rsid w:val="00252186"/>
    <w:rsid w:val="00252947"/>
    <w:rsid w:val="00255D56"/>
    <w:rsid w:val="002560CD"/>
    <w:rsid w:val="00260430"/>
    <w:rsid w:val="00260A94"/>
    <w:rsid w:val="002613CE"/>
    <w:rsid w:val="002616AA"/>
    <w:rsid w:val="0026230E"/>
    <w:rsid w:val="00264DB1"/>
    <w:rsid w:val="002663DE"/>
    <w:rsid w:val="00267076"/>
    <w:rsid w:val="002702C1"/>
    <w:rsid w:val="0027049D"/>
    <w:rsid w:val="0027248E"/>
    <w:rsid w:val="00272A0C"/>
    <w:rsid w:val="002739EC"/>
    <w:rsid w:val="00273D46"/>
    <w:rsid w:val="00274CF2"/>
    <w:rsid w:val="00275C00"/>
    <w:rsid w:val="00275C64"/>
    <w:rsid w:val="0027736D"/>
    <w:rsid w:val="00280534"/>
    <w:rsid w:val="00281805"/>
    <w:rsid w:val="002838B5"/>
    <w:rsid w:val="00283E77"/>
    <w:rsid w:val="00285D37"/>
    <w:rsid w:val="002876C3"/>
    <w:rsid w:val="002877E6"/>
    <w:rsid w:val="00290FD9"/>
    <w:rsid w:val="002911BD"/>
    <w:rsid w:val="002920D4"/>
    <w:rsid w:val="00292311"/>
    <w:rsid w:val="00293308"/>
    <w:rsid w:val="00293AB3"/>
    <w:rsid w:val="00293D27"/>
    <w:rsid w:val="00294013"/>
    <w:rsid w:val="00294AB6"/>
    <w:rsid w:val="002958AC"/>
    <w:rsid w:val="00296201"/>
    <w:rsid w:val="002A0D7D"/>
    <w:rsid w:val="002A1B78"/>
    <w:rsid w:val="002A3021"/>
    <w:rsid w:val="002A3253"/>
    <w:rsid w:val="002A40DC"/>
    <w:rsid w:val="002A566F"/>
    <w:rsid w:val="002A58FD"/>
    <w:rsid w:val="002A5BAB"/>
    <w:rsid w:val="002A6641"/>
    <w:rsid w:val="002A6DDE"/>
    <w:rsid w:val="002B0105"/>
    <w:rsid w:val="002B1FE9"/>
    <w:rsid w:val="002B4111"/>
    <w:rsid w:val="002B59CE"/>
    <w:rsid w:val="002B783B"/>
    <w:rsid w:val="002C1296"/>
    <w:rsid w:val="002C1B81"/>
    <w:rsid w:val="002C3355"/>
    <w:rsid w:val="002C3CF8"/>
    <w:rsid w:val="002C6107"/>
    <w:rsid w:val="002D28FC"/>
    <w:rsid w:val="002D29C7"/>
    <w:rsid w:val="002D2D09"/>
    <w:rsid w:val="002D318B"/>
    <w:rsid w:val="002D3EB7"/>
    <w:rsid w:val="002D760A"/>
    <w:rsid w:val="002E0A42"/>
    <w:rsid w:val="002E1D66"/>
    <w:rsid w:val="002E246E"/>
    <w:rsid w:val="002E2676"/>
    <w:rsid w:val="002E47C4"/>
    <w:rsid w:val="002E57F3"/>
    <w:rsid w:val="002E5D9B"/>
    <w:rsid w:val="002E665C"/>
    <w:rsid w:val="002E6C4A"/>
    <w:rsid w:val="002E7017"/>
    <w:rsid w:val="002E73E3"/>
    <w:rsid w:val="002F3025"/>
    <w:rsid w:val="002F5058"/>
    <w:rsid w:val="002F54C6"/>
    <w:rsid w:val="002F5B21"/>
    <w:rsid w:val="003003E7"/>
    <w:rsid w:val="0030158E"/>
    <w:rsid w:val="00301765"/>
    <w:rsid w:val="00301C87"/>
    <w:rsid w:val="003020F5"/>
    <w:rsid w:val="0030293A"/>
    <w:rsid w:val="0030479E"/>
    <w:rsid w:val="003079D3"/>
    <w:rsid w:val="003105C7"/>
    <w:rsid w:val="00310D65"/>
    <w:rsid w:val="00311006"/>
    <w:rsid w:val="00312072"/>
    <w:rsid w:val="00313A53"/>
    <w:rsid w:val="00313E20"/>
    <w:rsid w:val="00314A2F"/>
    <w:rsid w:val="0031507A"/>
    <w:rsid w:val="00316250"/>
    <w:rsid w:val="00317C71"/>
    <w:rsid w:val="00321C23"/>
    <w:rsid w:val="00321CAB"/>
    <w:rsid w:val="00321F17"/>
    <w:rsid w:val="00322CDE"/>
    <w:rsid w:val="00322F65"/>
    <w:rsid w:val="003237BA"/>
    <w:rsid w:val="003239C0"/>
    <w:rsid w:val="00323F71"/>
    <w:rsid w:val="003253C5"/>
    <w:rsid w:val="00325787"/>
    <w:rsid w:val="00327689"/>
    <w:rsid w:val="00331AEF"/>
    <w:rsid w:val="003321BA"/>
    <w:rsid w:val="00333EB1"/>
    <w:rsid w:val="00333F4D"/>
    <w:rsid w:val="00334631"/>
    <w:rsid w:val="00335900"/>
    <w:rsid w:val="00335F7F"/>
    <w:rsid w:val="003361A0"/>
    <w:rsid w:val="0033627B"/>
    <w:rsid w:val="00336F41"/>
    <w:rsid w:val="003412A9"/>
    <w:rsid w:val="003413C4"/>
    <w:rsid w:val="00345D3A"/>
    <w:rsid w:val="003472A9"/>
    <w:rsid w:val="00351120"/>
    <w:rsid w:val="00353966"/>
    <w:rsid w:val="00353DF5"/>
    <w:rsid w:val="00354DA3"/>
    <w:rsid w:val="0035519A"/>
    <w:rsid w:val="00355999"/>
    <w:rsid w:val="00355CBD"/>
    <w:rsid w:val="003561EB"/>
    <w:rsid w:val="00357105"/>
    <w:rsid w:val="003601A7"/>
    <w:rsid w:val="00360228"/>
    <w:rsid w:val="00361A02"/>
    <w:rsid w:val="0036223A"/>
    <w:rsid w:val="003622FE"/>
    <w:rsid w:val="003660E3"/>
    <w:rsid w:val="0036689E"/>
    <w:rsid w:val="0036709F"/>
    <w:rsid w:val="003674CC"/>
    <w:rsid w:val="003707BD"/>
    <w:rsid w:val="00372383"/>
    <w:rsid w:val="00373024"/>
    <w:rsid w:val="00376750"/>
    <w:rsid w:val="00376877"/>
    <w:rsid w:val="0038082D"/>
    <w:rsid w:val="003810DD"/>
    <w:rsid w:val="003838E6"/>
    <w:rsid w:val="00386F82"/>
    <w:rsid w:val="0039025C"/>
    <w:rsid w:val="00390EA2"/>
    <w:rsid w:val="0039170B"/>
    <w:rsid w:val="00391B37"/>
    <w:rsid w:val="00392843"/>
    <w:rsid w:val="00394241"/>
    <w:rsid w:val="00395DDB"/>
    <w:rsid w:val="0039696B"/>
    <w:rsid w:val="003970E0"/>
    <w:rsid w:val="003A135F"/>
    <w:rsid w:val="003A18F1"/>
    <w:rsid w:val="003A30B3"/>
    <w:rsid w:val="003A3611"/>
    <w:rsid w:val="003A3AEE"/>
    <w:rsid w:val="003A41CA"/>
    <w:rsid w:val="003A4966"/>
    <w:rsid w:val="003A4CFD"/>
    <w:rsid w:val="003A5AE4"/>
    <w:rsid w:val="003A70CE"/>
    <w:rsid w:val="003A72E3"/>
    <w:rsid w:val="003B11EE"/>
    <w:rsid w:val="003B2454"/>
    <w:rsid w:val="003B6582"/>
    <w:rsid w:val="003B7B03"/>
    <w:rsid w:val="003C0B72"/>
    <w:rsid w:val="003C2A6A"/>
    <w:rsid w:val="003C3248"/>
    <w:rsid w:val="003C349C"/>
    <w:rsid w:val="003C363D"/>
    <w:rsid w:val="003C5085"/>
    <w:rsid w:val="003C51FF"/>
    <w:rsid w:val="003C5B68"/>
    <w:rsid w:val="003C6478"/>
    <w:rsid w:val="003D091D"/>
    <w:rsid w:val="003D105D"/>
    <w:rsid w:val="003D212F"/>
    <w:rsid w:val="003D2164"/>
    <w:rsid w:val="003D2224"/>
    <w:rsid w:val="003D2FCA"/>
    <w:rsid w:val="003D3A2F"/>
    <w:rsid w:val="003D4CDB"/>
    <w:rsid w:val="003D5356"/>
    <w:rsid w:val="003D5597"/>
    <w:rsid w:val="003D59D6"/>
    <w:rsid w:val="003E0DFF"/>
    <w:rsid w:val="003E2670"/>
    <w:rsid w:val="003E27F4"/>
    <w:rsid w:val="003E70DD"/>
    <w:rsid w:val="003E7872"/>
    <w:rsid w:val="003F009D"/>
    <w:rsid w:val="003F11C3"/>
    <w:rsid w:val="003F289B"/>
    <w:rsid w:val="003F3AC1"/>
    <w:rsid w:val="003F4C7D"/>
    <w:rsid w:val="003F4CDB"/>
    <w:rsid w:val="003F65D6"/>
    <w:rsid w:val="003F6D47"/>
    <w:rsid w:val="00404A96"/>
    <w:rsid w:val="00405630"/>
    <w:rsid w:val="004062CA"/>
    <w:rsid w:val="004067EB"/>
    <w:rsid w:val="00406BA1"/>
    <w:rsid w:val="004100DD"/>
    <w:rsid w:val="00410F40"/>
    <w:rsid w:val="00412580"/>
    <w:rsid w:val="004127FC"/>
    <w:rsid w:val="00413294"/>
    <w:rsid w:val="00413E4F"/>
    <w:rsid w:val="004143F1"/>
    <w:rsid w:val="004153E8"/>
    <w:rsid w:val="00416FDE"/>
    <w:rsid w:val="004170B2"/>
    <w:rsid w:val="0042010B"/>
    <w:rsid w:val="00423677"/>
    <w:rsid w:val="0042468A"/>
    <w:rsid w:val="0042655D"/>
    <w:rsid w:val="004308C1"/>
    <w:rsid w:val="0043249F"/>
    <w:rsid w:val="0043277C"/>
    <w:rsid w:val="00435E3D"/>
    <w:rsid w:val="00436B47"/>
    <w:rsid w:val="0043754C"/>
    <w:rsid w:val="00442003"/>
    <w:rsid w:val="004420FE"/>
    <w:rsid w:val="004421F1"/>
    <w:rsid w:val="00442B28"/>
    <w:rsid w:val="00445191"/>
    <w:rsid w:val="004473FF"/>
    <w:rsid w:val="00447B3E"/>
    <w:rsid w:val="00452D07"/>
    <w:rsid w:val="00453CA9"/>
    <w:rsid w:val="00454598"/>
    <w:rsid w:val="00454A75"/>
    <w:rsid w:val="00454BF9"/>
    <w:rsid w:val="004574A3"/>
    <w:rsid w:val="0045753A"/>
    <w:rsid w:val="00457C75"/>
    <w:rsid w:val="00460A9F"/>
    <w:rsid w:val="00460AB8"/>
    <w:rsid w:val="00460D42"/>
    <w:rsid w:val="004613D6"/>
    <w:rsid w:val="00461EBA"/>
    <w:rsid w:val="00462379"/>
    <w:rsid w:val="0046284F"/>
    <w:rsid w:val="00463158"/>
    <w:rsid w:val="0046468A"/>
    <w:rsid w:val="004654A9"/>
    <w:rsid w:val="004658DA"/>
    <w:rsid w:val="00465A54"/>
    <w:rsid w:val="00466A00"/>
    <w:rsid w:val="00466A16"/>
    <w:rsid w:val="004709D1"/>
    <w:rsid w:val="00470B19"/>
    <w:rsid w:val="00472A13"/>
    <w:rsid w:val="004736E3"/>
    <w:rsid w:val="0047562A"/>
    <w:rsid w:val="0047737D"/>
    <w:rsid w:val="004779AA"/>
    <w:rsid w:val="004823F5"/>
    <w:rsid w:val="004836F9"/>
    <w:rsid w:val="00483BDD"/>
    <w:rsid w:val="00483F5C"/>
    <w:rsid w:val="00484F66"/>
    <w:rsid w:val="00487E11"/>
    <w:rsid w:val="004906FE"/>
    <w:rsid w:val="00491EC2"/>
    <w:rsid w:val="00491F96"/>
    <w:rsid w:val="0049241D"/>
    <w:rsid w:val="0049280C"/>
    <w:rsid w:val="004939D4"/>
    <w:rsid w:val="00493D6E"/>
    <w:rsid w:val="00494537"/>
    <w:rsid w:val="0049500E"/>
    <w:rsid w:val="00495FAD"/>
    <w:rsid w:val="004A0D11"/>
    <w:rsid w:val="004A1A37"/>
    <w:rsid w:val="004A31DE"/>
    <w:rsid w:val="004A4480"/>
    <w:rsid w:val="004A44AD"/>
    <w:rsid w:val="004A4CFA"/>
    <w:rsid w:val="004A51E7"/>
    <w:rsid w:val="004A686B"/>
    <w:rsid w:val="004B108B"/>
    <w:rsid w:val="004B1934"/>
    <w:rsid w:val="004B1C0C"/>
    <w:rsid w:val="004B278B"/>
    <w:rsid w:val="004B427C"/>
    <w:rsid w:val="004B5327"/>
    <w:rsid w:val="004B5965"/>
    <w:rsid w:val="004B632D"/>
    <w:rsid w:val="004B71FD"/>
    <w:rsid w:val="004B73E2"/>
    <w:rsid w:val="004C05A5"/>
    <w:rsid w:val="004C0EE1"/>
    <w:rsid w:val="004C1334"/>
    <w:rsid w:val="004C2C83"/>
    <w:rsid w:val="004C50C5"/>
    <w:rsid w:val="004C56FD"/>
    <w:rsid w:val="004C5B07"/>
    <w:rsid w:val="004C6D66"/>
    <w:rsid w:val="004C7987"/>
    <w:rsid w:val="004C7D84"/>
    <w:rsid w:val="004D20FB"/>
    <w:rsid w:val="004D264E"/>
    <w:rsid w:val="004D2688"/>
    <w:rsid w:val="004D38E9"/>
    <w:rsid w:val="004D4226"/>
    <w:rsid w:val="004D49BE"/>
    <w:rsid w:val="004D4AEB"/>
    <w:rsid w:val="004D5D00"/>
    <w:rsid w:val="004D699C"/>
    <w:rsid w:val="004E0D73"/>
    <w:rsid w:val="004E2773"/>
    <w:rsid w:val="004E3881"/>
    <w:rsid w:val="004E5130"/>
    <w:rsid w:val="004E51CD"/>
    <w:rsid w:val="004E5CCE"/>
    <w:rsid w:val="004E7F5F"/>
    <w:rsid w:val="004F03B7"/>
    <w:rsid w:val="004F060D"/>
    <w:rsid w:val="004F1AD2"/>
    <w:rsid w:val="004F300D"/>
    <w:rsid w:val="004F3AFF"/>
    <w:rsid w:val="004F3E55"/>
    <w:rsid w:val="004F412C"/>
    <w:rsid w:val="004F5CCB"/>
    <w:rsid w:val="004F5D83"/>
    <w:rsid w:val="00500A26"/>
    <w:rsid w:val="005036E4"/>
    <w:rsid w:val="0050396C"/>
    <w:rsid w:val="0050593F"/>
    <w:rsid w:val="00506FBE"/>
    <w:rsid w:val="005108E6"/>
    <w:rsid w:val="00512E46"/>
    <w:rsid w:val="00514636"/>
    <w:rsid w:val="00514C98"/>
    <w:rsid w:val="00515AD8"/>
    <w:rsid w:val="005164B4"/>
    <w:rsid w:val="0051765E"/>
    <w:rsid w:val="00521C9D"/>
    <w:rsid w:val="00521DC6"/>
    <w:rsid w:val="00523684"/>
    <w:rsid w:val="005253AB"/>
    <w:rsid w:val="005258A1"/>
    <w:rsid w:val="0052619A"/>
    <w:rsid w:val="00527C6E"/>
    <w:rsid w:val="00533D2F"/>
    <w:rsid w:val="005346E4"/>
    <w:rsid w:val="005353FC"/>
    <w:rsid w:val="005400B7"/>
    <w:rsid w:val="00542918"/>
    <w:rsid w:val="005444BA"/>
    <w:rsid w:val="005461DB"/>
    <w:rsid w:val="005466CE"/>
    <w:rsid w:val="0054746A"/>
    <w:rsid w:val="00550339"/>
    <w:rsid w:val="00550BBB"/>
    <w:rsid w:val="00551835"/>
    <w:rsid w:val="00551FE2"/>
    <w:rsid w:val="00552CD7"/>
    <w:rsid w:val="00555505"/>
    <w:rsid w:val="00555A64"/>
    <w:rsid w:val="00555CF4"/>
    <w:rsid w:val="00562CC9"/>
    <w:rsid w:val="005639A9"/>
    <w:rsid w:val="00563E79"/>
    <w:rsid w:val="00563F3A"/>
    <w:rsid w:val="00565420"/>
    <w:rsid w:val="00565FDB"/>
    <w:rsid w:val="00567EE9"/>
    <w:rsid w:val="005717B0"/>
    <w:rsid w:val="00571CB3"/>
    <w:rsid w:val="005728B7"/>
    <w:rsid w:val="00573D02"/>
    <w:rsid w:val="00574807"/>
    <w:rsid w:val="00577DE1"/>
    <w:rsid w:val="00581AA3"/>
    <w:rsid w:val="005826B1"/>
    <w:rsid w:val="00584D3D"/>
    <w:rsid w:val="00590F03"/>
    <w:rsid w:val="00593E60"/>
    <w:rsid w:val="00594F39"/>
    <w:rsid w:val="005A004D"/>
    <w:rsid w:val="005A30A8"/>
    <w:rsid w:val="005A40A5"/>
    <w:rsid w:val="005A41AE"/>
    <w:rsid w:val="005B24EC"/>
    <w:rsid w:val="005B5C50"/>
    <w:rsid w:val="005B71B8"/>
    <w:rsid w:val="005B74C8"/>
    <w:rsid w:val="005B7862"/>
    <w:rsid w:val="005C030E"/>
    <w:rsid w:val="005C0860"/>
    <w:rsid w:val="005C14F8"/>
    <w:rsid w:val="005C6A94"/>
    <w:rsid w:val="005C6EBA"/>
    <w:rsid w:val="005D05CA"/>
    <w:rsid w:val="005D121F"/>
    <w:rsid w:val="005D301D"/>
    <w:rsid w:val="005D715E"/>
    <w:rsid w:val="005E134B"/>
    <w:rsid w:val="005E3D25"/>
    <w:rsid w:val="005E56AB"/>
    <w:rsid w:val="005E6E61"/>
    <w:rsid w:val="005E6FED"/>
    <w:rsid w:val="005E7E87"/>
    <w:rsid w:val="005F00DC"/>
    <w:rsid w:val="005F1BF4"/>
    <w:rsid w:val="005F4420"/>
    <w:rsid w:val="005F45B7"/>
    <w:rsid w:val="005F61D5"/>
    <w:rsid w:val="005F74A9"/>
    <w:rsid w:val="005F7CA2"/>
    <w:rsid w:val="00600650"/>
    <w:rsid w:val="0060190E"/>
    <w:rsid w:val="00601BFA"/>
    <w:rsid w:val="006077E0"/>
    <w:rsid w:val="00614DCE"/>
    <w:rsid w:val="0061500D"/>
    <w:rsid w:val="006153A6"/>
    <w:rsid w:val="0061552D"/>
    <w:rsid w:val="00615594"/>
    <w:rsid w:val="00615D4D"/>
    <w:rsid w:val="00615EDE"/>
    <w:rsid w:val="0062266B"/>
    <w:rsid w:val="00623827"/>
    <w:rsid w:val="00623E23"/>
    <w:rsid w:val="00624018"/>
    <w:rsid w:val="006271B2"/>
    <w:rsid w:val="00627CFA"/>
    <w:rsid w:val="006305F2"/>
    <w:rsid w:val="006308FF"/>
    <w:rsid w:val="006309A1"/>
    <w:rsid w:val="0063224D"/>
    <w:rsid w:val="00634E46"/>
    <w:rsid w:val="00634FE4"/>
    <w:rsid w:val="00635696"/>
    <w:rsid w:val="0063583D"/>
    <w:rsid w:val="006363B5"/>
    <w:rsid w:val="00640D54"/>
    <w:rsid w:val="006416A5"/>
    <w:rsid w:val="00644FB1"/>
    <w:rsid w:val="0064521A"/>
    <w:rsid w:val="00645BB3"/>
    <w:rsid w:val="00650318"/>
    <w:rsid w:val="00652D0A"/>
    <w:rsid w:val="00653434"/>
    <w:rsid w:val="006545F9"/>
    <w:rsid w:val="00654CA5"/>
    <w:rsid w:val="00654DE1"/>
    <w:rsid w:val="00655FBD"/>
    <w:rsid w:val="00656AAE"/>
    <w:rsid w:val="00661522"/>
    <w:rsid w:val="00663301"/>
    <w:rsid w:val="00665E1F"/>
    <w:rsid w:val="0066632A"/>
    <w:rsid w:val="00666492"/>
    <w:rsid w:val="006668CA"/>
    <w:rsid w:val="00666B38"/>
    <w:rsid w:val="00666E98"/>
    <w:rsid w:val="00666FC0"/>
    <w:rsid w:val="0066763C"/>
    <w:rsid w:val="00670EE8"/>
    <w:rsid w:val="00671E13"/>
    <w:rsid w:val="0067285E"/>
    <w:rsid w:val="00673A06"/>
    <w:rsid w:val="0067467F"/>
    <w:rsid w:val="00674C14"/>
    <w:rsid w:val="0067532A"/>
    <w:rsid w:val="00677451"/>
    <w:rsid w:val="00680BAA"/>
    <w:rsid w:val="0068144C"/>
    <w:rsid w:val="00683476"/>
    <w:rsid w:val="00684D4E"/>
    <w:rsid w:val="0068610E"/>
    <w:rsid w:val="00686A6A"/>
    <w:rsid w:val="0068714D"/>
    <w:rsid w:val="0069105E"/>
    <w:rsid w:val="006924BB"/>
    <w:rsid w:val="006967A6"/>
    <w:rsid w:val="006A1D0B"/>
    <w:rsid w:val="006A29BB"/>
    <w:rsid w:val="006A2B79"/>
    <w:rsid w:val="006A3466"/>
    <w:rsid w:val="006A396F"/>
    <w:rsid w:val="006A5A33"/>
    <w:rsid w:val="006A5E0A"/>
    <w:rsid w:val="006A5F91"/>
    <w:rsid w:val="006B0ABE"/>
    <w:rsid w:val="006B1FC3"/>
    <w:rsid w:val="006B26C0"/>
    <w:rsid w:val="006B2A5A"/>
    <w:rsid w:val="006B2FC7"/>
    <w:rsid w:val="006B3019"/>
    <w:rsid w:val="006B3F80"/>
    <w:rsid w:val="006B57F8"/>
    <w:rsid w:val="006B72AB"/>
    <w:rsid w:val="006B7CA9"/>
    <w:rsid w:val="006C0D33"/>
    <w:rsid w:val="006C0D7A"/>
    <w:rsid w:val="006C1E09"/>
    <w:rsid w:val="006C1E6B"/>
    <w:rsid w:val="006C2A67"/>
    <w:rsid w:val="006C523D"/>
    <w:rsid w:val="006C5C44"/>
    <w:rsid w:val="006C629B"/>
    <w:rsid w:val="006C6399"/>
    <w:rsid w:val="006C7317"/>
    <w:rsid w:val="006C751E"/>
    <w:rsid w:val="006C7554"/>
    <w:rsid w:val="006C7C67"/>
    <w:rsid w:val="006C7E2F"/>
    <w:rsid w:val="006D2988"/>
    <w:rsid w:val="006D3DF5"/>
    <w:rsid w:val="006D4732"/>
    <w:rsid w:val="006D4ECB"/>
    <w:rsid w:val="006D5597"/>
    <w:rsid w:val="006D5A8E"/>
    <w:rsid w:val="006D5DB1"/>
    <w:rsid w:val="006D5EBA"/>
    <w:rsid w:val="006E0851"/>
    <w:rsid w:val="006E2B4E"/>
    <w:rsid w:val="006E2F48"/>
    <w:rsid w:val="006E5CA6"/>
    <w:rsid w:val="006E61F3"/>
    <w:rsid w:val="006E656A"/>
    <w:rsid w:val="006F25FA"/>
    <w:rsid w:val="006F2838"/>
    <w:rsid w:val="006F3A52"/>
    <w:rsid w:val="006F442E"/>
    <w:rsid w:val="006F4DDE"/>
    <w:rsid w:val="006F5528"/>
    <w:rsid w:val="006F7093"/>
    <w:rsid w:val="006F7A96"/>
    <w:rsid w:val="00700469"/>
    <w:rsid w:val="00700FB6"/>
    <w:rsid w:val="00702739"/>
    <w:rsid w:val="007037C5"/>
    <w:rsid w:val="00710462"/>
    <w:rsid w:val="00710995"/>
    <w:rsid w:val="00710C4D"/>
    <w:rsid w:val="00712E94"/>
    <w:rsid w:val="0071340E"/>
    <w:rsid w:val="0071493B"/>
    <w:rsid w:val="00715092"/>
    <w:rsid w:val="00715EAF"/>
    <w:rsid w:val="00715FA1"/>
    <w:rsid w:val="0071608E"/>
    <w:rsid w:val="00716330"/>
    <w:rsid w:val="00716B7C"/>
    <w:rsid w:val="00717C28"/>
    <w:rsid w:val="00717F04"/>
    <w:rsid w:val="00724AC8"/>
    <w:rsid w:val="00726BDB"/>
    <w:rsid w:val="00727BB0"/>
    <w:rsid w:val="007308AF"/>
    <w:rsid w:val="0073157F"/>
    <w:rsid w:val="00731B89"/>
    <w:rsid w:val="00731C16"/>
    <w:rsid w:val="00731F8A"/>
    <w:rsid w:val="007334FA"/>
    <w:rsid w:val="0073546E"/>
    <w:rsid w:val="0073705C"/>
    <w:rsid w:val="007401E9"/>
    <w:rsid w:val="007411B4"/>
    <w:rsid w:val="0074236C"/>
    <w:rsid w:val="00742702"/>
    <w:rsid w:val="00744B81"/>
    <w:rsid w:val="00744BF6"/>
    <w:rsid w:val="00745731"/>
    <w:rsid w:val="007474E7"/>
    <w:rsid w:val="0075041D"/>
    <w:rsid w:val="00752A31"/>
    <w:rsid w:val="00752F5E"/>
    <w:rsid w:val="007531F2"/>
    <w:rsid w:val="0075367B"/>
    <w:rsid w:val="007548BD"/>
    <w:rsid w:val="00754C71"/>
    <w:rsid w:val="007550B6"/>
    <w:rsid w:val="0075764B"/>
    <w:rsid w:val="0076074C"/>
    <w:rsid w:val="00760E48"/>
    <w:rsid w:val="00761437"/>
    <w:rsid w:val="00761748"/>
    <w:rsid w:val="00761A10"/>
    <w:rsid w:val="00762DC1"/>
    <w:rsid w:val="00763E8F"/>
    <w:rsid w:val="007649DA"/>
    <w:rsid w:val="00764B0F"/>
    <w:rsid w:val="00765E8B"/>
    <w:rsid w:val="00767B59"/>
    <w:rsid w:val="007714A2"/>
    <w:rsid w:val="0077161E"/>
    <w:rsid w:val="00771A1B"/>
    <w:rsid w:val="0077215C"/>
    <w:rsid w:val="00773FCA"/>
    <w:rsid w:val="0077438C"/>
    <w:rsid w:val="00775C0C"/>
    <w:rsid w:val="00777130"/>
    <w:rsid w:val="007815F3"/>
    <w:rsid w:val="007831A8"/>
    <w:rsid w:val="0078503F"/>
    <w:rsid w:val="00785A07"/>
    <w:rsid w:val="00785AF9"/>
    <w:rsid w:val="0078772F"/>
    <w:rsid w:val="00791560"/>
    <w:rsid w:val="00791B99"/>
    <w:rsid w:val="00792FC4"/>
    <w:rsid w:val="00794718"/>
    <w:rsid w:val="00794AEC"/>
    <w:rsid w:val="00795676"/>
    <w:rsid w:val="00795BB4"/>
    <w:rsid w:val="007976D3"/>
    <w:rsid w:val="007A10C9"/>
    <w:rsid w:val="007A2E0C"/>
    <w:rsid w:val="007A366A"/>
    <w:rsid w:val="007A45AD"/>
    <w:rsid w:val="007A6A07"/>
    <w:rsid w:val="007A6FA3"/>
    <w:rsid w:val="007A7735"/>
    <w:rsid w:val="007A7887"/>
    <w:rsid w:val="007A7F52"/>
    <w:rsid w:val="007B1160"/>
    <w:rsid w:val="007B352F"/>
    <w:rsid w:val="007B445D"/>
    <w:rsid w:val="007B5613"/>
    <w:rsid w:val="007B6494"/>
    <w:rsid w:val="007B65FD"/>
    <w:rsid w:val="007B6D85"/>
    <w:rsid w:val="007C01DD"/>
    <w:rsid w:val="007C02F7"/>
    <w:rsid w:val="007C0E9B"/>
    <w:rsid w:val="007C2AAA"/>
    <w:rsid w:val="007C4782"/>
    <w:rsid w:val="007C4D95"/>
    <w:rsid w:val="007C5723"/>
    <w:rsid w:val="007C6B01"/>
    <w:rsid w:val="007C6EBF"/>
    <w:rsid w:val="007C7C7B"/>
    <w:rsid w:val="007D0B62"/>
    <w:rsid w:val="007D2957"/>
    <w:rsid w:val="007D43A2"/>
    <w:rsid w:val="007D55CA"/>
    <w:rsid w:val="007D6E19"/>
    <w:rsid w:val="007E0748"/>
    <w:rsid w:val="007E0D54"/>
    <w:rsid w:val="007E1CD0"/>
    <w:rsid w:val="007E31D0"/>
    <w:rsid w:val="007E3DE5"/>
    <w:rsid w:val="007E4D58"/>
    <w:rsid w:val="007E54AB"/>
    <w:rsid w:val="007E7630"/>
    <w:rsid w:val="007E78E9"/>
    <w:rsid w:val="007F1E36"/>
    <w:rsid w:val="007F2350"/>
    <w:rsid w:val="007F25F6"/>
    <w:rsid w:val="007F2D65"/>
    <w:rsid w:val="007F4456"/>
    <w:rsid w:val="007F5975"/>
    <w:rsid w:val="007F6F6C"/>
    <w:rsid w:val="007F6F88"/>
    <w:rsid w:val="007F7A4B"/>
    <w:rsid w:val="0080292D"/>
    <w:rsid w:val="008045CE"/>
    <w:rsid w:val="0080517F"/>
    <w:rsid w:val="0080673B"/>
    <w:rsid w:val="00806F30"/>
    <w:rsid w:val="008079EC"/>
    <w:rsid w:val="008104E4"/>
    <w:rsid w:val="008106BC"/>
    <w:rsid w:val="00811805"/>
    <w:rsid w:val="008126DC"/>
    <w:rsid w:val="008134C7"/>
    <w:rsid w:val="008135CF"/>
    <w:rsid w:val="00815427"/>
    <w:rsid w:val="00815878"/>
    <w:rsid w:val="00815AC4"/>
    <w:rsid w:val="00816CFE"/>
    <w:rsid w:val="00822261"/>
    <w:rsid w:val="00822512"/>
    <w:rsid w:val="00825B3F"/>
    <w:rsid w:val="0082639D"/>
    <w:rsid w:val="00826547"/>
    <w:rsid w:val="0083114A"/>
    <w:rsid w:val="00831732"/>
    <w:rsid w:val="00831A05"/>
    <w:rsid w:val="00833B43"/>
    <w:rsid w:val="00834A4F"/>
    <w:rsid w:val="008356D6"/>
    <w:rsid w:val="00835B82"/>
    <w:rsid w:val="00835C9F"/>
    <w:rsid w:val="00835E97"/>
    <w:rsid w:val="008366BE"/>
    <w:rsid w:val="00837153"/>
    <w:rsid w:val="008375D8"/>
    <w:rsid w:val="0083777E"/>
    <w:rsid w:val="008405F1"/>
    <w:rsid w:val="0084207A"/>
    <w:rsid w:val="00842B00"/>
    <w:rsid w:val="00844228"/>
    <w:rsid w:val="008442EE"/>
    <w:rsid w:val="00845961"/>
    <w:rsid w:val="00845D67"/>
    <w:rsid w:val="00846590"/>
    <w:rsid w:val="00846D0C"/>
    <w:rsid w:val="00850E02"/>
    <w:rsid w:val="00852795"/>
    <w:rsid w:val="008548F9"/>
    <w:rsid w:val="00854AAF"/>
    <w:rsid w:val="00856D8A"/>
    <w:rsid w:val="00857062"/>
    <w:rsid w:val="008573E8"/>
    <w:rsid w:val="008605D8"/>
    <w:rsid w:val="00861219"/>
    <w:rsid w:val="00862334"/>
    <w:rsid w:val="00862B56"/>
    <w:rsid w:val="0086323C"/>
    <w:rsid w:val="00863DBD"/>
    <w:rsid w:val="00865144"/>
    <w:rsid w:val="0086558D"/>
    <w:rsid w:val="008672ED"/>
    <w:rsid w:val="0086771C"/>
    <w:rsid w:val="008707BA"/>
    <w:rsid w:val="00870F29"/>
    <w:rsid w:val="008710D8"/>
    <w:rsid w:val="008717CA"/>
    <w:rsid w:val="00871844"/>
    <w:rsid w:val="008725B9"/>
    <w:rsid w:val="00873D6D"/>
    <w:rsid w:val="008759C8"/>
    <w:rsid w:val="00876A65"/>
    <w:rsid w:val="008806EF"/>
    <w:rsid w:val="008807CF"/>
    <w:rsid w:val="00880DA4"/>
    <w:rsid w:val="00881B07"/>
    <w:rsid w:val="00881CAD"/>
    <w:rsid w:val="00882323"/>
    <w:rsid w:val="00883F87"/>
    <w:rsid w:val="00883FF9"/>
    <w:rsid w:val="0088415B"/>
    <w:rsid w:val="00885D5D"/>
    <w:rsid w:val="00885FB8"/>
    <w:rsid w:val="00885FD5"/>
    <w:rsid w:val="00887490"/>
    <w:rsid w:val="00887560"/>
    <w:rsid w:val="00890305"/>
    <w:rsid w:val="0089142F"/>
    <w:rsid w:val="0089254B"/>
    <w:rsid w:val="0089356B"/>
    <w:rsid w:val="0089400D"/>
    <w:rsid w:val="0089666B"/>
    <w:rsid w:val="00896AA7"/>
    <w:rsid w:val="0089777C"/>
    <w:rsid w:val="008A11B6"/>
    <w:rsid w:val="008A33CF"/>
    <w:rsid w:val="008A52A5"/>
    <w:rsid w:val="008A73D1"/>
    <w:rsid w:val="008B0F86"/>
    <w:rsid w:val="008B1370"/>
    <w:rsid w:val="008B3878"/>
    <w:rsid w:val="008B6391"/>
    <w:rsid w:val="008B70CE"/>
    <w:rsid w:val="008B7320"/>
    <w:rsid w:val="008C09C9"/>
    <w:rsid w:val="008C14D5"/>
    <w:rsid w:val="008C1D4C"/>
    <w:rsid w:val="008C29EA"/>
    <w:rsid w:val="008C3137"/>
    <w:rsid w:val="008C32EC"/>
    <w:rsid w:val="008C3721"/>
    <w:rsid w:val="008C5275"/>
    <w:rsid w:val="008C5C27"/>
    <w:rsid w:val="008C5D59"/>
    <w:rsid w:val="008C65DF"/>
    <w:rsid w:val="008D066F"/>
    <w:rsid w:val="008D19A8"/>
    <w:rsid w:val="008D3784"/>
    <w:rsid w:val="008D3B12"/>
    <w:rsid w:val="008D4CBE"/>
    <w:rsid w:val="008D537F"/>
    <w:rsid w:val="008D55E9"/>
    <w:rsid w:val="008D5850"/>
    <w:rsid w:val="008D7EA9"/>
    <w:rsid w:val="008E0AEB"/>
    <w:rsid w:val="008E1206"/>
    <w:rsid w:val="008E1D53"/>
    <w:rsid w:val="008E2E3A"/>
    <w:rsid w:val="008E5247"/>
    <w:rsid w:val="008E549F"/>
    <w:rsid w:val="008E6408"/>
    <w:rsid w:val="008E6AEB"/>
    <w:rsid w:val="008F0241"/>
    <w:rsid w:val="008F1C55"/>
    <w:rsid w:val="008F39AB"/>
    <w:rsid w:val="008F3BC2"/>
    <w:rsid w:val="008F5C62"/>
    <w:rsid w:val="008F5EFA"/>
    <w:rsid w:val="008F64D3"/>
    <w:rsid w:val="008F652C"/>
    <w:rsid w:val="00902B50"/>
    <w:rsid w:val="00907A73"/>
    <w:rsid w:val="00907BCA"/>
    <w:rsid w:val="00907C5E"/>
    <w:rsid w:val="00911211"/>
    <w:rsid w:val="0091154D"/>
    <w:rsid w:val="009120E3"/>
    <w:rsid w:val="00917B52"/>
    <w:rsid w:val="009208A4"/>
    <w:rsid w:val="00921585"/>
    <w:rsid w:val="00922F2D"/>
    <w:rsid w:val="00923A05"/>
    <w:rsid w:val="0092436F"/>
    <w:rsid w:val="009258C6"/>
    <w:rsid w:val="0093009E"/>
    <w:rsid w:val="009311CF"/>
    <w:rsid w:val="00931C01"/>
    <w:rsid w:val="00933461"/>
    <w:rsid w:val="009341FF"/>
    <w:rsid w:val="00934616"/>
    <w:rsid w:val="0093615A"/>
    <w:rsid w:val="009372A6"/>
    <w:rsid w:val="0093737C"/>
    <w:rsid w:val="00937434"/>
    <w:rsid w:val="00937A1F"/>
    <w:rsid w:val="00937D10"/>
    <w:rsid w:val="009401D2"/>
    <w:rsid w:val="0094052A"/>
    <w:rsid w:val="0094144B"/>
    <w:rsid w:val="00942118"/>
    <w:rsid w:val="00944E56"/>
    <w:rsid w:val="00945A08"/>
    <w:rsid w:val="00945E89"/>
    <w:rsid w:val="00946408"/>
    <w:rsid w:val="00947DD7"/>
    <w:rsid w:val="00950424"/>
    <w:rsid w:val="00950E6D"/>
    <w:rsid w:val="0095111B"/>
    <w:rsid w:val="00953C3A"/>
    <w:rsid w:val="0096152B"/>
    <w:rsid w:val="0096187C"/>
    <w:rsid w:val="00963839"/>
    <w:rsid w:val="0096394E"/>
    <w:rsid w:val="0096585E"/>
    <w:rsid w:val="00965DE3"/>
    <w:rsid w:val="00966783"/>
    <w:rsid w:val="009700C0"/>
    <w:rsid w:val="009707ED"/>
    <w:rsid w:val="00973834"/>
    <w:rsid w:val="00974ED7"/>
    <w:rsid w:val="00974FCC"/>
    <w:rsid w:val="009752F6"/>
    <w:rsid w:val="00976AE4"/>
    <w:rsid w:val="00977382"/>
    <w:rsid w:val="00980C31"/>
    <w:rsid w:val="00980F7A"/>
    <w:rsid w:val="00981656"/>
    <w:rsid w:val="009820CC"/>
    <w:rsid w:val="0098456C"/>
    <w:rsid w:val="009851C8"/>
    <w:rsid w:val="00985868"/>
    <w:rsid w:val="00986A0A"/>
    <w:rsid w:val="00986D19"/>
    <w:rsid w:val="00987C04"/>
    <w:rsid w:val="009905B8"/>
    <w:rsid w:val="00990922"/>
    <w:rsid w:val="009919B3"/>
    <w:rsid w:val="00992521"/>
    <w:rsid w:val="00993217"/>
    <w:rsid w:val="0099567D"/>
    <w:rsid w:val="00996EE7"/>
    <w:rsid w:val="00997897"/>
    <w:rsid w:val="009A01FE"/>
    <w:rsid w:val="009A0E20"/>
    <w:rsid w:val="009A15DB"/>
    <w:rsid w:val="009A406E"/>
    <w:rsid w:val="009B20A2"/>
    <w:rsid w:val="009B45C5"/>
    <w:rsid w:val="009B6FD1"/>
    <w:rsid w:val="009B7A9E"/>
    <w:rsid w:val="009B7CEB"/>
    <w:rsid w:val="009C2D0F"/>
    <w:rsid w:val="009C2E13"/>
    <w:rsid w:val="009C40E7"/>
    <w:rsid w:val="009C4955"/>
    <w:rsid w:val="009C4C56"/>
    <w:rsid w:val="009C5184"/>
    <w:rsid w:val="009C529E"/>
    <w:rsid w:val="009C6BD3"/>
    <w:rsid w:val="009D1097"/>
    <w:rsid w:val="009D23CA"/>
    <w:rsid w:val="009D3603"/>
    <w:rsid w:val="009D5F99"/>
    <w:rsid w:val="009D6A2A"/>
    <w:rsid w:val="009D6F68"/>
    <w:rsid w:val="009E03F4"/>
    <w:rsid w:val="009E0829"/>
    <w:rsid w:val="009E1675"/>
    <w:rsid w:val="009E3286"/>
    <w:rsid w:val="009E3687"/>
    <w:rsid w:val="009E6726"/>
    <w:rsid w:val="009E6CDA"/>
    <w:rsid w:val="009E7600"/>
    <w:rsid w:val="009E7C2B"/>
    <w:rsid w:val="009F037B"/>
    <w:rsid w:val="009F1AD7"/>
    <w:rsid w:val="009F2A3D"/>
    <w:rsid w:val="009F3641"/>
    <w:rsid w:val="009F4D0E"/>
    <w:rsid w:val="009F75F4"/>
    <w:rsid w:val="00A022B9"/>
    <w:rsid w:val="00A033D3"/>
    <w:rsid w:val="00A03584"/>
    <w:rsid w:val="00A035D6"/>
    <w:rsid w:val="00A03FCF"/>
    <w:rsid w:val="00A0430E"/>
    <w:rsid w:val="00A06143"/>
    <w:rsid w:val="00A068CA"/>
    <w:rsid w:val="00A10B6B"/>
    <w:rsid w:val="00A1198D"/>
    <w:rsid w:val="00A11AE3"/>
    <w:rsid w:val="00A11D4D"/>
    <w:rsid w:val="00A11E41"/>
    <w:rsid w:val="00A13C0F"/>
    <w:rsid w:val="00A14654"/>
    <w:rsid w:val="00A157B0"/>
    <w:rsid w:val="00A1602D"/>
    <w:rsid w:val="00A233BA"/>
    <w:rsid w:val="00A23624"/>
    <w:rsid w:val="00A2367D"/>
    <w:rsid w:val="00A24C8D"/>
    <w:rsid w:val="00A26591"/>
    <w:rsid w:val="00A27A28"/>
    <w:rsid w:val="00A317EE"/>
    <w:rsid w:val="00A33BCC"/>
    <w:rsid w:val="00A3671D"/>
    <w:rsid w:val="00A36DF4"/>
    <w:rsid w:val="00A40A83"/>
    <w:rsid w:val="00A42C88"/>
    <w:rsid w:val="00A42CB2"/>
    <w:rsid w:val="00A4398A"/>
    <w:rsid w:val="00A43E62"/>
    <w:rsid w:val="00A46104"/>
    <w:rsid w:val="00A47B58"/>
    <w:rsid w:val="00A501C6"/>
    <w:rsid w:val="00A50DF6"/>
    <w:rsid w:val="00A51020"/>
    <w:rsid w:val="00A51740"/>
    <w:rsid w:val="00A52241"/>
    <w:rsid w:val="00A52452"/>
    <w:rsid w:val="00A529FF"/>
    <w:rsid w:val="00A53D1A"/>
    <w:rsid w:val="00A551EF"/>
    <w:rsid w:val="00A55AA2"/>
    <w:rsid w:val="00A60475"/>
    <w:rsid w:val="00A609E4"/>
    <w:rsid w:val="00A61AD3"/>
    <w:rsid w:val="00A61C10"/>
    <w:rsid w:val="00A6220F"/>
    <w:rsid w:val="00A664C2"/>
    <w:rsid w:val="00A665C9"/>
    <w:rsid w:val="00A6751A"/>
    <w:rsid w:val="00A70C08"/>
    <w:rsid w:val="00A71677"/>
    <w:rsid w:val="00A7207D"/>
    <w:rsid w:val="00A7329A"/>
    <w:rsid w:val="00A73489"/>
    <w:rsid w:val="00A743CB"/>
    <w:rsid w:val="00A752FD"/>
    <w:rsid w:val="00A75A34"/>
    <w:rsid w:val="00A76AE2"/>
    <w:rsid w:val="00A76F79"/>
    <w:rsid w:val="00A77CAB"/>
    <w:rsid w:val="00A8086D"/>
    <w:rsid w:val="00A82BD2"/>
    <w:rsid w:val="00A83E3B"/>
    <w:rsid w:val="00A842A2"/>
    <w:rsid w:val="00A85559"/>
    <w:rsid w:val="00A85C6E"/>
    <w:rsid w:val="00A85EE4"/>
    <w:rsid w:val="00A86CDD"/>
    <w:rsid w:val="00A86D26"/>
    <w:rsid w:val="00A86DB2"/>
    <w:rsid w:val="00A9021C"/>
    <w:rsid w:val="00A90233"/>
    <w:rsid w:val="00A92540"/>
    <w:rsid w:val="00A94040"/>
    <w:rsid w:val="00A96312"/>
    <w:rsid w:val="00A97848"/>
    <w:rsid w:val="00AA0B60"/>
    <w:rsid w:val="00AA0DAB"/>
    <w:rsid w:val="00AA2DB4"/>
    <w:rsid w:val="00AA5A2C"/>
    <w:rsid w:val="00AA6A2B"/>
    <w:rsid w:val="00AA7B4F"/>
    <w:rsid w:val="00AA7F44"/>
    <w:rsid w:val="00AB09D7"/>
    <w:rsid w:val="00AB0A1C"/>
    <w:rsid w:val="00AB1477"/>
    <w:rsid w:val="00AB224E"/>
    <w:rsid w:val="00AB37CE"/>
    <w:rsid w:val="00AB48A6"/>
    <w:rsid w:val="00AB5A0A"/>
    <w:rsid w:val="00AB66EB"/>
    <w:rsid w:val="00AB6C45"/>
    <w:rsid w:val="00AC07FE"/>
    <w:rsid w:val="00AC1F93"/>
    <w:rsid w:val="00AC322D"/>
    <w:rsid w:val="00AC631C"/>
    <w:rsid w:val="00AC70B3"/>
    <w:rsid w:val="00AD0587"/>
    <w:rsid w:val="00AD06B5"/>
    <w:rsid w:val="00AD43BB"/>
    <w:rsid w:val="00AD4D33"/>
    <w:rsid w:val="00AD552E"/>
    <w:rsid w:val="00AD6250"/>
    <w:rsid w:val="00AD7439"/>
    <w:rsid w:val="00AE22BF"/>
    <w:rsid w:val="00AE3F6F"/>
    <w:rsid w:val="00AE426B"/>
    <w:rsid w:val="00AE5672"/>
    <w:rsid w:val="00AE5AF4"/>
    <w:rsid w:val="00AE6525"/>
    <w:rsid w:val="00AE672F"/>
    <w:rsid w:val="00AE7615"/>
    <w:rsid w:val="00AE7BA1"/>
    <w:rsid w:val="00AF39E7"/>
    <w:rsid w:val="00AF6390"/>
    <w:rsid w:val="00AF782C"/>
    <w:rsid w:val="00AF7DA4"/>
    <w:rsid w:val="00B0086A"/>
    <w:rsid w:val="00B01540"/>
    <w:rsid w:val="00B01D6C"/>
    <w:rsid w:val="00B02118"/>
    <w:rsid w:val="00B02A5B"/>
    <w:rsid w:val="00B02F1E"/>
    <w:rsid w:val="00B0319F"/>
    <w:rsid w:val="00B03555"/>
    <w:rsid w:val="00B0500E"/>
    <w:rsid w:val="00B05F70"/>
    <w:rsid w:val="00B07F7A"/>
    <w:rsid w:val="00B11390"/>
    <w:rsid w:val="00B118BF"/>
    <w:rsid w:val="00B12928"/>
    <w:rsid w:val="00B12D17"/>
    <w:rsid w:val="00B13012"/>
    <w:rsid w:val="00B151D3"/>
    <w:rsid w:val="00B17A25"/>
    <w:rsid w:val="00B2033D"/>
    <w:rsid w:val="00B21A02"/>
    <w:rsid w:val="00B2388A"/>
    <w:rsid w:val="00B27897"/>
    <w:rsid w:val="00B27CA6"/>
    <w:rsid w:val="00B27E1F"/>
    <w:rsid w:val="00B311E3"/>
    <w:rsid w:val="00B314B7"/>
    <w:rsid w:val="00B32144"/>
    <w:rsid w:val="00B35016"/>
    <w:rsid w:val="00B36A28"/>
    <w:rsid w:val="00B37045"/>
    <w:rsid w:val="00B377C9"/>
    <w:rsid w:val="00B377FE"/>
    <w:rsid w:val="00B4070E"/>
    <w:rsid w:val="00B40AF3"/>
    <w:rsid w:val="00B42104"/>
    <w:rsid w:val="00B444D1"/>
    <w:rsid w:val="00B455CF"/>
    <w:rsid w:val="00B45D64"/>
    <w:rsid w:val="00B46675"/>
    <w:rsid w:val="00B504FB"/>
    <w:rsid w:val="00B526E6"/>
    <w:rsid w:val="00B52EB5"/>
    <w:rsid w:val="00B55114"/>
    <w:rsid w:val="00B55C43"/>
    <w:rsid w:val="00B572DD"/>
    <w:rsid w:val="00B602E8"/>
    <w:rsid w:val="00B60E96"/>
    <w:rsid w:val="00B625E5"/>
    <w:rsid w:val="00B62C2B"/>
    <w:rsid w:val="00B62CBB"/>
    <w:rsid w:val="00B63959"/>
    <w:rsid w:val="00B63CF2"/>
    <w:rsid w:val="00B64C54"/>
    <w:rsid w:val="00B6589E"/>
    <w:rsid w:val="00B660A3"/>
    <w:rsid w:val="00B672F5"/>
    <w:rsid w:val="00B70B55"/>
    <w:rsid w:val="00B71258"/>
    <w:rsid w:val="00B71F14"/>
    <w:rsid w:val="00B7203C"/>
    <w:rsid w:val="00B7616A"/>
    <w:rsid w:val="00B76986"/>
    <w:rsid w:val="00B7710F"/>
    <w:rsid w:val="00B808EE"/>
    <w:rsid w:val="00B80DE8"/>
    <w:rsid w:val="00B8346E"/>
    <w:rsid w:val="00B84206"/>
    <w:rsid w:val="00B84EDE"/>
    <w:rsid w:val="00B868AA"/>
    <w:rsid w:val="00B87C90"/>
    <w:rsid w:val="00B87E0A"/>
    <w:rsid w:val="00B90C66"/>
    <w:rsid w:val="00B9120F"/>
    <w:rsid w:val="00B913A3"/>
    <w:rsid w:val="00B94651"/>
    <w:rsid w:val="00B9680D"/>
    <w:rsid w:val="00BA0C76"/>
    <w:rsid w:val="00BA10C7"/>
    <w:rsid w:val="00BA13DE"/>
    <w:rsid w:val="00BA2BB7"/>
    <w:rsid w:val="00BA3D48"/>
    <w:rsid w:val="00BA4C6C"/>
    <w:rsid w:val="00BA63A6"/>
    <w:rsid w:val="00BA69D0"/>
    <w:rsid w:val="00BB0C9A"/>
    <w:rsid w:val="00BB1AB0"/>
    <w:rsid w:val="00BB29E0"/>
    <w:rsid w:val="00BB49F1"/>
    <w:rsid w:val="00BB5267"/>
    <w:rsid w:val="00BB58D1"/>
    <w:rsid w:val="00BC2305"/>
    <w:rsid w:val="00BC2AD0"/>
    <w:rsid w:val="00BC338C"/>
    <w:rsid w:val="00BC4C9D"/>
    <w:rsid w:val="00BC5718"/>
    <w:rsid w:val="00BD0F97"/>
    <w:rsid w:val="00BD12CC"/>
    <w:rsid w:val="00BD13EE"/>
    <w:rsid w:val="00BD3300"/>
    <w:rsid w:val="00BD3930"/>
    <w:rsid w:val="00BD5706"/>
    <w:rsid w:val="00BD62ED"/>
    <w:rsid w:val="00BD654D"/>
    <w:rsid w:val="00BD7004"/>
    <w:rsid w:val="00BE22FE"/>
    <w:rsid w:val="00BE3686"/>
    <w:rsid w:val="00BE4404"/>
    <w:rsid w:val="00BE49AB"/>
    <w:rsid w:val="00BE5D86"/>
    <w:rsid w:val="00BE65CB"/>
    <w:rsid w:val="00BE74D0"/>
    <w:rsid w:val="00BF07B7"/>
    <w:rsid w:val="00BF0EE2"/>
    <w:rsid w:val="00BF11D8"/>
    <w:rsid w:val="00BF1DDC"/>
    <w:rsid w:val="00BF3719"/>
    <w:rsid w:val="00BF3D47"/>
    <w:rsid w:val="00BF5F01"/>
    <w:rsid w:val="00BF7472"/>
    <w:rsid w:val="00C0029A"/>
    <w:rsid w:val="00C0098D"/>
    <w:rsid w:val="00C00E76"/>
    <w:rsid w:val="00C02689"/>
    <w:rsid w:val="00C02B5C"/>
    <w:rsid w:val="00C03666"/>
    <w:rsid w:val="00C047E9"/>
    <w:rsid w:val="00C06CC5"/>
    <w:rsid w:val="00C076EA"/>
    <w:rsid w:val="00C10307"/>
    <w:rsid w:val="00C10F89"/>
    <w:rsid w:val="00C11EA4"/>
    <w:rsid w:val="00C13293"/>
    <w:rsid w:val="00C13DB4"/>
    <w:rsid w:val="00C157C4"/>
    <w:rsid w:val="00C163C2"/>
    <w:rsid w:val="00C16F2F"/>
    <w:rsid w:val="00C20DBB"/>
    <w:rsid w:val="00C21040"/>
    <w:rsid w:val="00C22247"/>
    <w:rsid w:val="00C2292D"/>
    <w:rsid w:val="00C23A91"/>
    <w:rsid w:val="00C23AAD"/>
    <w:rsid w:val="00C24C84"/>
    <w:rsid w:val="00C2574B"/>
    <w:rsid w:val="00C2687B"/>
    <w:rsid w:val="00C30F00"/>
    <w:rsid w:val="00C3114D"/>
    <w:rsid w:val="00C333C6"/>
    <w:rsid w:val="00C3479B"/>
    <w:rsid w:val="00C35919"/>
    <w:rsid w:val="00C36B76"/>
    <w:rsid w:val="00C36D52"/>
    <w:rsid w:val="00C37649"/>
    <w:rsid w:val="00C42C57"/>
    <w:rsid w:val="00C445D9"/>
    <w:rsid w:val="00C44FEC"/>
    <w:rsid w:val="00C50008"/>
    <w:rsid w:val="00C50775"/>
    <w:rsid w:val="00C50A01"/>
    <w:rsid w:val="00C516E1"/>
    <w:rsid w:val="00C5286A"/>
    <w:rsid w:val="00C53215"/>
    <w:rsid w:val="00C538CA"/>
    <w:rsid w:val="00C53949"/>
    <w:rsid w:val="00C53ACA"/>
    <w:rsid w:val="00C5445F"/>
    <w:rsid w:val="00C5454C"/>
    <w:rsid w:val="00C57690"/>
    <w:rsid w:val="00C57AF9"/>
    <w:rsid w:val="00C61ED2"/>
    <w:rsid w:val="00C629CF"/>
    <w:rsid w:val="00C63C47"/>
    <w:rsid w:val="00C63D44"/>
    <w:rsid w:val="00C66389"/>
    <w:rsid w:val="00C71D87"/>
    <w:rsid w:val="00C73AEA"/>
    <w:rsid w:val="00C77174"/>
    <w:rsid w:val="00C80C18"/>
    <w:rsid w:val="00C81485"/>
    <w:rsid w:val="00C81975"/>
    <w:rsid w:val="00C81A59"/>
    <w:rsid w:val="00C83802"/>
    <w:rsid w:val="00C846F1"/>
    <w:rsid w:val="00C848E0"/>
    <w:rsid w:val="00C851A6"/>
    <w:rsid w:val="00C8591E"/>
    <w:rsid w:val="00C911B1"/>
    <w:rsid w:val="00C91FFA"/>
    <w:rsid w:val="00C92027"/>
    <w:rsid w:val="00C923ED"/>
    <w:rsid w:val="00C94173"/>
    <w:rsid w:val="00C94215"/>
    <w:rsid w:val="00C95ED8"/>
    <w:rsid w:val="00C96D61"/>
    <w:rsid w:val="00CA03D1"/>
    <w:rsid w:val="00CA1289"/>
    <w:rsid w:val="00CA287B"/>
    <w:rsid w:val="00CA6650"/>
    <w:rsid w:val="00CA7418"/>
    <w:rsid w:val="00CB054F"/>
    <w:rsid w:val="00CB0835"/>
    <w:rsid w:val="00CB09F2"/>
    <w:rsid w:val="00CB1914"/>
    <w:rsid w:val="00CB24A1"/>
    <w:rsid w:val="00CB276B"/>
    <w:rsid w:val="00CB5DEF"/>
    <w:rsid w:val="00CB660A"/>
    <w:rsid w:val="00CB7C18"/>
    <w:rsid w:val="00CB7C2F"/>
    <w:rsid w:val="00CC0E9B"/>
    <w:rsid w:val="00CC2025"/>
    <w:rsid w:val="00CC345F"/>
    <w:rsid w:val="00CC5FC4"/>
    <w:rsid w:val="00CC6666"/>
    <w:rsid w:val="00CC6C0D"/>
    <w:rsid w:val="00CC7F66"/>
    <w:rsid w:val="00CD0335"/>
    <w:rsid w:val="00CD07E7"/>
    <w:rsid w:val="00CD2453"/>
    <w:rsid w:val="00CD2F13"/>
    <w:rsid w:val="00CD51D7"/>
    <w:rsid w:val="00CD6BFF"/>
    <w:rsid w:val="00CD7837"/>
    <w:rsid w:val="00CE0D99"/>
    <w:rsid w:val="00CE1CFD"/>
    <w:rsid w:val="00CE461B"/>
    <w:rsid w:val="00CE5A80"/>
    <w:rsid w:val="00CE5E3D"/>
    <w:rsid w:val="00CE6EB8"/>
    <w:rsid w:val="00CE7EA8"/>
    <w:rsid w:val="00CF24D5"/>
    <w:rsid w:val="00CF2FD1"/>
    <w:rsid w:val="00CF34C7"/>
    <w:rsid w:val="00CF39E9"/>
    <w:rsid w:val="00CF3AF9"/>
    <w:rsid w:val="00CF44FB"/>
    <w:rsid w:val="00CF4EF1"/>
    <w:rsid w:val="00CF5613"/>
    <w:rsid w:val="00CF6873"/>
    <w:rsid w:val="00CF6DBC"/>
    <w:rsid w:val="00D0014E"/>
    <w:rsid w:val="00D028FC"/>
    <w:rsid w:val="00D02CE5"/>
    <w:rsid w:val="00D0479F"/>
    <w:rsid w:val="00D04E75"/>
    <w:rsid w:val="00D0535C"/>
    <w:rsid w:val="00D05C54"/>
    <w:rsid w:val="00D07575"/>
    <w:rsid w:val="00D10329"/>
    <w:rsid w:val="00D11776"/>
    <w:rsid w:val="00D11B2A"/>
    <w:rsid w:val="00D11F72"/>
    <w:rsid w:val="00D12BD6"/>
    <w:rsid w:val="00D134E7"/>
    <w:rsid w:val="00D14316"/>
    <w:rsid w:val="00D15996"/>
    <w:rsid w:val="00D20211"/>
    <w:rsid w:val="00D20CC2"/>
    <w:rsid w:val="00D235D4"/>
    <w:rsid w:val="00D25F1D"/>
    <w:rsid w:val="00D27688"/>
    <w:rsid w:val="00D30433"/>
    <w:rsid w:val="00D31E36"/>
    <w:rsid w:val="00D334D4"/>
    <w:rsid w:val="00D35B82"/>
    <w:rsid w:val="00D366E9"/>
    <w:rsid w:val="00D373C0"/>
    <w:rsid w:val="00D37402"/>
    <w:rsid w:val="00D40608"/>
    <w:rsid w:val="00D41A4C"/>
    <w:rsid w:val="00D41A6F"/>
    <w:rsid w:val="00D42B3B"/>
    <w:rsid w:val="00D43801"/>
    <w:rsid w:val="00D44F7C"/>
    <w:rsid w:val="00D45410"/>
    <w:rsid w:val="00D477B3"/>
    <w:rsid w:val="00D47B29"/>
    <w:rsid w:val="00D51531"/>
    <w:rsid w:val="00D5295F"/>
    <w:rsid w:val="00D52BD0"/>
    <w:rsid w:val="00D52FB6"/>
    <w:rsid w:val="00D53F2B"/>
    <w:rsid w:val="00D54EA3"/>
    <w:rsid w:val="00D56265"/>
    <w:rsid w:val="00D57236"/>
    <w:rsid w:val="00D60141"/>
    <w:rsid w:val="00D60B77"/>
    <w:rsid w:val="00D60F5B"/>
    <w:rsid w:val="00D62206"/>
    <w:rsid w:val="00D6288B"/>
    <w:rsid w:val="00D642B7"/>
    <w:rsid w:val="00D64822"/>
    <w:rsid w:val="00D6730D"/>
    <w:rsid w:val="00D678E2"/>
    <w:rsid w:val="00D70776"/>
    <w:rsid w:val="00D70EA1"/>
    <w:rsid w:val="00D70F7D"/>
    <w:rsid w:val="00D71721"/>
    <w:rsid w:val="00D719AA"/>
    <w:rsid w:val="00D72F7E"/>
    <w:rsid w:val="00D8059E"/>
    <w:rsid w:val="00D80DD9"/>
    <w:rsid w:val="00D81AFB"/>
    <w:rsid w:val="00D83DC2"/>
    <w:rsid w:val="00D84088"/>
    <w:rsid w:val="00D84719"/>
    <w:rsid w:val="00D906A9"/>
    <w:rsid w:val="00D91AC3"/>
    <w:rsid w:val="00D920A0"/>
    <w:rsid w:val="00D922F7"/>
    <w:rsid w:val="00D93AE2"/>
    <w:rsid w:val="00D94EB4"/>
    <w:rsid w:val="00D96997"/>
    <w:rsid w:val="00D96BB2"/>
    <w:rsid w:val="00DA1250"/>
    <w:rsid w:val="00DA3940"/>
    <w:rsid w:val="00DA4F12"/>
    <w:rsid w:val="00DA60B1"/>
    <w:rsid w:val="00DA61C4"/>
    <w:rsid w:val="00DA797F"/>
    <w:rsid w:val="00DA7C77"/>
    <w:rsid w:val="00DB15B6"/>
    <w:rsid w:val="00DB48BD"/>
    <w:rsid w:val="00DB5231"/>
    <w:rsid w:val="00DB57FD"/>
    <w:rsid w:val="00DB667E"/>
    <w:rsid w:val="00DC15CE"/>
    <w:rsid w:val="00DC34C8"/>
    <w:rsid w:val="00DC4252"/>
    <w:rsid w:val="00DC4E33"/>
    <w:rsid w:val="00DD0732"/>
    <w:rsid w:val="00DD0FE1"/>
    <w:rsid w:val="00DD1C05"/>
    <w:rsid w:val="00DD5281"/>
    <w:rsid w:val="00DD5E1D"/>
    <w:rsid w:val="00DD6295"/>
    <w:rsid w:val="00DD6E4B"/>
    <w:rsid w:val="00DD72CD"/>
    <w:rsid w:val="00DD7627"/>
    <w:rsid w:val="00DE14B6"/>
    <w:rsid w:val="00DE31C0"/>
    <w:rsid w:val="00DE5BD3"/>
    <w:rsid w:val="00DE5E61"/>
    <w:rsid w:val="00DE7AB2"/>
    <w:rsid w:val="00DF176A"/>
    <w:rsid w:val="00DF2F07"/>
    <w:rsid w:val="00DF5403"/>
    <w:rsid w:val="00DF5748"/>
    <w:rsid w:val="00DF6819"/>
    <w:rsid w:val="00DF739C"/>
    <w:rsid w:val="00DF7C7E"/>
    <w:rsid w:val="00E00244"/>
    <w:rsid w:val="00E00662"/>
    <w:rsid w:val="00E02094"/>
    <w:rsid w:val="00E02906"/>
    <w:rsid w:val="00E031E3"/>
    <w:rsid w:val="00E03581"/>
    <w:rsid w:val="00E041E7"/>
    <w:rsid w:val="00E05018"/>
    <w:rsid w:val="00E058A3"/>
    <w:rsid w:val="00E05FA4"/>
    <w:rsid w:val="00E06F95"/>
    <w:rsid w:val="00E0732D"/>
    <w:rsid w:val="00E077CD"/>
    <w:rsid w:val="00E07B1B"/>
    <w:rsid w:val="00E109CC"/>
    <w:rsid w:val="00E112BE"/>
    <w:rsid w:val="00E12132"/>
    <w:rsid w:val="00E12CAB"/>
    <w:rsid w:val="00E146E2"/>
    <w:rsid w:val="00E14929"/>
    <w:rsid w:val="00E15D4C"/>
    <w:rsid w:val="00E16330"/>
    <w:rsid w:val="00E1764B"/>
    <w:rsid w:val="00E17BEF"/>
    <w:rsid w:val="00E23D24"/>
    <w:rsid w:val="00E2419B"/>
    <w:rsid w:val="00E241FC"/>
    <w:rsid w:val="00E24AC1"/>
    <w:rsid w:val="00E27480"/>
    <w:rsid w:val="00E277A0"/>
    <w:rsid w:val="00E32CD8"/>
    <w:rsid w:val="00E34175"/>
    <w:rsid w:val="00E345C1"/>
    <w:rsid w:val="00E370A3"/>
    <w:rsid w:val="00E3738F"/>
    <w:rsid w:val="00E37718"/>
    <w:rsid w:val="00E4055B"/>
    <w:rsid w:val="00E40915"/>
    <w:rsid w:val="00E41023"/>
    <w:rsid w:val="00E41537"/>
    <w:rsid w:val="00E451F2"/>
    <w:rsid w:val="00E46949"/>
    <w:rsid w:val="00E52317"/>
    <w:rsid w:val="00E5377A"/>
    <w:rsid w:val="00E561DE"/>
    <w:rsid w:val="00E56267"/>
    <w:rsid w:val="00E56471"/>
    <w:rsid w:val="00E57D1A"/>
    <w:rsid w:val="00E60803"/>
    <w:rsid w:val="00E62300"/>
    <w:rsid w:val="00E64674"/>
    <w:rsid w:val="00E65385"/>
    <w:rsid w:val="00E66611"/>
    <w:rsid w:val="00E66E12"/>
    <w:rsid w:val="00E70B1D"/>
    <w:rsid w:val="00E70F34"/>
    <w:rsid w:val="00E71EB4"/>
    <w:rsid w:val="00E72F35"/>
    <w:rsid w:val="00E73BC7"/>
    <w:rsid w:val="00E7432B"/>
    <w:rsid w:val="00E7458C"/>
    <w:rsid w:val="00E75747"/>
    <w:rsid w:val="00E766E2"/>
    <w:rsid w:val="00E769E0"/>
    <w:rsid w:val="00E77DD3"/>
    <w:rsid w:val="00E80798"/>
    <w:rsid w:val="00E82473"/>
    <w:rsid w:val="00E82EF6"/>
    <w:rsid w:val="00E8304A"/>
    <w:rsid w:val="00E8404F"/>
    <w:rsid w:val="00E85694"/>
    <w:rsid w:val="00E85CAC"/>
    <w:rsid w:val="00E86293"/>
    <w:rsid w:val="00E875E2"/>
    <w:rsid w:val="00E90499"/>
    <w:rsid w:val="00E92A5D"/>
    <w:rsid w:val="00E93AF0"/>
    <w:rsid w:val="00E942E4"/>
    <w:rsid w:val="00E94327"/>
    <w:rsid w:val="00E95F51"/>
    <w:rsid w:val="00E96489"/>
    <w:rsid w:val="00E97577"/>
    <w:rsid w:val="00EA01A6"/>
    <w:rsid w:val="00EA01C6"/>
    <w:rsid w:val="00EA36B3"/>
    <w:rsid w:val="00EA3C15"/>
    <w:rsid w:val="00EA4285"/>
    <w:rsid w:val="00EA51D1"/>
    <w:rsid w:val="00EA58A3"/>
    <w:rsid w:val="00EA696D"/>
    <w:rsid w:val="00EA7121"/>
    <w:rsid w:val="00EA7148"/>
    <w:rsid w:val="00EA744B"/>
    <w:rsid w:val="00EA7FBB"/>
    <w:rsid w:val="00EB0CC4"/>
    <w:rsid w:val="00EB15D9"/>
    <w:rsid w:val="00EB1D93"/>
    <w:rsid w:val="00EB21C5"/>
    <w:rsid w:val="00EB27DC"/>
    <w:rsid w:val="00EB3588"/>
    <w:rsid w:val="00EB555C"/>
    <w:rsid w:val="00EB69DB"/>
    <w:rsid w:val="00EC08AB"/>
    <w:rsid w:val="00EC1269"/>
    <w:rsid w:val="00EC14D1"/>
    <w:rsid w:val="00EC26DB"/>
    <w:rsid w:val="00EC2975"/>
    <w:rsid w:val="00EC312B"/>
    <w:rsid w:val="00EC3659"/>
    <w:rsid w:val="00EC4B65"/>
    <w:rsid w:val="00EC4F31"/>
    <w:rsid w:val="00EC5AEE"/>
    <w:rsid w:val="00EC5E0C"/>
    <w:rsid w:val="00EC638F"/>
    <w:rsid w:val="00EC77EA"/>
    <w:rsid w:val="00ED0276"/>
    <w:rsid w:val="00ED042D"/>
    <w:rsid w:val="00ED06FD"/>
    <w:rsid w:val="00ED0E29"/>
    <w:rsid w:val="00ED42F8"/>
    <w:rsid w:val="00ED452B"/>
    <w:rsid w:val="00ED5B42"/>
    <w:rsid w:val="00ED61A2"/>
    <w:rsid w:val="00ED759E"/>
    <w:rsid w:val="00ED7B76"/>
    <w:rsid w:val="00ED7FC8"/>
    <w:rsid w:val="00EE0733"/>
    <w:rsid w:val="00EE1461"/>
    <w:rsid w:val="00EE14AB"/>
    <w:rsid w:val="00EE3699"/>
    <w:rsid w:val="00EE3BFF"/>
    <w:rsid w:val="00EE51A0"/>
    <w:rsid w:val="00EF0116"/>
    <w:rsid w:val="00EF1221"/>
    <w:rsid w:val="00EF1C0F"/>
    <w:rsid w:val="00EF25AB"/>
    <w:rsid w:val="00EF407C"/>
    <w:rsid w:val="00EF5353"/>
    <w:rsid w:val="00F00428"/>
    <w:rsid w:val="00F0054D"/>
    <w:rsid w:val="00F0087F"/>
    <w:rsid w:val="00F00981"/>
    <w:rsid w:val="00F0265D"/>
    <w:rsid w:val="00F0327B"/>
    <w:rsid w:val="00F04BE5"/>
    <w:rsid w:val="00F074FB"/>
    <w:rsid w:val="00F07E96"/>
    <w:rsid w:val="00F11387"/>
    <w:rsid w:val="00F120BB"/>
    <w:rsid w:val="00F1318B"/>
    <w:rsid w:val="00F171F1"/>
    <w:rsid w:val="00F20FFC"/>
    <w:rsid w:val="00F22BDC"/>
    <w:rsid w:val="00F230AA"/>
    <w:rsid w:val="00F27B89"/>
    <w:rsid w:val="00F3016D"/>
    <w:rsid w:val="00F30F88"/>
    <w:rsid w:val="00F31736"/>
    <w:rsid w:val="00F40263"/>
    <w:rsid w:val="00F4111B"/>
    <w:rsid w:val="00F423DA"/>
    <w:rsid w:val="00F42910"/>
    <w:rsid w:val="00F42CF0"/>
    <w:rsid w:val="00F430C9"/>
    <w:rsid w:val="00F45CAA"/>
    <w:rsid w:val="00F4776D"/>
    <w:rsid w:val="00F47CC4"/>
    <w:rsid w:val="00F47F14"/>
    <w:rsid w:val="00F47F4F"/>
    <w:rsid w:val="00F50E4F"/>
    <w:rsid w:val="00F5382E"/>
    <w:rsid w:val="00F53A87"/>
    <w:rsid w:val="00F53F91"/>
    <w:rsid w:val="00F55E5D"/>
    <w:rsid w:val="00F562E1"/>
    <w:rsid w:val="00F56B76"/>
    <w:rsid w:val="00F61C3C"/>
    <w:rsid w:val="00F62E81"/>
    <w:rsid w:val="00F65DC4"/>
    <w:rsid w:val="00F66588"/>
    <w:rsid w:val="00F70477"/>
    <w:rsid w:val="00F710E6"/>
    <w:rsid w:val="00F71438"/>
    <w:rsid w:val="00F71AB9"/>
    <w:rsid w:val="00F725DA"/>
    <w:rsid w:val="00F73D2E"/>
    <w:rsid w:val="00F76990"/>
    <w:rsid w:val="00F77E97"/>
    <w:rsid w:val="00F81084"/>
    <w:rsid w:val="00F81104"/>
    <w:rsid w:val="00F81A8E"/>
    <w:rsid w:val="00F81F8C"/>
    <w:rsid w:val="00F827C4"/>
    <w:rsid w:val="00F83806"/>
    <w:rsid w:val="00F8602F"/>
    <w:rsid w:val="00F86BA6"/>
    <w:rsid w:val="00F903D8"/>
    <w:rsid w:val="00F91E86"/>
    <w:rsid w:val="00F922C6"/>
    <w:rsid w:val="00F924C4"/>
    <w:rsid w:val="00F9334F"/>
    <w:rsid w:val="00F9396F"/>
    <w:rsid w:val="00F94115"/>
    <w:rsid w:val="00F943D2"/>
    <w:rsid w:val="00F94C85"/>
    <w:rsid w:val="00F95280"/>
    <w:rsid w:val="00FA0284"/>
    <w:rsid w:val="00FA0CBF"/>
    <w:rsid w:val="00FA0D04"/>
    <w:rsid w:val="00FA1A15"/>
    <w:rsid w:val="00FA2C6B"/>
    <w:rsid w:val="00FA39BE"/>
    <w:rsid w:val="00FA4A0B"/>
    <w:rsid w:val="00FB1FA7"/>
    <w:rsid w:val="00FB2646"/>
    <w:rsid w:val="00FB320F"/>
    <w:rsid w:val="00FB4784"/>
    <w:rsid w:val="00FB4930"/>
    <w:rsid w:val="00FB5A20"/>
    <w:rsid w:val="00FB6D35"/>
    <w:rsid w:val="00FB7C78"/>
    <w:rsid w:val="00FC0552"/>
    <w:rsid w:val="00FC07B8"/>
    <w:rsid w:val="00FC084B"/>
    <w:rsid w:val="00FC0D5E"/>
    <w:rsid w:val="00FC354E"/>
    <w:rsid w:val="00FC5508"/>
    <w:rsid w:val="00FC5520"/>
    <w:rsid w:val="00FC5771"/>
    <w:rsid w:val="00FC5E52"/>
    <w:rsid w:val="00FC62E2"/>
    <w:rsid w:val="00FD391F"/>
    <w:rsid w:val="00FD6D61"/>
    <w:rsid w:val="00FD708B"/>
    <w:rsid w:val="00FD7C5E"/>
    <w:rsid w:val="00FE3276"/>
    <w:rsid w:val="00FE383E"/>
    <w:rsid w:val="00FF0782"/>
    <w:rsid w:val="00FF15E8"/>
    <w:rsid w:val="00FF1CAF"/>
    <w:rsid w:val="00FF30F7"/>
    <w:rsid w:val="00FF3128"/>
    <w:rsid w:val="00FF4C58"/>
    <w:rsid w:val="00FF7030"/>
    <w:rsid w:val="01064C9A"/>
    <w:rsid w:val="02072932"/>
    <w:rsid w:val="02186A33"/>
    <w:rsid w:val="02420CA3"/>
    <w:rsid w:val="025951B8"/>
    <w:rsid w:val="034B4BE6"/>
    <w:rsid w:val="036A59B4"/>
    <w:rsid w:val="03776642"/>
    <w:rsid w:val="039231F9"/>
    <w:rsid w:val="04426558"/>
    <w:rsid w:val="04607AD6"/>
    <w:rsid w:val="048B1624"/>
    <w:rsid w:val="049F18CA"/>
    <w:rsid w:val="04CF74FA"/>
    <w:rsid w:val="050C0A00"/>
    <w:rsid w:val="05445D91"/>
    <w:rsid w:val="058C2BDC"/>
    <w:rsid w:val="05AD1B88"/>
    <w:rsid w:val="05D879DA"/>
    <w:rsid w:val="05FE0C85"/>
    <w:rsid w:val="06682F17"/>
    <w:rsid w:val="06730EF1"/>
    <w:rsid w:val="068A6917"/>
    <w:rsid w:val="069845E6"/>
    <w:rsid w:val="06B62FE7"/>
    <w:rsid w:val="06B9231B"/>
    <w:rsid w:val="06B96CE6"/>
    <w:rsid w:val="06C96F42"/>
    <w:rsid w:val="06E45E26"/>
    <w:rsid w:val="07EC09AB"/>
    <w:rsid w:val="07F04A55"/>
    <w:rsid w:val="08416AF0"/>
    <w:rsid w:val="0904328A"/>
    <w:rsid w:val="09333979"/>
    <w:rsid w:val="0AA277E2"/>
    <w:rsid w:val="0AB319EF"/>
    <w:rsid w:val="0ABE665F"/>
    <w:rsid w:val="0ACC0D02"/>
    <w:rsid w:val="0AE07F21"/>
    <w:rsid w:val="0B024724"/>
    <w:rsid w:val="0B196371"/>
    <w:rsid w:val="0B32010F"/>
    <w:rsid w:val="0B38079D"/>
    <w:rsid w:val="0BFD70DF"/>
    <w:rsid w:val="0CBE44A8"/>
    <w:rsid w:val="0CC864FD"/>
    <w:rsid w:val="0CD2016A"/>
    <w:rsid w:val="0CEE60EF"/>
    <w:rsid w:val="0D766D04"/>
    <w:rsid w:val="0DC32494"/>
    <w:rsid w:val="0E2F6AD4"/>
    <w:rsid w:val="0E3621B7"/>
    <w:rsid w:val="0E4A146B"/>
    <w:rsid w:val="0E5A0F8B"/>
    <w:rsid w:val="0EBC59A1"/>
    <w:rsid w:val="0F2B2F09"/>
    <w:rsid w:val="0F692F34"/>
    <w:rsid w:val="0F77002E"/>
    <w:rsid w:val="0F900551"/>
    <w:rsid w:val="0FD523A5"/>
    <w:rsid w:val="0FEB1C2B"/>
    <w:rsid w:val="10275BD8"/>
    <w:rsid w:val="10782B35"/>
    <w:rsid w:val="10C743D2"/>
    <w:rsid w:val="10CB7A1C"/>
    <w:rsid w:val="110C00AB"/>
    <w:rsid w:val="11425155"/>
    <w:rsid w:val="119A064D"/>
    <w:rsid w:val="11B07896"/>
    <w:rsid w:val="11D010D8"/>
    <w:rsid w:val="11F102D9"/>
    <w:rsid w:val="12090FBA"/>
    <w:rsid w:val="12D56705"/>
    <w:rsid w:val="12DF68B6"/>
    <w:rsid w:val="130628D8"/>
    <w:rsid w:val="130F253F"/>
    <w:rsid w:val="13375337"/>
    <w:rsid w:val="13D8673A"/>
    <w:rsid w:val="146176E0"/>
    <w:rsid w:val="14F52C04"/>
    <w:rsid w:val="153C0833"/>
    <w:rsid w:val="155527AF"/>
    <w:rsid w:val="156E52E3"/>
    <w:rsid w:val="158C3FC8"/>
    <w:rsid w:val="159C79DC"/>
    <w:rsid w:val="161C36C9"/>
    <w:rsid w:val="167F3B6D"/>
    <w:rsid w:val="16A9014A"/>
    <w:rsid w:val="16D64580"/>
    <w:rsid w:val="17C35ACE"/>
    <w:rsid w:val="181525FA"/>
    <w:rsid w:val="18296DD8"/>
    <w:rsid w:val="188A6558"/>
    <w:rsid w:val="18D370E2"/>
    <w:rsid w:val="19476164"/>
    <w:rsid w:val="19804109"/>
    <w:rsid w:val="1984308C"/>
    <w:rsid w:val="19925E4E"/>
    <w:rsid w:val="19957F7A"/>
    <w:rsid w:val="19C06A8A"/>
    <w:rsid w:val="1A323A45"/>
    <w:rsid w:val="1AF51BB0"/>
    <w:rsid w:val="1AFF065F"/>
    <w:rsid w:val="1B515F95"/>
    <w:rsid w:val="1BB27AA1"/>
    <w:rsid w:val="1C161DDD"/>
    <w:rsid w:val="1C320A9C"/>
    <w:rsid w:val="1C550B58"/>
    <w:rsid w:val="1C616B23"/>
    <w:rsid w:val="1D3864FB"/>
    <w:rsid w:val="1D6F314E"/>
    <w:rsid w:val="1D7D3EB9"/>
    <w:rsid w:val="1D7E40DE"/>
    <w:rsid w:val="1D95430B"/>
    <w:rsid w:val="1DAA4ED3"/>
    <w:rsid w:val="1DAD0520"/>
    <w:rsid w:val="1DC8378E"/>
    <w:rsid w:val="1DE026A3"/>
    <w:rsid w:val="1E5077D8"/>
    <w:rsid w:val="1F8D23B7"/>
    <w:rsid w:val="1FBE4C66"/>
    <w:rsid w:val="1FDC50EC"/>
    <w:rsid w:val="1FF8225A"/>
    <w:rsid w:val="20410CE9"/>
    <w:rsid w:val="20FD0F43"/>
    <w:rsid w:val="21585F1B"/>
    <w:rsid w:val="217A7082"/>
    <w:rsid w:val="21836730"/>
    <w:rsid w:val="21BC7122"/>
    <w:rsid w:val="21C75A6D"/>
    <w:rsid w:val="220605FD"/>
    <w:rsid w:val="22A12348"/>
    <w:rsid w:val="22AD34AF"/>
    <w:rsid w:val="22CD1505"/>
    <w:rsid w:val="238E69AC"/>
    <w:rsid w:val="23CD2C5E"/>
    <w:rsid w:val="23D72242"/>
    <w:rsid w:val="23D91F5E"/>
    <w:rsid w:val="2406098A"/>
    <w:rsid w:val="240C5E63"/>
    <w:rsid w:val="241F1E28"/>
    <w:rsid w:val="242860CF"/>
    <w:rsid w:val="24811B48"/>
    <w:rsid w:val="25211AA8"/>
    <w:rsid w:val="25657932"/>
    <w:rsid w:val="25C97A5B"/>
    <w:rsid w:val="26217FAF"/>
    <w:rsid w:val="266D4CF0"/>
    <w:rsid w:val="268C788E"/>
    <w:rsid w:val="26EC20B9"/>
    <w:rsid w:val="274C4F7C"/>
    <w:rsid w:val="27CD61E7"/>
    <w:rsid w:val="28101DD7"/>
    <w:rsid w:val="28467729"/>
    <w:rsid w:val="29DE2EB4"/>
    <w:rsid w:val="2A3C68B2"/>
    <w:rsid w:val="2A426494"/>
    <w:rsid w:val="2A801553"/>
    <w:rsid w:val="2ACF41CB"/>
    <w:rsid w:val="2AE17A5A"/>
    <w:rsid w:val="2B850141"/>
    <w:rsid w:val="2BB4516F"/>
    <w:rsid w:val="2BC33156"/>
    <w:rsid w:val="2C0A31BE"/>
    <w:rsid w:val="2C354DC9"/>
    <w:rsid w:val="2C6941FF"/>
    <w:rsid w:val="2CFE1498"/>
    <w:rsid w:val="2D923467"/>
    <w:rsid w:val="2E053E8C"/>
    <w:rsid w:val="2E0A0A82"/>
    <w:rsid w:val="2E0F44D8"/>
    <w:rsid w:val="2E112962"/>
    <w:rsid w:val="2E435663"/>
    <w:rsid w:val="2ED14F66"/>
    <w:rsid w:val="2F417188"/>
    <w:rsid w:val="2F4B1946"/>
    <w:rsid w:val="2F5C1222"/>
    <w:rsid w:val="30F07D67"/>
    <w:rsid w:val="31FF0E6C"/>
    <w:rsid w:val="32FD27B6"/>
    <w:rsid w:val="334138A4"/>
    <w:rsid w:val="33433781"/>
    <w:rsid w:val="33537D14"/>
    <w:rsid w:val="33763C41"/>
    <w:rsid w:val="346911EC"/>
    <w:rsid w:val="35272C7B"/>
    <w:rsid w:val="35BF6BEA"/>
    <w:rsid w:val="35C6578F"/>
    <w:rsid w:val="35DB6274"/>
    <w:rsid w:val="35EA010B"/>
    <w:rsid w:val="360B1AD4"/>
    <w:rsid w:val="36346C88"/>
    <w:rsid w:val="363F1332"/>
    <w:rsid w:val="366F017D"/>
    <w:rsid w:val="368A71F8"/>
    <w:rsid w:val="36A92329"/>
    <w:rsid w:val="36D050A3"/>
    <w:rsid w:val="37D61B98"/>
    <w:rsid w:val="37F4701F"/>
    <w:rsid w:val="38292AE4"/>
    <w:rsid w:val="38635F53"/>
    <w:rsid w:val="388D1669"/>
    <w:rsid w:val="38CC171C"/>
    <w:rsid w:val="3905700A"/>
    <w:rsid w:val="39477394"/>
    <w:rsid w:val="394A182B"/>
    <w:rsid w:val="395858B4"/>
    <w:rsid w:val="3970251A"/>
    <w:rsid w:val="39DB24D8"/>
    <w:rsid w:val="3A287454"/>
    <w:rsid w:val="3B1C1EFC"/>
    <w:rsid w:val="3B735C80"/>
    <w:rsid w:val="3BC71ADD"/>
    <w:rsid w:val="3BE82A8F"/>
    <w:rsid w:val="3BEA3346"/>
    <w:rsid w:val="3CA70393"/>
    <w:rsid w:val="3D7618E1"/>
    <w:rsid w:val="3DAE7C70"/>
    <w:rsid w:val="3E15176F"/>
    <w:rsid w:val="3E3C527C"/>
    <w:rsid w:val="3EFE2C72"/>
    <w:rsid w:val="3F4F5483"/>
    <w:rsid w:val="3F724832"/>
    <w:rsid w:val="3F9E6B2B"/>
    <w:rsid w:val="3FF75596"/>
    <w:rsid w:val="40027393"/>
    <w:rsid w:val="402F44B0"/>
    <w:rsid w:val="408B69E7"/>
    <w:rsid w:val="40912071"/>
    <w:rsid w:val="411A47E6"/>
    <w:rsid w:val="41670862"/>
    <w:rsid w:val="41CA6005"/>
    <w:rsid w:val="42045EFC"/>
    <w:rsid w:val="4209430B"/>
    <w:rsid w:val="420D5E1A"/>
    <w:rsid w:val="42445AD3"/>
    <w:rsid w:val="426B4382"/>
    <w:rsid w:val="43284021"/>
    <w:rsid w:val="434907ED"/>
    <w:rsid w:val="43635749"/>
    <w:rsid w:val="436567F7"/>
    <w:rsid w:val="439416B6"/>
    <w:rsid w:val="43A7763B"/>
    <w:rsid w:val="43B6440D"/>
    <w:rsid w:val="43E8738E"/>
    <w:rsid w:val="44913E48"/>
    <w:rsid w:val="44916530"/>
    <w:rsid w:val="44BB4C9D"/>
    <w:rsid w:val="44CD30D2"/>
    <w:rsid w:val="44E81CBA"/>
    <w:rsid w:val="44E93ED3"/>
    <w:rsid w:val="455A06DD"/>
    <w:rsid w:val="456733BF"/>
    <w:rsid w:val="456B4699"/>
    <w:rsid w:val="46053912"/>
    <w:rsid w:val="472D37D8"/>
    <w:rsid w:val="47873C17"/>
    <w:rsid w:val="48322590"/>
    <w:rsid w:val="485954E8"/>
    <w:rsid w:val="48971351"/>
    <w:rsid w:val="48FF6F9B"/>
    <w:rsid w:val="492131CC"/>
    <w:rsid w:val="492E03C3"/>
    <w:rsid w:val="496322F6"/>
    <w:rsid w:val="49CE4C49"/>
    <w:rsid w:val="49E113CD"/>
    <w:rsid w:val="49FD1D99"/>
    <w:rsid w:val="4A036364"/>
    <w:rsid w:val="4A2439C7"/>
    <w:rsid w:val="4A4620E5"/>
    <w:rsid w:val="4A5C2802"/>
    <w:rsid w:val="4AD351BA"/>
    <w:rsid w:val="4AED50B8"/>
    <w:rsid w:val="4B3649C1"/>
    <w:rsid w:val="4C1C27E2"/>
    <w:rsid w:val="4C33798C"/>
    <w:rsid w:val="4C416153"/>
    <w:rsid w:val="4C6D6F48"/>
    <w:rsid w:val="4CC51F44"/>
    <w:rsid w:val="4D505B6D"/>
    <w:rsid w:val="4D6150FB"/>
    <w:rsid w:val="4D693BB4"/>
    <w:rsid w:val="4DE529F9"/>
    <w:rsid w:val="4E6016A8"/>
    <w:rsid w:val="4E7814F5"/>
    <w:rsid w:val="4E9510FC"/>
    <w:rsid w:val="4EB15781"/>
    <w:rsid w:val="4F160C8C"/>
    <w:rsid w:val="4F5B752C"/>
    <w:rsid w:val="502B02F9"/>
    <w:rsid w:val="50923850"/>
    <w:rsid w:val="50F86BE8"/>
    <w:rsid w:val="51971121"/>
    <w:rsid w:val="51BC3A80"/>
    <w:rsid w:val="51C54B1A"/>
    <w:rsid w:val="526130AB"/>
    <w:rsid w:val="52DC0984"/>
    <w:rsid w:val="52EF3147"/>
    <w:rsid w:val="52FA6C83"/>
    <w:rsid w:val="537F5EDF"/>
    <w:rsid w:val="53ED6A20"/>
    <w:rsid w:val="540E65F8"/>
    <w:rsid w:val="54240DF8"/>
    <w:rsid w:val="54617393"/>
    <w:rsid w:val="54637754"/>
    <w:rsid w:val="55006D18"/>
    <w:rsid w:val="55067F3A"/>
    <w:rsid w:val="55406F82"/>
    <w:rsid w:val="556371AC"/>
    <w:rsid w:val="559C7DD5"/>
    <w:rsid w:val="55D575B1"/>
    <w:rsid w:val="55E069DD"/>
    <w:rsid w:val="55EF6976"/>
    <w:rsid w:val="561777FB"/>
    <w:rsid w:val="56294142"/>
    <w:rsid w:val="56423FD8"/>
    <w:rsid w:val="56B709D4"/>
    <w:rsid w:val="572731A4"/>
    <w:rsid w:val="575339D6"/>
    <w:rsid w:val="575D0EFA"/>
    <w:rsid w:val="57AC0A95"/>
    <w:rsid w:val="58076C38"/>
    <w:rsid w:val="581623FB"/>
    <w:rsid w:val="5818245E"/>
    <w:rsid w:val="583B61E8"/>
    <w:rsid w:val="58951D01"/>
    <w:rsid w:val="58955523"/>
    <w:rsid w:val="58ED04B5"/>
    <w:rsid w:val="5A50460E"/>
    <w:rsid w:val="5C025093"/>
    <w:rsid w:val="5C5C72F7"/>
    <w:rsid w:val="5C7846DE"/>
    <w:rsid w:val="5C863052"/>
    <w:rsid w:val="5C9F1E6F"/>
    <w:rsid w:val="5CBF3A09"/>
    <w:rsid w:val="5CFC234E"/>
    <w:rsid w:val="5D105DFA"/>
    <w:rsid w:val="5D2C0933"/>
    <w:rsid w:val="5D435240"/>
    <w:rsid w:val="5D7B1D7D"/>
    <w:rsid w:val="5DD47FC7"/>
    <w:rsid w:val="5E406E22"/>
    <w:rsid w:val="5E662666"/>
    <w:rsid w:val="5E79407E"/>
    <w:rsid w:val="5ED15115"/>
    <w:rsid w:val="5ED561D5"/>
    <w:rsid w:val="5F1850A3"/>
    <w:rsid w:val="5F263154"/>
    <w:rsid w:val="5F4C731B"/>
    <w:rsid w:val="5FB54A36"/>
    <w:rsid w:val="5FBE1B3D"/>
    <w:rsid w:val="5FC13BB9"/>
    <w:rsid w:val="6087424D"/>
    <w:rsid w:val="60C505C6"/>
    <w:rsid w:val="61930DA7"/>
    <w:rsid w:val="619A63CB"/>
    <w:rsid w:val="61D30C35"/>
    <w:rsid w:val="623B7CF7"/>
    <w:rsid w:val="62A25EEF"/>
    <w:rsid w:val="635611A9"/>
    <w:rsid w:val="635A6E22"/>
    <w:rsid w:val="63E1229E"/>
    <w:rsid w:val="63ED6F9C"/>
    <w:rsid w:val="643644C6"/>
    <w:rsid w:val="646802C9"/>
    <w:rsid w:val="64A21A2D"/>
    <w:rsid w:val="653F0282"/>
    <w:rsid w:val="659770B8"/>
    <w:rsid w:val="65990114"/>
    <w:rsid w:val="65C47BCE"/>
    <w:rsid w:val="65F918CA"/>
    <w:rsid w:val="669143E6"/>
    <w:rsid w:val="66AB0941"/>
    <w:rsid w:val="678F3D65"/>
    <w:rsid w:val="67C458B8"/>
    <w:rsid w:val="67F41C3C"/>
    <w:rsid w:val="68770E48"/>
    <w:rsid w:val="689A7263"/>
    <w:rsid w:val="68C36A8E"/>
    <w:rsid w:val="699A7D5E"/>
    <w:rsid w:val="69DC1964"/>
    <w:rsid w:val="6A933BC6"/>
    <w:rsid w:val="6A974ECC"/>
    <w:rsid w:val="6AE1058B"/>
    <w:rsid w:val="6AF93E55"/>
    <w:rsid w:val="6B713F07"/>
    <w:rsid w:val="6B7F174F"/>
    <w:rsid w:val="6BAE515B"/>
    <w:rsid w:val="6BC06659"/>
    <w:rsid w:val="6BDF66CB"/>
    <w:rsid w:val="6CD31811"/>
    <w:rsid w:val="6CE37341"/>
    <w:rsid w:val="6D1A1611"/>
    <w:rsid w:val="6D436A9D"/>
    <w:rsid w:val="6D437793"/>
    <w:rsid w:val="6DA37063"/>
    <w:rsid w:val="6E5C0E9F"/>
    <w:rsid w:val="6E972F22"/>
    <w:rsid w:val="6EA37793"/>
    <w:rsid w:val="6EE36ECA"/>
    <w:rsid w:val="6F1F1ECC"/>
    <w:rsid w:val="6F2412B9"/>
    <w:rsid w:val="6F2D3B7A"/>
    <w:rsid w:val="6FD20A80"/>
    <w:rsid w:val="706762C0"/>
    <w:rsid w:val="708E730A"/>
    <w:rsid w:val="70A94143"/>
    <w:rsid w:val="70AD4DDF"/>
    <w:rsid w:val="712D267F"/>
    <w:rsid w:val="71417A4F"/>
    <w:rsid w:val="714C3CB9"/>
    <w:rsid w:val="715C1022"/>
    <w:rsid w:val="71905D9E"/>
    <w:rsid w:val="71D92970"/>
    <w:rsid w:val="720407C0"/>
    <w:rsid w:val="721821D2"/>
    <w:rsid w:val="723D2D95"/>
    <w:rsid w:val="7242215A"/>
    <w:rsid w:val="72486173"/>
    <w:rsid w:val="737A4A4C"/>
    <w:rsid w:val="73922442"/>
    <w:rsid w:val="739C30E9"/>
    <w:rsid w:val="73BB041E"/>
    <w:rsid w:val="73C535EE"/>
    <w:rsid w:val="73F43927"/>
    <w:rsid w:val="7422308A"/>
    <w:rsid w:val="742B5867"/>
    <w:rsid w:val="74492CD9"/>
    <w:rsid w:val="74AD0323"/>
    <w:rsid w:val="75054E30"/>
    <w:rsid w:val="752D3272"/>
    <w:rsid w:val="755E1F6B"/>
    <w:rsid w:val="756E7621"/>
    <w:rsid w:val="759673D8"/>
    <w:rsid w:val="75DF65F3"/>
    <w:rsid w:val="75E93115"/>
    <w:rsid w:val="75FC2F67"/>
    <w:rsid w:val="77083846"/>
    <w:rsid w:val="77335721"/>
    <w:rsid w:val="77D640B1"/>
    <w:rsid w:val="78067795"/>
    <w:rsid w:val="78225E0E"/>
    <w:rsid w:val="78394BDF"/>
    <w:rsid w:val="78570929"/>
    <w:rsid w:val="786C6182"/>
    <w:rsid w:val="78922545"/>
    <w:rsid w:val="791D5A99"/>
    <w:rsid w:val="79617BF3"/>
    <w:rsid w:val="79AA1C4E"/>
    <w:rsid w:val="79BA116F"/>
    <w:rsid w:val="7A6E6B09"/>
    <w:rsid w:val="7A910DBC"/>
    <w:rsid w:val="7A950DC5"/>
    <w:rsid w:val="7AC72534"/>
    <w:rsid w:val="7B0A6545"/>
    <w:rsid w:val="7B1E74DC"/>
    <w:rsid w:val="7BB73374"/>
    <w:rsid w:val="7BF92C51"/>
    <w:rsid w:val="7C09112C"/>
    <w:rsid w:val="7C0E0C62"/>
    <w:rsid w:val="7C444D20"/>
    <w:rsid w:val="7CA511C1"/>
    <w:rsid w:val="7CAE39D4"/>
    <w:rsid w:val="7CB92636"/>
    <w:rsid w:val="7DDD0479"/>
    <w:rsid w:val="7DE042BE"/>
    <w:rsid w:val="7E3A7D5C"/>
    <w:rsid w:val="7E404F8C"/>
    <w:rsid w:val="7E7614FF"/>
    <w:rsid w:val="7E9E4FFB"/>
    <w:rsid w:val="7EA30D77"/>
    <w:rsid w:val="7EF33224"/>
    <w:rsid w:val="7FF01447"/>
    <w:rsid w:val="DB6C9BE9"/>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autoRedefine/>
    <w:qFormat/>
    <w:uiPriority w:val="0"/>
    <w:pPr>
      <w:keepNext/>
      <w:keepLines/>
      <w:adjustRightInd w:val="0"/>
      <w:spacing w:before="120" w:line="360" w:lineRule="auto"/>
      <w:textAlignment w:val="baseline"/>
      <w:outlineLvl w:val="0"/>
    </w:pPr>
    <w:rPr>
      <w:rFonts w:eastAsia="黑体"/>
      <w:b/>
      <w:kern w:val="44"/>
      <w:sz w:val="28"/>
      <w:szCs w:val="20"/>
    </w:rPr>
  </w:style>
  <w:style w:type="paragraph" w:styleId="3">
    <w:name w:val="heading 2"/>
    <w:basedOn w:val="1"/>
    <w:next w:val="1"/>
    <w:link w:val="133"/>
    <w:autoRedefine/>
    <w:qFormat/>
    <w:uiPriority w:val="0"/>
    <w:pPr>
      <w:keepNext/>
      <w:spacing w:before="120" w:line="360" w:lineRule="auto"/>
      <w:textAlignment w:val="baseline"/>
      <w:outlineLvl w:val="1"/>
    </w:pPr>
    <w:rPr>
      <w:rFonts w:eastAsia="黑体"/>
      <w:b/>
      <w:kern w:val="0"/>
      <w:sz w:val="28"/>
      <w:szCs w:val="20"/>
    </w:rPr>
  </w:style>
  <w:style w:type="paragraph" w:styleId="4">
    <w:name w:val="heading 3"/>
    <w:basedOn w:val="1"/>
    <w:next w:val="1"/>
    <w:link w:val="78"/>
    <w:autoRedefine/>
    <w:qFormat/>
    <w:uiPriority w:val="0"/>
    <w:pPr>
      <w:tabs>
        <w:tab w:val="left" w:pos="900"/>
      </w:tabs>
      <w:adjustRightInd w:val="0"/>
      <w:spacing w:before="120" w:line="360" w:lineRule="auto"/>
      <w:textAlignment w:val="baseline"/>
      <w:outlineLvl w:val="2"/>
    </w:pPr>
    <w:rPr>
      <w:rFonts w:eastAsia="黑体"/>
      <w:b/>
      <w:kern w:val="0"/>
      <w:sz w:val="28"/>
      <w:szCs w:val="20"/>
    </w:rPr>
  </w:style>
  <w:style w:type="paragraph" w:styleId="5">
    <w:name w:val="heading 4"/>
    <w:basedOn w:val="1"/>
    <w:next w:val="1"/>
    <w:autoRedefine/>
    <w:qFormat/>
    <w:uiPriority w:val="0"/>
    <w:pPr>
      <w:adjustRightInd w:val="0"/>
      <w:spacing w:before="120" w:line="360" w:lineRule="auto"/>
      <w:textAlignment w:val="baseline"/>
      <w:outlineLvl w:val="3"/>
    </w:pPr>
    <w:rPr>
      <w:rFonts w:ascii="Arial" w:hAnsi="Arial" w:eastAsia="黑体"/>
      <w:kern w:val="0"/>
      <w:sz w:val="28"/>
      <w:szCs w:val="20"/>
    </w:rPr>
  </w:style>
  <w:style w:type="paragraph" w:styleId="6">
    <w:name w:val="heading 5"/>
    <w:basedOn w:val="1"/>
    <w:next w:val="1"/>
    <w:link w:val="69"/>
    <w:autoRedefine/>
    <w:qFormat/>
    <w:uiPriority w:val="9"/>
    <w:pPr>
      <w:keepNext/>
      <w:keepLines/>
      <w:spacing w:before="280" w:after="290" w:line="376" w:lineRule="auto"/>
      <w:outlineLvl w:val="4"/>
    </w:pPr>
    <w:rPr>
      <w:b/>
      <w:bCs/>
      <w:sz w:val="28"/>
      <w:szCs w:val="28"/>
    </w:rPr>
  </w:style>
  <w:style w:type="paragraph" w:styleId="7">
    <w:name w:val="heading 6"/>
    <w:basedOn w:val="1"/>
    <w:next w:val="1"/>
    <w:link w:val="79"/>
    <w:autoRedefine/>
    <w:qFormat/>
    <w:uiPriority w:val="9"/>
    <w:pPr>
      <w:keepNext/>
      <w:keepLines/>
      <w:spacing w:before="240" w:after="64" w:line="320" w:lineRule="auto"/>
      <w:outlineLvl w:val="5"/>
    </w:pPr>
    <w:rPr>
      <w:rFonts w:ascii="等线 Light" w:hAnsi="等线 Light" w:eastAsia="等线 Light"/>
      <w:b/>
      <w:bCs/>
      <w:sz w:val="24"/>
    </w:rPr>
  </w:style>
  <w:style w:type="character" w:default="1" w:styleId="44">
    <w:name w:val="Default Paragraph Font"/>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qFormat/>
    <w:uiPriority w:val="39"/>
    <w:pPr>
      <w:ind w:left="1260"/>
      <w:jc w:val="left"/>
    </w:pPr>
    <w:rPr>
      <w:rFonts w:ascii="等线" w:eastAsia="等线"/>
      <w:sz w:val="18"/>
      <w:szCs w:val="18"/>
    </w:rPr>
  </w:style>
  <w:style w:type="paragraph" w:styleId="9">
    <w:name w:val="table of authorities"/>
    <w:basedOn w:val="1"/>
    <w:next w:val="1"/>
    <w:autoRedefine/>
    <w:unhideWhenUsed/>
    <w:qFormat/>
    <w:uiPriority w:val="99"/>
    <w:pPr>
      <w:ind w:left="420" w:leftChars="200"/>
    </w:pPr>
  </w:style>
  <w:style w:type="paragraph" w:styleId="10">
    <w:name w:val="Normal Indent"/>
    <w:basedOn w:val="1"/>
    <w:next w:val="1"/>
    <w:link w:val="80"/>
    <w:autoRedefine/>
    <w:qFormat/>
    <w:uiPriority w:val="0"/>
    <w:pPr>
      <w:ind w:firstLine="420"/>
    </w:pPr>
    <w:rPr>
      <w:szCs w:val="20"/>
    </w:rPr>
  </w:style>
  <w:style w:type="paragraph" w:styleId="11">
    <w:name w:val="Document Map"/>
    <w:basedOn w:val="1"/>
    <w:autoRedefine/>
    <w:qFormat/>
    <w:uiPriority w:val="0"/>
    <w:pPr>
      <w:shd w:val="clear" w:color="auto" w:fill="000080"/>
    </w:pPr>
  </w:style>
  <w:style w:type="paragraph" w:styleId="12">
    <w:name w:val="toa heading"/>
    <w:basedOn w:val="1"/>
    <w:next w:val="1"/>
    <w:autoRedefine/>
    <w:semiHidden/>
    <w:qFormat/>
    <w:uiPriority w:val="0"/>
    <w:pPr>
      <w:spacing w:before="120"/>
    </w:pPr>
    <w:rPr>
      <w:rFonts w:ascii="Arial" w:hAnsi="Arial" w:cs="Arial"/>
      <w:sz w:val="24"/>
    </w:rPr>
  </w:style>
  <w:style w:type="paragraph" w:styleId="13">
    <w:name w:val="annotation text"/>
    <w:basedOn w:val="1"/>
    <w:link w:val="88"/>
    <w:autoRedefine/>
    <w:qFormat/>
    <w:uiPriority w:val="99"/>
    <w:pPr>
      <w:jc w:val="left"/>
    </w:pPr>
  </w:style>
  <w:style w:type="paragraph" w:styleId="14">
    <w:name w:val="Body Text 3"/>
    <w:basedOn w:val="1"/>
    <w:autoRedefine/>
    <w:qFormat/>
    <w:uiPriority w:val="0"/>
    <w:rPr>
      <w:sz w:val="24"/>
    </w:rPr>
  </w:style>
  <w:style w:type="paragraph" w:styleId="15">
    <w:name w:val="Body Text"/>
    <w:basedOn w:val="1"/>
    <w:link w:val="60"/>
    <w:autoRedefine/>
    <w:qFormat/>
    <w:uiPriority w:val="99"/>
    <w:rPr>
      <w:rFonts w:ascii="金山简黑体" w:hAnsi="金山简黑体" w:eastAsia="金山简黑体"/>
      <w:b/>
      <w:spacing w:val="-8"/>
      <w:sz w:val="44"/>
      <w:szCs w:val="20"/>
    </w:rPr>
  </w:style>
  <w:style w:type="paragraph" w:styleId="16">
    <w:name w:val="Body Text Indent"/>
    <w:basedOn w:val="1"/>
    <w:next w:val="17"/>
    <w:autoRedefine/>
    <w:qFormat/>
    <w:uiPriority w:val="0"/>
    <w:pPr>
      <w:spacing w:line="200" w:lineRule="exact"/>
      <w:ind w:firstLine="301"/>
    </w:pPr>
    <w:rPr>
      <w:rFonts w:ascii="宋体"/>
      <w:spacing w:val="-4"/>
      <w:sz w:val="18"/>
      <w:szCs w:val="20"/>
    </w:rPr>
  </w:style>
  <w:style w:type="paragraph" w:styleId="17">
    <w:name w:val="Body Text First Indent 2"/>
    <w:basedOn w:val="16"/>
    <w:next w:val="18"/>
    <w:autoRedefine/>
    <w:qFormat/>
    <w:uiPriority w:val="0"/>
    <w:pPr>
      <w:spacing w:line="460" w:lineRule="exact"/>
      <w:ind w:firstLine="420"/>
    </w:pPr>
    <w:rPr>
      <w:rFonts w:ascii="Calibri" w:hAnsi="宋体"/>
      <w:szCs w:val="22"/>
    </w:rPr>
  </w:style>
  <w:style w:type="paragraph" w:styleId="18">
    <w:name w:val="Body Text First Indent"/>
    <w:basedOn w:val="15"/>
    <w:next w:val="1"/>
    <w:qFormat/>
    <w:uiPriority w:val="0"/>
    <w:pPr>
      <w:spacing w:after="120"/>
      <w:ind w:firstLine="420" w:firstLineChars="100"/>
    </w:pPr>
  </w:style>
  <w:style w:type="paragraph" w:styleId="19">
    <w:name w:val="toc 5"/>
    <w:basedOn w:val="1"/>
    <w:next w:val="1"/>
    <w:autoRedefine/>
    <w:qFormat/>
    <w:uiPriority w:val="39"/>
    <w:pPr>
      <w:ind w:left="840"/>
      <w:jc w:val="left"/>
    </w:pPr>
    <w:rPr>
      <w:rFonts w:ascii="等线" w:eastAsia="等线"/>
      <w:sz w:val="18"/>
      <w:szCs w:val="18"/>
    </w:rPr>
  </w:style>
  <w:style w:type="paragraph" w:styleId="20">
    <w:name w:val="toc 3"/>
    <w:basedOn w:val="1"/>
    <w:next w:val="1"/>
    <w:autoRedefine/>
    <w:qFormat/>
    <w:uiPriority w:val="39"/>
    <w:pPr>
      <w:ind w:left="420"/>
      <w:jc w:val="left"/>
    </w:pPr>
    <w:rPr>
      <w:rFonts w:ascii="等线" w:eastAsia="等线"/>
      <w:i/>
      <w:iCs/>
      <w:sz w:val="20"/>
      <w:szCs w:val="20"/>
    </w:rPr>
  </w:style>
  <w:style w:type="paragraph" w:styleId="21">
    <w:name w:val="Plain Text"/>
    <w:basedOn w:val="1"/>
    <w:link w:val="81"/>
    <w:autoRedefine/>
    <w:qFormat/>
    <w:uiPriority w:val="0"/>
    <w:rPr>
      <w:rFonts w:ascii="宋体"/>
      <w:szCs w:val="20"/>
    </w:rPr>
  </w:style>
  <w:style w:type="paragraph" w:styleId="22">
    <w:name w:val="toc 8"/>
    <w:basedOn w:val="1"/>
    <w:next w:val="1"/>
    <w:autoRedefine/>
    <w:qFormat/>
    <w:uiPriority w:val="39"/>
    <w:pPr>
      <w:ind w:left="1470"/>
      <w:jc w:val="left"/>
    </w:pPr>
    <w:rPr>
      <w:rFonts w:ascii="等线" w:eastAsia="等线"/>
      <w:sz w:val="18"/>
      <w:szCs w:val="18"/>
    </w:rPr>
  </w:style>
  <w:style w:type="paragraph" w:styleId="23">
    <w:name w:val="Date"/>
    <w:basedOn w:val="1"/>
    <w:next w:val="1"/>
    <w:link w:val="83"/>
    <w:autoRedefine/>
    <w:qFormat/>
    <w:uiPriority w:val="99"/>
    <w:rPr>
      <w:b/>
      <w:sz w:val="28"/>
      <w:szCs w:val="22"/>
    </w:rPr>
  </w:style>
  <w:style w:type="paragraph" w:styleId="24">
    <w:name w:val="Body Text Indent 2"/>
    <w:basedOn w:val="1"/>
    <w:autoRedefine/>
    <w:qFormat/>
    <w:uiPriority w:val="0"/>
    <w:pPr>
      <w:spacing w:after="120" w:line="480" w:lineRule="auto"/>
      <w:ind w:left="200" w:leftChars="200"/>
    </w:pPr>
  </w:style>
  <w:style w:type="paragraph" w:styleId="25">
    <w:name w:val="Balloon Text"/>
    <w:basedOn w:val="1"/>
    <w:link w:val="84"/>
    <w:autoRedefine/>
    <w:qFormat/>
    <w:uiPriority w:val="0"/>
    <w:rPr>
      <w:sz w:val="18"/>
      <w:szCs w:val="18"/>
    </w:rPr>
  </w:style>
  <w:style w:type="paragraph" w:styleId="26">
    <w:name w:val="footer"/>
    <w:basedOn w:val="1"/>
    <w:link w:val="59"/>
    <w:autoRedefine/>
    <w:qFormat/>
    <w:uiPriority w:val="0"/>
    <w:pPr>
      <w:tabs>
        <w:tab w:val="center" w:pos="4153"/>
        <w:tab w:val="right" w:pos="8306"/>
      </w:tabs>
      <w:snapToGrid w:val="0"/>
      <w:jc w:val="left"/>
    </w:pPr>
    <w:rPr>
      <w:rFonts w:ascii="宋体"/>
      <w:sz w:val="18"/>
      <w:szCs w:val="20"/>
    </w:rPr>
  </w:style>
  <w:style w:type="paragraph" w:styleId="27">
    <w:name w:val="envelope return"/>
    <w:basedOn w:val="1"/>
    <w:qFormat/>
    <w:uiPriority w:val="0"/>
    <w:pPr>
      <w:snapToGrid w:val="0"/>
    </w:pPr>
    <w:rPr>
      <w:rFonts w:ascii="Arial" w:hAnsi="Arial"/>
    </w:rPr>
  </w:style>
  <w:style w:type="paragraph" w:styleId="2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before="120" w:after="120"/>
      <w:jc w:val="left"/>
    </w:pPr>
    <w:rPr>
      <w:rFonts w:ascii="等线" w:eastAsia="等线"/>
      <w:b/>
      <w:bCs/>
      <w:caps/>
      <w:sz w:val="20"/>
      <w:szCs w:val="20"/>
    </w:rPr>
  </w:style>
  <w:style w:type="paragraph" w:styleId="30">
    <w:name w:val="toc 4"/>
    <w:basedOn w:val="1"/>
    <w:next w:val="1"/>
    <w:autoRedefine/>
    <w:qFormat/>
    <w:uiPriority w:val="39"/>
    <w:pPr>
      <w:ind w:left="630"/>
      <w:jc w:val="left"/>
    </w:pPr>
    <w:rPr>
      <w:rFonts w:ascii="等线" w:eastAsia="等线"/>
      <w:sz w:val="18"/>
      <w:szCs w:val="18"/>
    </w:rPr>
  </w:style>
  <w:style w:type="paragraph" w:styleId="31">
    <w:name w:val="toc 6"/>
    <w:basedOn w:val="1"/>
    <w:next w:val="1"/>
    <w:autoRedefine/>
    <w:qFormat/>
    <w:uiPriority w:val="39"/>
    <w:pPr>
      <w:ind w:left="1050"/>
      <w:jc w:val="left"/>
    </w:pPr>
    <w:rPr>
      <w:rFonts w:ascii="等线" w:eastAsia="等线"/>
      <w:sz w:val="18"/>
      <w:szCs w:val="18"/>
    </w:rPr>
  </w:style>
  <w:style w:type="paragraph" w:styleId="32">
    <w:name w:val="Body Text Indent 3"/>
    <w:basedOn w:val="1"/>
    <w:autoRedefine/>
    <w:qFormat/>
    <w:uiPriority w:val="0"/>
    <w:pPr>
      <w:spacing w:line="400" w:lineRule="exact"/>
      <w:ind w:left="360"/>
    </w:pPr>
    <w:rPr>
      <w:sz w:val="24"/>
    </w:rPr>
  </w:style>
  <w:style w:type="paragraph" w:styleId="33">
    <w:name w:val="toc 2"/>
    <w:basedOn w:val="1"/>
    <w:next w:val="1"/>
    <w:autoRedefine/>
    <w:qFormat/>
    <w:uiPriority w:val="39"/>
    <w:pPr>
      <w:ind w:left="210"/>
      <w:jc w:val="left"/>
    </w:pPr>
    <w:rPr>
      <w:rFonts w:ascii="等线" w:eastAsia="等线"/>
      <w:smallCaps/>
      <w:sz w:val="20"/>
      <w:szCs w:val="20"/>
    </w:rPr>
  </w:style>
  <w:style w:type="paragraph" w:styleId="34">
    <w:name w:val="toc 9"/>
    <w:basedOn w:val="1"/>
    <w:next w:val="1"/>
    <w:autoRedefine/>
    <w:qFormat/>
    <w:uiPriority w:val="39"/>
    <w:pPr>
      <w:ind w:left="1680"/>
      <w:jc w:val="left"/>
    </w:pPr>
    <w:rPr>
      <w:rFonts w:ascii="等线" w:eastAsia="等线"/>
      <w:sz w:val="18"/>
      <w:szCs w:val="18"/>
    </w:rPr>
  </w:style>
  <w:style w:type="paragraph" w:styleId="35">
    <w:name w:val="Body Text 2"/>
    <w:basedOn w:val="1"/>
    <w:autoRedefine/>
    <w:qFormat/>
    <w:uiPriority w:val="0"/>
    <w:rPr>
      <w:rFonts w:ascii="宋体"/>
      <w:sz w:val="13"/>
      <w:szCs w:val="20"/>
    </w:rPr>
  </w:style>
  <w:style w:type="paragraph" w:styleId="3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style>
  <w:style w:type="paragraph" w:styleId="40">
    <w:name w:val="annotation subject"/>
    <w:basedOn w:val="13"/>
    <w:next w:val="13"/>
    <w:link w:val="71"/>
    <w:autoRedefine/>
    <w:qFormat/>
    <w:uiPriority w:val="0"/>
    <w:rPr>
      <w:b/>
      <w:bCs/>
    </w:rPr>
  </w:style>
  <w:style w:type="table" w:styleId="42">
    <w:name w:val="Table Grid"/>
    <w:basedOn w:val="4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Table Grid 5"/>
    <w:basedOn w:val="41"/>
    <w:autoRedefine/>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shd w:val="clear" w:color="auto" w:fill="auto"/>
    </w:tcPr>
    <w:tblStylePr w:type="firstRow">
      <w:tblPr/>
      <w:tcPr>
        <w:tcBorders>
          <w:top w:val="nil"/>
          <w:left w:val="nil"/>
          <w:bottom w:val="single" w:color="auto"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character" w:styleId="45">
    <w:name w:val="page number"/>
    <w:autoRedefine/>
    <w:qFormat/>
    <w:uiPriority w:val="0"/>
    <w:rPr>
      <w:rFonts w:ascii="Times New Roman" w:hAnsi="Times New Roman" w:eastAsia="宋体" w:cs="Times New Roman"/>
      <w:lang w:val="en-US" w:eastAsia="zh-CN" w:bidi="ar-SA"/>
    </w:rPr>
  </w:style>
  <w:style w:type="character" w:styleId="46">
    <w:name w:val="FollowedHyperlink"/>
    <w:autoRedefine/>
    <w:qFormat/>
    <w:uiPriority w:val="0"/>
    <w:rPr>
      <w:rFonts w:ascii="Times New Roman" w:hAnsi="Times New Roman" w:eastAsia="宋体" w:cs="Times New Roman"/>
      <w:color w:val="800080"/>
      <w:u w:val="single"/>
      <w:lang w:val="en-US" w:eastAsia="zh-CN" w:bidi="ar-SA"/>
    </w:rPr>
  </w:style>
  <w:style w:type="character" w:styleId="47">
    <w:name w:val="Hyperlink"/>
    <w:autoRedefine/>
    <w:qFormat/>
    <w:uiPriority w:val="99"/>
    <w:rPr>
      <w:rFonts w:ascii="Times New Roman" w:hAnsi="Times New Roman" w:eastAsia="宋体" w:cs="Times New Roman"/>
      <w:color w:val="0000FF"/>
      <w:u w:val="single"/>
      <w:lang w:val="en-US" w:eastAsia="zh-CN" w:bidi="ar-SA"/>
    </w:rPr>
  </w:style>
  <w:style w:type="character" w:styleId="48">
    <w:name w:val="HTML Code"/>
    <w:basedOn w:val="44"/>
    <w:semiHidden/>
    <w:unhideWhenUsed/>
    <w:qFormat/>
    <w:uiPriority w:val="99"/>
    <w:rPr>
      <w:rFonts w:ascii="Courier New" w:hAnsi="Courier New"/>
      <w:sz w:val="20"/>
    </w:rPr>
  </w:style>
  <w:style w:type="character" w:styleId="49">
    <w:name w:val="annotation reference"/>
    <w:autoRedefine/>
    <w:qFormat/>
    <w:uiPriority w:val="99"/>
    <w:rPr>
      <w:rFonts w:ascii="Times New Roman" w:hAnsi="Times New Roman" w:eastAsia="宋体" w:cs="Times New Roman"/>
      <w:sz w:val="21"/>
      <w:szCs w:val="21"/>
      <w:lang w:val="en-US" w:eastAsia="zh-CN" w:bidi="ar-SA"/>
    </w:rPr>
  </w:style>
  <w:style w:type="paragraph" w:customStyle="1" w:styleId="50">
    <w:name w:val="Default"/>
    <w:basedOn w:val="5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Plain Text1"/>
    <w:basedOn w:val="1"/>
    <w:qFormat/>
    <w:uiPriority w:val="0"/>
    <w:rPr>
      <w:rFonts w:ascii="宋体" w:hAnsi="Courier New" w:cs="黑体"/>
      <w:szCs w:val="22"/>
    </w:rPr>
  </w:style>
  <w:style w:type="paragraph" w:customStyle="1" w:styleId="52">
    <w:name w:val="一级条标题"/>
    <w:basedOn w:val="53"/>
    <w:next w:val="54"/>
    <w:qFormat/>
    <w:uiPriority w:val="0"/>
    <w:pPr>
      <w:spacing w:beforeLines="0" w:afterLines="0"/>
      <w:ind w:left="1035" w:hanging="570"/>
      <w:outlineLvl w:val="2"/>
    </w:pPr>
  </w:style>
  <w:style w:type="paragraph" w:customStyle="1" w:styleId="53">
    <w:name w:val="章标题"/>
    <w:basedOn w:val="1"/>
    <w:next w:val="1"/>
    <w:qFormat/>
    <w:uiPriority w:val="0"/>
    <w:pPr>
      <w:spacing w:beforeLines="50" w:afterLines="50"/>
      <w:outlineLvl w:val="1"/>
    </w:pPr>
    <w:rPr>
      <w:rFonts w:ascii="黑体" w:hAnsi="Calibri" w:eastAsia="黑体" w:cs="宋体"/>
    </w:rPr>
  </w:style>
  <w:style w:type="paragraph" w:customStyle="1" w:styleId="54">
    <w:name w:val="段"/>
    <w:basedOn w:val="1"/>
    <w:next w:val="1"/>
    <w:qFormat/>
    <w:uiPriority w:val="0"/>
    <w:pPr>
      <w:autoSpaceDE w:val="0"/>
      <w:autoSpaceDN w:val="0"/>
      <w:ind w:firstLine="200" w:firstLineChars="200"/>
    </w:pPr>
    <w:rPr>
      <w:rFonts w:ascii="宋体" w:hAnsi="宋体" w:cs="宋体"/>
    </w:rPr>
  </w:style>
  <w:style w:type="paragraph" w:customStyle="1" w:styleId="55">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56">
    <w:name w:val="列出段落1"/>
    <w:basedOn w:val="1"/>
    <w:autoRedefine/>
    <w:qFormat/>
    <w:uiPriority w:val="0"/>
    <w:pPr>
      <w:ind w:firstLine="420" w:firstLineChars="200"/>
    </w:pPr>
    <w:rPr>
      <w:rFonts w:ascii="Calibri" w:hAnsi="Calibri"/>
      <w:szCs w:val="22"/>
    </w:rPr>
  </w:style>
  <w:style w:type="paragraph" w:customStyle="1" w:styleId="57">
    <w:name w:val="表格文字"/>
    <w:basedOn w:val="1"/>
    <w:autoRedefine/>
    <w:qFormat/>
    <w:uiPriority w:val="0"/>
    <w:pPr>
      <w:jc w:val="center"/>
    </w:pPr>
    <w:rPr>
      <w:rFonts w:ascii="宋体" w:hAnsi="宋体"/>
      <w:color w:val="000000"/>
      <w:sz w:val="24"/>
    </w:rPr>
  </w:style>
  <w:style w:type="paragraph" w:styleId="58">
    <w:name w:val="Intense Quote"/>
    <w:next w:val="1"/>
    <w:autoRedefine/>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59">
    <w:name w:val="页脚 字符"/>
    <w:link w:val="26"/>
    <w:autoRedefine/>
    <w:qFormat/>
    <w:uiPriority w:val="0"/>
    <w:rPr>
      <w:rFonts w:ascii="宋体" w:hAnsi="Times New Roman" w:eastAsia="宋体" w:cs="Times New Roman"/>
      <w:kern w:val="2"/>
      <w:sz w:val="18"/>
      <w:lang w:val="en-US" w:eastAsia="zh-CN" w:bidi="ar-SA"/>
    </w:rPr>
  </w:style>
  <w:style w:type="character" w:customStyle="1" w:styleId="60">
    <w:name w:val="正文文本 字符"/>
    <w:link w:val="15"/>
    <w:autoRedefine/>
    <w:qFormat/>
    <w:uiPriority w:val="99"/>
    <w:rPr>
      <w:rFonts w:ascii="金山简黑体" w:hAnsi="金山简黑体" w:eastAsia="金山简黑体" w:cs="Times New Roman"/>
      <w:b/>
      <w:spacing w:val="-8"/>
      <w:kern w:val="2"/>
      <w:sz w:val="44"/>
      <w:lang w:val="en-US" w:eastAsia="zh-CN" w:bidi="ar-SA"/>
    </w:rPr>
  </w:style>
  <w:style w:type="character" w:customStyle="1" w:styleId="61">
    <w:name w:val="标题 3 Char"/>
    <w:link w:val="4"/>
    <w:autoRedefine/>
    <w:qFormat/>
    <w:uiPriority w:val="0"/>
    <w:rPr>
      <w:rFonts w:ascii="Arial" w:hAnsi="Arial" w:eastAsia="黑体" w:cs="Times New Roman"/>
      <w:b/>
      <w:sz w:val="28"/>
      <w:lang w:val="en-US" w:eastAsia="zh-CN" w:bidi="ar-SA"/>
    </w:rPr>
  </w:style>
  <w:style w:type="character" w:customStyle="1" w:styleId="62">
    <w:name w:val="NormalCharacter"/>
    <w:autoRedefine/>
    <w:qFormat/>
    <w:uiPriority w:val="0"/>
    <w:rPr>
      <w:rFonts w:ascii="Calibri" w:hAnsi="Calibri" w:eastAsia="宋体" w:cs="Times New Roman"/>
      <w:kern w:val="2"/>
      <w:sz w:val="21"/>
      <w:szCs w:val="24"/>
      <w:lang w:val="en-US" w:eastAsia="zh-CN" w:bidi="ar-SA"/>
    </w:rPr>
  </w:style>
  <w:style w:type="character" w:customStyle="1" w:styleId="63">
    <w:name w:val="apple-converted-space"/>
    <w:autoRedefine/>
    <w:qFormat/>
    <w:uiPriority w:val="0"/>
    <w:rPr>
      <w:rFonts w:ascii="Times New Roman" w:hAnsi="Times New Roman" w:eastAsia="宋体" w:cs="Times New Roman"/>
      <w:lang w:val="en-US" w:eastAsia="zh-CN" w:bidi="ar-SA"/>
    </w:rPr>
  </w:style>
  <w:style w:type="character" w:customStyle="1" w:styleId="64">
    <w:name w:val="ft1"/>
    <w:autoRedefine/>
    <w:qFormat/>
    <w:uiPriority w:val="0"/>
    <w:rPr>
      <w:rFonts w:ascii="Times New Roman" w:hAnsi="Times New Roman" w:eastAsia="宋体" w:cs="Times New Roman"/>
      <w:lang w:val="en-US" w:eastAsia="zh-CN" w:bidi="ar-SA"/>
    </w:rPr>
  </w:style>
  <w:style w:type="character" w:customStyle="1" w:styleId="65">
    <w:name w:val="grame"/>
    <w:autoRedefine/>
    <w:qFormat/>
    <w:uiPriority w:val="0"/>
    <w:rPr>
      <w:rFonts w:ascii="Times New Roman" w:hAnsi="Times New Roman" w:eastAsia="宋体" w:cs="Times New Roman"/>
      <w:lang w:val="en-US" w:eastAsia="zh-CN" w:bidi="ar-SA"/>
    </w:rPr>
  </w:style>
  <w:style w:type="character" w:customStyle="1" w:styleId="66">
    <w:name w:val="普通文字1 Char2"/>
    <w:autoRedefine/>
    <w:qFormat/>
    <w:uiPriority w:val="0"/>
    <w:rPr>
      <w:rFonts w:ascii="宋体" w:hAnsi="Times New Roman" w:eastAsia="宋体" w:cs="Times New Roman"/>
      <w:kern w:val="2"/>
      <w:sz w:val="21"/>
      <w:lang w:val="en-US" w:eastAsia="zh-CN" w:bidi="ar-SA"/>
    </w:rPr>
  </w:style>
  <w:style w:type="character" w:customStyle="1" w:styleId="67">
    <w:name w:val="未处理的提及2"/>
    <w:autoRedefine/>
    <w:qFormat/>
    <w:uiPriority w:val="0"/>
    <w:rPr>
      <w:rFonts w:ascii="Times New Roman" w:hAnsi="Times New Roman" w:eastAsia="宋体" w:cs="Times New Roman"/>
      <w:color w:val="605E5C"/>
      <w:shd w:val="clear" w:color="auto" w:fill="E1DFDD"/>
      <w:lang w:val="en-US" w:eastAsia="zh-CN" w:bidi="ar-SA"/>
    </w:rPr>
  </w:style>
  <w:style w:type="character" w:customStyle="1" w:styleId="68">
    <w:name w:val="纯文本 Char1"/>
    <w:autoRedefine/>
    <w:qFormat/>
    <w:uiPriority w:val="0"/>
    <w:rPr>
      <w:rFonts w:ascii="宋体" w:hAnsi="宋体" w:eastAsia="宋体" w:cs="Times New Roman"/>
      <w:kern w:val="2"/>
      <w:sz w:val="21"/>
      <w:lang w:val="en-US" w:eastAsia="zh-CN" w:bidi="ar-SA"/>
    </w:rPr>
  </w:style>
  <w:style w:type="character" w:customStyle="1" w:styleId="69">
    <w:name w:val="标题 5 字符"/>
    <w:link w:val="6"/>
    <w:autoRedefine/>
    <w:semiHidden/>
    <w:qFormat/>
    <w:uiPriority w:val="9"/>
    <w:rPr>
      <w:rFonts w:ascii="Times New Roman" w:hAnsi="Times New Roman" w:eastAsia="宋体" w:cs="Times New Roman"/>
      <w:b/>
      <w:bCs/>
      <w:kern w:val="2"/>
      <w:sz w:val="28"/>
      <w:szCs w:val="28"/>
      <w:lang w:val="en-US" w:eastAsia="zh-CN" w:bidi="ar-SA"/>
    </w:rPr>
  </w:style>
  <w:style w:type="character" w:customStyle="1" w:styleId="70">
    <w:name w:val="正文缩进 Char1"/>
    <w:autoRedefine/>
    <w:qFormat/>
    <w:uiPriority w:val="0"/>
    <w:rPr>
      <w:rFonts w:ascii="Times New Roman" w:hAnsi="Times New Roman" w:eastAsia="宋体" w:cs="Times New Roman"/>
      <w:kern w:val="2"/>
      <w:sz w:val="21"/>
      <w:lang w:val="en-US" w:eastAsia="zh-CN" w:bidi="ar-SA"/>
    </w:rPr>
  </w:style>
  <w:style w:type="character" w:customStyle="1" w:styleId="71">
    <w:name w:val="批注主题 字符"/>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72">
    <w:name w:val="标题 2 字符"/>
    <w:autoRedefine/>
    <w:qFormat/>
    <w:uiPriority w:val="0"/>
    <w:rPr>
      <w:rFonts w:ascii="Times New Roman" w:hAnsi="Times New Roman" w:eastAsia="黑体" w:cs="Times New Roman"/>
      <w:b/>
      <w:sz w:val="28"/>
      <w:lang w:val="en-US" w:eastAsia="zh-CN" w:bidi="ar-SA"/>
    </w:rPr>
  </w:style>
  <w:style w:type="character" w:customStyle="1" w:styleId="73">
    <w:name w:val="未处理的提及1"/>
    <w:autoRedefine/>
    <w:qFormat/>
    <w:uiPriority w:val="0"/>
    <w:rPr>
      <w:rFonts w:ascii="Times New Roman" w:hAnsi="Times New Roman" w:eastAsia="宋体" w:cs="Times New Roman"/>
      <w:color w:val="605E5C"/>
      <w:shd w:val="clear" w:color="auto" w:fill="E1DFDD"/>
      <w:lang w:val="en-US" w:eastAsia="zh-CN" w:bidi="ar-SA"/>
    </w:rPr>
  </w:style>
  <w:style w:type="character" w:customStyle="1" w:styleId="74">
    <w:name w:val="未处理的提及3"/>
    <w:autoRedefine/>
    <w:unhideWhenUsed/>
    <w:qFormat/>
    <w:uiPriority w:val="99"/>
    <w:rPr>
      <w:rFonts w:ascii="Times New Roman" w:hAnsi="Times New Roman" w:eastAsia="宋体" w:cs="Times New Roman"/>
      <w:color w:val="605E5C"/>
      <w:shd w:val="clear" w:color="auto" w:fill="E1DFDD"/>
      <w:lang w:val="en-US" w:eastAsia="zh-CN" w:bidi="ar-SA"/>
    </w:rPr>
  </w:style>
  <w:style w:type="character" w:customStyle="1" w:styleId="75">
    <w:name w:val="列表段落 字符"/>
    <w:link w:val="76"/>
    <w:autoRedefine/>
    <w:qFormat/>
    <w:uiPriority w:val="0"/>
    <w:rPr>
      <w:rFonts w:ascii="Calibri" w:hAnsi="Calibri" w:eastAsia="宋体" w:cs="Times New Roman"/>
      <w:kern w:val="2"/>
      <w:sz w:val="21"/>
      <w:szCs w:val="22"/>
      <w:lang w:val="en-US" w:eastAsia="zh-CN" w:bidi="ar-SA"/>
    </w:rPr>
  </w:style>
  <w:style w:type="paragraph" w:styleId="76">
    <w:name w:val="List Paragraph"/>
    <w:basedOn w:val="1"/>
    <w:link w:val="75"/>
    <w:autoRedefine/>
    <w:qFormat/>
    <w:uiPriority w:val="34"/>
    <w:pPr>
      <w:ind w:firstLine="420" w:firstLineChars="200"/>
    </w:pPr>
    <w:rPr>
      <w:rFonts w:ascii="Calibri" w:hAnsi="Calibri"/>
      <w:szCs w:val="22"/>
    </w:rPr>
  </w:style>
  <w:style w:type="character" w:customStyle="1" w:styleId="77">
    <w:name w:val="标题 2 字符1"/>
    <w:autoRedefine/>
    <w:qFormat/>
    <w:uiPriority w:val="0"/>
    <w:rPr>
      <w:rFonts w:ascii="Times New Roman" w:hAnsi="Times New Roman" w:eastAsia="黑体" w:cs="Times New Roman"/>
      <w:b/>
      <w:sz w:val="28"/>
      <w:lang w:val="en-US" w:eastAsia="zh-CN" w:bidi="ar-SA"/>
    </w:rPr>
  </w:style>
  <w:style w:type="character" w:customStyle="1" w:styleId="78">
    <w:name w:val="标题 3 字符"/>
    <w:link w:val="4"/>
    <w:autoRedefine/>
    <w:qFormat/>
    <w:uiPriority w:val="0"/>
    <w:rPr>
      <w:rFonts w:eastAsia="黑体"/>
      <w:b/>
      <w:sz w:val="28"/>
    </w:rPr>
  </w:style>
  <w:style w:type="character" w:customStyle="1" w:styleId="79">
    <w:name w:val="标题 6 字符"/>
    <w:link w:val="7"/>
    <w:autoRedefine/>
    <w:semiHidden/>
    <w:qFormat/>
    <w:uiPriority w:val="9"/>
    <w:rPr>
      <w:rFonts w:ascii="等线 Light" w:hAnsi="等线 Light" w:eastAsia="等线 Light" w:cs="Times New Roman"/>
      <w:b/>
      <w:bCs/>
      <w:kern w:val="2"/>
      <w:sz w:val="24"/>
      <w:szCs w:val="24"/>
      <w:lang w:val="en-US" w:eastAsia="zh-CN" w:bidi="ar-SA"/>
    </w:rPr>
  </w:style>
  <w:style w:type="character" w:customStyle="1" w:styleId="80">
    <w:name w:val="正文缩进 字符"/>
    <w:link w:val="10"/>
    <w:autoRedefine/>
    <w:qFormat/>
    <w:uiPriority w:val="0"/>
    <w:rPr>
      <w:rFonts w:ascii="Times New Roman" w:hAnsi="Times New Roman" w:eastAsia="宋体" w:cs="Times New Roman"/>
      <w:kern w:val="2"/>
      <w:sz w:val="21"/>
      <w:lang w:val="en-US" w:eastAsia="zh-CN" w:bidi="ar-SA"/>
    </w:rPr>
  </w:style>
  <w:style w:type="character" w:customStyle="1" w:styleId="81">
    <w:name w:val="纯文本 字符1"/>
    <w:link w:val="21"/>
    <w:autoRedefine/>
    <w:qFormat/>
    <w:uiPriority w:val="0"/>
    <w:rPr>
      <w:rFonts w:ascii="宋体" w:hAnsi="Times New Roman" w:eastAsia="宋体" w:cs="Times New Roman"/>
      <w:kern w:val="2"/>
      <w:sz w:val="21"/>
      <w:lang w:val="en-US" w:eastAsia="zh-CN" w:bidi="ar-SA"/>
    </w:rPr>
  </w:style>
  <w:style w:type="character" w:customStyle="1" w:styleId="82">
    <w:name w:val="font21"/>
    <w:autoRedefine/>
    <w:qFormat/>
    <w:uiPriority w:val="0"/>
    <w:rPr>
      <w:rFonts w:hint="eastAsia" w:ascii="宋体" w:hAnsi="宋体" w:eastAsia="宋体" w:cs="Times New Roman"/>
      <w:b/>
      <w:bCs/>
      <w:color w:val="000000"/>
      <w:sz w:val="18"/>
      <w:szCs w:val="18"/>
      <w:u w:val="none"/>
      <w:lang w:val="en-US" w:eastAsia="zh-CN" w:bidi="ar-SA"/>
    </w:rPr>
  </w:style>
  <w:style w:type="character" w:customStyle="1" w:styleId="83">
    <w:name w:val="日期 字符"/>
    <w:link w:val="23"/>
    <w:autoRedefine/>
    <w:qFormat/>
    <w:uiPriority w:val="99"/>
    <w:rPr>
      <w:rFonts w:ascii="Times New Roman" w:hAnsi="Times New Roman" w:eastAsia="宋体" w:cs="Times New Roman"/>
      <w:b/>
      <w:kern w:val="2"/>
      <w:sz w:val="28"/>
      <w:szCs w:val="22"/>
      <w:lang w:val="en-US" w:eastAsia="zh-CN" w:bidi="ar-SA"/>
    </w:rPr>
  </w:style>
  <w:style w:type="character" w:customStyle="1" w:styleId="84">
    <w:name w:val="批注框文本 字符"/>
    <w:link w:val="25"/>
    <w:autoRedefine/>
    <w:qFormat/>
    <w:uiPriority w:val="0"/>
    <w:rPr>
      <w:rFonts w:ascii="Times New Roman" w:hAnsi="Times New Roman" w:eastAsia="宋体" w:cs="Times New Roman"/>
      <w:kern w:val="2"/>
      <w:sz w:val="18"/>
      <w:szCs w:val="18"/>
      <w:lang w:val="en-US" w:eastAsia="zh-CN" w:bidi="ar-SA"/>
    </w:rPr>
  </w:style>
  <w:style w:type="character" w:customStyle="1" w:styleId="85">
    <w:name w:val="纯文本 Char"/>
    <w:autoRedefine/>
    <w:qFormat/>
    <w:uiPriority w:val="0"/>
    <w:rPr>
      <w:rFonts w:ascii="宋体" w:hAnsi="Times New Roman" w:eastAsia="宋体" w:cs="Times New Roman"/>
      <w:kern w:val="2"/>
      <w:sz w:val="21"/>
      <w:lang w:val="en-US" w:eastAsia="zh-CN" w:bidi="ar-SA"/>
    </w:rPr>
  </w:style>
  <w:style w:type="character" w:customStyle="1" w:styleId="86">
    <w:name w:val="纯文本 字符"/>
    <w:autoRedefine/>
    <w:qFormat/>
    <w:uiPriority w:val="0"/>
    <w:rPr>
      <w:rFonts w:ascii="宋体" w:hAnsi="Times New Roman" w:eastAsia="宋体" w:cs="Times New Roman"/>
      <w:kern w:val="2"/>
      <w:sz w:val="21"/>
      <w:lang w:val="en-US" w:eastAsia="zh-CN" w:bidi="ar-SA"/>
    </w:rPr>
  </w:style>
  <w:style w:type="character" w:customStyle="1" w:styleId="87">
    <w:name w:val="未处理的提及4"/>
    <w:autoRedefine/>
    <w:qFormat/>
    <w:uiPriority w:val="0"/>
    <w:rPr>
      <w:rFonts w:ascii="Times New Roman" w:hAnsi="Times New Roman" w:eastAsia="宋体" w:cs="Times New Roman"/>
      <w:color w:val="605E5C"/>
      <w:shd w:val="clear" w:color="auto" w:fill="E1DFDD"/>
      <w:lang w:val="en-US" w:eastAsia="zh-CN" w:bidi="ar-SA"/>
    </w:rPr>
  </w:style>
  <w:style w:type="character" w:customStyle="1" w:styleId="88">
    <w:name w:val="批注文字 字符"/>
    <w:link w:val="13"/>
    <w:autoRedefine/>
    <w:qFormat/>
    <w:uiPriority w:val="99"/>
    <w:rPr>
      <w:kern w:val="2"/>
      <w:sz w:val="21"/>
      <w:szCs w:val="24"/>
    </w:rPr>
  </w:style>
  <w:style w:type="paragraph" w:customStyle="1" w:styleId="89">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
    <w:name w:val="Char2"/>
    <w:basedOn w:val="1"/>
    <w:autoRedefine/>
    <w:qFormat/>
    <w:uiPriority w:val="0"/>
  </w:style>
  <w:style w:type="paragraph" w:customStyle="1" w:styleId="92">
    <w:name w:val="g3"/>
    <w:basedOn w:val="1"/>
    <w:autoRedefine/>
    <w:qFormat/>
    <w:uiPriority w:val="0"/>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93">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样式2"/>
    <w:basedOn w:val="3"/>
    <w:autoRedefine/>
    <w:qFormat/>
    <w:uiPriority w:val="0"/>
    <w:pPr>
      <w:spacing w:line="440" w:lineRule="exact"/>
      <w:jc w:val="center"/>
    </w:pPr>
    <w:rPr>
      <w:rFonts w:ascii="宋体" w:hAnsi="宋体" w:eastAsia="宋体"/>
      <w:b w:val="0"/>
      <w:sz w:val="32"/>
    </w:rPr>
  </w:style>
  <w:style w:type="paragraph" w:customStyle="1" w:styleId="9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96">
    <w:name w:val="列表段落1"/>
    <w:basedOn w:val="1"/>
    <w:autoRedefine/>
    <w:qFormat/>
    <w:uiPriority w:val="0"/>
    <w:pPr>
      <w:widowControl/>
      <w:ind w:firstLine="420" w:firstLineChars="200"/>
      <w:jc w:val="left"/>
    </w:pPr>
    <w:rPr>
      <w:rFonts w:ascii="Cambria" w:hAnsi="Cambria"/>
      <w:kern w:val="0"/>
      <w:sz w:val="24"/>
    </w:rPr>
  </w:style>
  <w:style w:type="paragraph" w:customStyle="1" w:styleId="97">
    <w:name w:val="样式1"/>
    <w:basedOn w:val="3"/>
    <w:autoRedefine/>
    <w:qFormat/>
    <w:uiPriority w:val="0"/>
    <w:rPr>
      <w:rFonts w:eastAsia="宋体"/>
    </w:rPr>
  </w:style>
  <w:style w:type="paragraph" w:customStyle="1" w:styleId="98">
    <w:name w:val="xl23"/>
    <w:basedOn w:val="1"/>
    <w:autoRedefine/>
    <w:qFormat/>
    <w:uiPriority w:val="0"/>
    <w:pPr>
      <w:widowControl/>
      <w:spacing w:before="100" w:beforeAutospacing="1" w:after="100" w:afterAutospacing="1"/>
      <w:jc w:val="center"/>
    </w:pPr>
    <w:rPr>
      <w:rFonts w:ascii="Arial Unicode MS" w:hAnsi="Arial Unicode MS" w:eastAsia="Arial Unicode MS"/>
      <w:kern w:val="0"/>
      <w:sz w:val="24"/>
      <w:szCs w:val="20"/>
    </w:rPr>
  </w:style>
  <w:style w:type="paragraph" w:customStyle="1" w:styleId="99">
    <w:name w:val="页眉或页脚"/>
    <w:basedOn w:val="1"/>
    <w:autoRedefine/>
    <w:qFormat/>
    <w:uiPriority w:val="0"/>
    <w:rPr>
      <w:rFonts w:eastAsia="Times New Roman"/>
      <w:sz w:val="18"/>
      <w:szCs w:val="18"/>
    </w:rPr>
  </w:style>
  <w:style w:type="paragraph" w:customStyle="1" w:styleId="100">
    <w:name w:val="Char Char2 Char"/>
    <w:basedOn w:val="1"/>
    <w:autoRedefine/>
    <w:qFormat/>
    <w:uiPriority w:val="0"/>
    <w:pPr>
      <w:keepNext/>
      <w:keepLines/>
      <w:pageBreakBefore/>
      <w:tabs>
        <w:tab w:val="left" w:pos="390"/>
      </w:tabs>
      <w:ind w:left="390" w:hanging="390"/>
    </w:pPr>
    <w:rPr>
      <w:rFonts w:ascii="Tahoma" w:hAnsi="Tahoma"/>
      <w:sz w:val="24"/>
      <w:szCs w:val="20"/>
    </w:rPr>
  </w:style>
  <w:style w:type="paragraph" w:customStyle="1" w:styleId="101">
    <w:name w:val="正文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02">
    <w:name w:val="正文文本1"/>
    <w:basedOn w:val="1"/>
    <w:autoRedefine/>
    <w:qFormat/>
    <w:uiPriority w:val="0"/>
    <w:pPr>
      <w:spacing w:line="480" w:lineRule="auto"/>
    </w:pPr>
    <w:rPr>
      <w:rFonts w:ascii="宋体" w:hAnsi="宋体" w:cs="宋体"/>
      <w:sz w:val="19"/>
      <w:szCs w:val="19"/>
    </w:rPr>
  </w:style>
  <w:style w:type="paragraph" w:customStyle="1" w:styleId="103">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4">
    <w:name w:val="Char1"/>
    <w:basedOn w:val="1"/>
    <w:autoRedefine/>
    <w:qFormat/>
    <w:uiPriority w:val="0"/>
    <w:pPr>
      <w:widowControl/>
      <w:spacing w:after="160" w:line="240" w:lineRule="exact"/>
      <w:jc w:val="left"/>
    </w:pPr>
  </w:style>
  <w:style w:type="paragraph" w:customStyle="1" w:styleId="105">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6">
    <w:name w:val="6'"/>
    <w:basedOn w:val="1"/>
    <w:autoRedefine/>
    <w:qFormat/>
    <w:uiPriority w:val="0"/>
    <w:pPr>
      <w:spacing w:line="320" w:lineRule="exact"/>
      <w:jc w:val="center"/>
    </w:pPr>
    <w:rPr>
      <w:color w:val="000000"/>
      <w:spacing w:val="20"/>
      <w:kern w:val="0"/>
      <w:szCs w:val="20"/>
    </w:rPr>
  </w:style>
  <w:style w:type="paragraph" w:customStyle="1" w:styleId="107">
    <w:name w:val="第四行"/>
    <w:basedOn w:val="1"/>
    <w:autoRedefine/>
    <w:qFormat/>
    <w:uiPriority w:val="0"/>
    <w:pPr>
      <w:tabs>
        <w:tab w:val="left" w:pos="1200"/>
      </w:tabs>
      <w:spacing w:line="360" w:lineRule="auto"/>
      <w:jc w:val="center"/>
    </w:pPr>
    <w:rPr>
      <w:rFonts w:ascii="宋体"/>
      <w:b/>
      <w:bCs/>
      <w:spacing w:val="40"/>
      <w:sz w:val="28"/>
      <w:szCs w:val="28"/>
    </w:rPr>
  </w:style>
  <w:style w:type="paragraph" w:customStyle="1" w:styleId="108">
    <w:name w:val="_正文段落"/>
    <w:basedOn w:val="1"/>
    <w:autoRedefine/>
    <w:qFormat/>
    <w:uiPriority w:val="0"/>
    <w:pPr>
      <w:spacing w:line="360" w:lineRule="auto"/>
    </w:pPr>
    <w:rPr>
      <w:rFonts w:eastAsia="仿宋_GB2312"/>
      <w:sz w:val="28"/>
    </w:rPr>
  </w:style>
  <w:style w:type="paragraph" w:customStyle="1" w:styleId="109">
    <w:name w:val="表格"/>
    <w:basedOn w:val="1"/>
    <w:autoRedefine/>
    <w:qFormat/>
    <w:uiPriority w:val="0"/>
    <w:pPr>
      <w:tabs>
        <w:tab w:val="left" w:pos="1200"/>
      </w:tabs>
      <w:spacing w:line="500" w:lineRule="exact"/>
      <w:jc w:val="center"/>
    </w:pPr>
    <w:rPr>
      <w:rFonts w:ascii="宋体"/>
      <w:sz w:val="24"/>
      <w:szCs w:val="18"/>
    </w:rPr>
  </w:style>
  <w:style w:type="paragraph" w:customStyle="1" w:styleId="110">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11">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项目书正文"/>
    <w:basedOn w:val="1"/>
    <w:autoRedefine/>
    <w:qFormat/>
    <w:uiPriority w:val="0"/>
    <w:pPr>
      <w:widowControl/>
      <w:spacing w:beforeLines="50" w:afterLines="50" w:line="420" w:lineRule="auto"/>
      <w:ind w:firstLine="200" w:firstLineChars="200"/>
      <w:jc w:val="left"/>
    </w:pPr>
    <w:rPr>
      <w:rFonts w:ascii="Calibri" w:hAnsi="Calibri" w:cs="宋体"/>
      <w:kern w:val="0"/>
      <w:sz w:val="24"/>
      <w:szCs w:val="20"/>
    </w:rPr>
  </w:style>
  <w:style w:type="paragraph" w:customStyle="1" w:styleId="113">
    <w:name w:val="样式3"/>
    <w:basedOn w:val="4"/>
    <w:autoRedefine/>
    <w:qFormat/>
    <w:uiPriority w:val="0"/>
    <w:pPr>
      <w:ind w:left="101" w:hanging="101" w:hangingChars="101"/>
      <w:jc w:val="left"/>
    </w:pPr>
    <w:rPr>
      <w:rFonts w:eastAsia="宋体"/>
      <w:b w:val="0"/>
      <w:bCs/>
      <w:sz w:val="24"/>
      <w:szCs w:val="24"/>
    </w:rPr>
  </w:style>
  <w:style w:type="paragraph" w:customStyle="1" w:styleId="114">
    <w:name w:val="默认"/>
    <w:autoRedefine/>
    <w:qFormat/>
    <w:uiPriority w:val="0"/>
    <w:pPr>
      <w:spacing w:before="160" w:line="288" w:lineRule="auto"/>
    </w:pPr>
    <w:rPr>
      <w:rFonts w:hint="eastAsia" w:ascii="Arial Unicode MS" w:hAnsi="Arial Unicode MS" w:eastAsia="Arial Unicode MS" w:cs="Arial Unicode MS"/>
      <w:color w:val="000000"/>
      <w:sz w:val="24"/>
      <w:szCs w:val="24"/>
      <w:lang w:val="zh-CN" w:eastAsia="zh-CN" w:bidi="ar-SA"/>
    </w:rPr>
  </w:style>
  <w:style w:type="paragraph" w:customStyle="1" w:styleId="115">
    <w:name w:val="Content"/>
    <w:basedOn w:val="15"/>
    <w:autoRedefine/>
    <w:qFormat/>
    <w:uiPriority w:val="0"/>
    <w:pPr>
      <w:spacing w:line="360" w:lineRule="auto"/>
      <w:ind w:firstLine="480"/>
    </w:pPr>
    <w:rPr>
      <w:rFonts w:ascii="Times New Roman" w:hAnsi="Times New Roman" w:eastAsia="全真簡粗明"/>
      <w:b w:val="0"/>
      <w:snapToGrid w:val="0"/>
      <w:spacing w:val="0"/>
      <w:kern w:val="0"/>
      <w:sz w:val="24"/>
      <w:lang w:eastAsia="zh-TW"/>
    </w:rPr>
  </w:style>
  <w:style w:type="paragraph" w:customStyle="1" w:styleId="116">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纯文本 New New"/>
    <w:basedOn w:val="1"/>
    <w:next w:val="1"/>
    <w:autoRedefine/>
    <w:qFormat/>
    <w:uiPriority w:val="0"/>
    <w:pPr>
      <w:autoSpaceDE w:val="0"/>
      <w:autoSpaceDN w:val="0"/>
      <w:adjustRightInd w:val="0"/>
      <w:jc w:val="left"/>
    </w:pPr>
    <w:rPr>
      <w:rFonts w:ascii="宋体"/>
    </w:rPr>
  </w:style>
  <w:style w:type="paragraph" w:customStyle="1" w:styleId="118">
    <w:name w:val="Char Char Char"/>
    <w:basedOn w:val="1"/>
    <w:autoRedefine/>
    <w:qFormat/>
    <w:uiPriority w:val="0"/>
    <w:pPr>
      <w:ind w:firstLine="200" w:firstLineChars="200"/>
    </w:pPr>
    <w:rPr>
      <w:sz w:val="24"/>
    </w:rPr>
  </w:style>
  <w:style w:type="paragraph" w:customStyle="1" w:styleId="11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样式 首行缩进:  2 字符"/>
    <w:basedOn w:val="1"/>
    <w:autoRedefine/>
    <w:qFormat/>
    <w:uiPriority w:val="0"/>
    <w:pPr>
      <w:spacing w:line="400" w:lineRule="exact"/>
      <w:ind w:firstLine="200" w:firstLineChars="200"/>
    </w:pPr>
    <w:rPr>
      <w:rFonts w:cs="宋体"/>
      <w:sz w:val="24"/>
    </w:rPr>
  </w:style>
  <w:style w:type="paragraph" w:customStyle="1" w:styleId="121">
    <w:name w:val="其他"/>
    <w:basedOn w:val="1"/>
    <w:autoRedefine/>
    <w:qFormat/>
    <w:uiPriority w:val="0"/>
    <w:pPr>
      <w:spacing w:line="446" w:lineRule="auto"/>
      <w:ind w:firstLine="400"/>
    </w:pPr>
    <w:rPr>
      <w:rFonts w:ascii="宋体" w:hAnsi="宋体" w:cs="宋体"/>
      <w:sz w:val="19"/>
      <w:szCs w:val="19"/>
    </w:rPr>
  </w:style>
  <w:style w:type="paragraph" w:customStyle="1" w:styleId="122">
    <w:name w:val="纯文本 New New New New"/>
    <w:basedOn w:val="1"/>
    <w:next w:val="1"/>
    <w:autoRedefine/>
    <w:qFormat/>
    <w:uiPriority w:val="0"/>
    <w:pPr>
      <w:autoSpaceDE w:val="0"/>
      <w:autoSpaceDN w:val="0"/>
      <w:adjustRightInd w:val="0"/>
      <w:jc w:val="left"/>
    </w:pPr>
    <w:rPr>
      <w:rFonts w:ascii="宋体"/>
    </w:rPr>
  </w:style>
  <w:style w:type="paragraph" w:customStyle="1" w:styleId="123">
    <w:name w:val="Normal_0"/>
    <w:autoRedefine/>
    <w:qFormat/>
    <w:uiPriority w:val="0"/>
    <w:pPr>
      <w:widowControl w:val="0"/>
      <w:jc w:val="both"/>
    </w:pPr>
    <w:rPr>
      <w:rFonts w:ascii="Calibri" w:hAnsi="Calibri" w:eastAsia="宋体" w:cs="Times New Roman"/>
      <w:lang w:val="en-US" w:eastAsia="zh-CN" w:bidi="ar-SA"/>
    </w:rPr>
  </w:style>
  <w:style w:type="paragraph" w:customStyle="1" w:styleId="124">
    <w:name w:val="Char"/>
    <w:basedOn w:val="1"/>
    <w:autoRedefine/>
    <w:qFormat/>
    <w:uiPriority w:val="0"/>
  </w:style>
  <w:style w:type="paragraph" w:customStyle="1" w:styleId="125">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para"/>
    <w:basedOn w:val="1"/>
    <w:autoRedefine/>
    <w:qFormat/>
    <w:uiPriority w:val="0"/>
    <w:pPr>
      <w:widowControl/>
      <w:adjustRightInd w:val="0"/>
      <w:spacing w:before="160" w:line="360" w:lineRule="auto"/>
      <w:ind w:firstLine="425"/>
      <w:textAlignment w:val="baseline"/>
    </w:pPr>
    <w:rPr>
      <w:kern w:val="0"/>
      <w:sz w:val="24"/>
      <w:szCs w:val="20"/>
      <w:lang w:eastAsia="en-US"/>
    </w:rPr>
  </w:style>
  <w:style w:type="paragraph" w:customStyle="1" w:styleId="127">
    <w:name w:val="纯文本 New New New"/>
    <w:basedOn w:val="1"/>
    <w:next w:val="1"/>
    <w:autoRedefine/>
    <w:qFormat/>
    <w:uiPriority w:val="0"/>
    <w:pPr>
      <w:autoSpaceDE w:val="0"/>
      <w:autoSpaceDN w:val="0"/>
      <w:adjustRightInd w:val="0"/>
      <w:jc w:val="left"/>
    </w:pPr>
    <w:rPr>
      <w:rFonts w:ascii="宋体"/>
    </w:rPr>
  </w:style>
  <w:style w:type="paragraph" w:customStyle="1" w:styleId="1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9">
    <w:name w:val="段落"/>
    <w:autoRedefine/>
    <w:qFormat/>
    <w:uiPriority w:val="0"/>
    <w:pPr>
      <w:adjustRightInd w:val="0"/>
      <w:snapToGrid w:val="0"/>
      <w:spacing w:before="120" w:after="120" w:line="360" w:lineRule="auto"/>
      <w:ind w:firstLine="560" w:firstLineChars="200"/>
      <w:jc w:val="both"/>
    </w:pPr>
    <w:rPr>
      <w:rFonts w:ascii="Times New Roman" w:hAnsi="Times New Roman" w:eastAsia="仿宋_GB2312" w:cs="Times New Roman"/>
      <w:kern w:val="2"/>
      <w:sz w:val="28"/>
      <w:szCs w:val="24"/>
      <w:lang w:val="en-US" w:eastAsia="zh-CN" w:bidi="ar-SA"/>
    </w:rPr>
  </w:style>
  <w:style w:type="table" w:customStyle="1" w:styleId="130">
    <w:name w:val="Table Normal"/>
    <w:autoRedefine/>
    <w:semiHidden/>
    <w:unhideWhenUsed/>
    <w:qFormat/>
    <w:uiPriority w:val="0"/>
    <w:tblPr>
      <w:tblCellMar>
        <w:top w:w="0" w:type="dxa"/>
        <w:left w:w="0" w:type="dxa"/>
        <w:bottom w:w="0" w:type="dxa"/>
        <w:right w:w="0" w:type="dxa"/>
      </w:tblCellMar>
    </w:tblPr>
  </w:style>
  <w:style w:type="paragraph" w:customStyle="1" w:styleId="131">
    <w:name w:val="BodyText"/>
    <w:basedOn w:val="1"/>
    <w:autoRedefine/>
    <w:qFormat/>
    <w:uiPriority w:val="0"/>
    <w:pPr>
      <w:spacing w:after="120"/>
    </w:pPr>
  </w:style>
  <w:style w:type="character" w:customStyle="1" w:styleId="132">
    <w:name w:val="标题 1 字符"/>
    <w:link w:val="2"/>
    <w:autoRedefine/>
    <w:qFormat/>
    <w:uiPriority w:val="0"/>
    <w:rPr>
      <w:rFonts w:ascii="Times New Roman" w:hAnsi="Times New Roman" w:eastAsia="黑体" w:cs="Times New Roman"/>
      <w:b/>
      <w:kern w:val="44"/>
      <w:sz w:val="28"/>
      <w:szCs w:val="20"/>
      <w:lang w:val="en-US" w:eastAsia="zh-CN" w:bidi="ar-SA"/>
    </w:rPr>
  </w:style>
  <w:style w:type="character" w:customStyle="1" w:styleId="133">
    <w:name w:val="标题 2 字符2"/>
    <w:link w:val="3"/>
    <w:autoRedefine/>
    <w:qFormat/>
    <w:uiPriority w:val="0"/>
    <w:rPr>
      <w:rFonts w:ascii="Arial" w:hAnsi="Arial" w:eastAsia="黑体" w:cs="Times New Roman"/>
      <w:b/>
      <w:bCs/>
      <w:sz w:val="32"/>
      <w:szCs w:val="32"/>
    </w:rPr>
  </w:style>
  <w:style w:type="character" w:customStyle="1" w:styleId="134">
    <w:name w:val="font51"/>
    <w:basedOn w:val="44"/>
    <w:autoRedefine/>
    <w:qFormat/>
    <w:uiPriority w:val="0"/>
    <w:rPr>
      <w:rFonts w:hint="eastAsia" w:ascii="宋体" w:hAnsi="宋体" w:eastAsia="宋体" w:cs="宋体"/>
      <w:color w:val="000000"/>
      <w:sz w:val="22"/>
      <w:szCs w:val="22"/>
      <w:u w:val="none"/>
    </w:rPr>
  </w:style>
  <w:style w:type="character" w:customStyle="1" w:styleId="135">
    <w:name w:val="font71"/>
    <w:basedOn w:val="44"/>
    <w:autoRedefine/>
    <w:qFormat/>
    <w:uiPriority w:val="0"/>
    <w:rPr>
      <w:rFonts w:hint="default" w:ascii="Times New Roman" w:hAnsi="Times New Roman" w:cs="Times New Roman"/>
      <w:color w:val="000000"/>
      <w:sz w:val="22"/>
      <w:szCs w:val="22"/>
      <w:u w:val="none"/>
    </w:rPr>
  </w:style>
  <w:style w:type="character" w:customStyle="1" w:styleId="136">
    <w:name w:val="font81"/>
    <w:basedOn w:val="44"/>
    <w:autoRedefine/>
    <w:qFormat/>
    <w:uiPriority w:val="0"/>
    <w:rPr>
      <w:rFonts w:ascii="Calibri" w:hAnsi="Calibri" w:cs="Calibri"/>
      <w:color w:val="000000"/>
      <w:sz w:val="22"/>
      <w:szCs w:val="22"/>
      <w:u w:val="none"/>
    </w:rPr>
  </w:style>
  <w:style w:type="character" w:customStyle="1" w:styleId="137">
    <w:name w:val="font31"/>
    <w:basedOn w:val="44"/>
    <w:autoRedefine/>
    <w:qFormat/>
    <w:uiPriority w:val="0"/>
    <w:rPr>
      <w:rFonts w:hint="eastAsia" w:ascii="宋体" w:hAnsi="宋体" w:eastAsia="宋体" w:cs="宋体"/>
      <w:color w:val="000000"/>
      <w:sz w:val="18"/>
      <w:szCs w:val="18"/>
      <w:u w:val="none"/>
    </w:rPr>
  </w:style>
  <w:style w:type="character" w:customStyle="1" w:styleId="138">
    <w:name w:val="font61"/>
    <w:basedOn w:val="44"/>
    <w:autoRedefine/>
    <w:qFormat/>
    <w:uiPriority w:val="0"/>
    <w:rPr>
      <w:rFonts w:hint="default" w:ascii="Times New Roman" w:hAnsi="Times New Roman" w:cs="Times New Roman"/>
      <w:color w:val="000000"/>
      <w:sz w:val="18"/>
      <w:szCs w:val="18"/>
      <w:u w:val="none"/>
    </w:rPr>
  </w:style>
  <w:style w:type="character" w:customStyle="1" w:styleId="139">
    <w:name w:val="font41"/>
    <w:basedOn w:val="44"/>
    <w:autoRedefine/>
    <w:qFormat/>
    <w:uiPriority w:val="0"/>
    <w:rPr>
      <w:rFonts w:hint="eastAsia" w:ascii="宋体" w:hAnsi="宋体" w:eastAsia="宋体" w:cs="宋体"/>
      <w:color w:val="000000"/>
      <w:sz w:val="22"/>
      <w:szCs w:val="22"/>
      <w:u w:val="none"/>
    </w:rPr>
  </w:style>
  <w:style w:type="character" w:customStyle="1" w:styleId="140">
    <w:name w:val="font11"/>
    <w:basedOn w:val="44"/>
    <w:autoRedefine/>
    <w:qFormat/>
    <w:uiPriority w:val="0"/>
    <w:rPr>
      <w:rFonts w:hint="eastAsia" w:ascii="宋体" w:hAnsi="宋体" w:eastAsia="宋体" w:cs="宋体"/>
      <w:color w:val="000000"/>
      <w:sz w:val="22"/>
      <w:szCs w:val="22"/>
      <w:u w:val="none"/>
    </w:rPr>
  </w:style>
  <w:style w:type="character" w:customStyle="1" w:styleId="141">
    <w:name w:val="font91"/>
    <w:basedOn w:val="44"/>
    <w:autoRedefine/>
    <w:qFormat/>
    <w:uiPriority w:val="0"/>
    <w:rPr>
      <w:rFonts w:hint="eastAsia" w:ascii="宋体" w:hAnsi="宋体" w:eastAsia="宋体" w:cs="宋体"/>
      <w:color w:val="FF0000"/>
      <w:sz w:val="18"/>
      <w:szCs w:val="18"/>
      <w:u w:val="none"/>
    </w:rPr>
  </w:style>
  <w:style w:type="character" w:customStyle="1" w:styleId="142">
    <w:name w:val="font101"/>
    <w:basedOn w:val="44"/>
    <w:autoRedefine/>
    <w:qFormat/>
    <w:uiPriority w:val="0"/>
    <w:rPr>
      <w:rFonts w:hint="default" w:ascii="Times New Roman" w:hAnsi="Times New Roman" w:cs="Times New Roman"/>
      <w:color w:val="FF0000"/>
      <w:sz w:val="18"/>
      <w:szCs w:val="18"/>
      <w:u w:val="none"/>
    </w:rPr>
  </w:style>
  <w:style w:type="character" w:customStyle="1" w:styleId="143">
    <w:name w:val="font112"/>
    <w:basedOn w:val="44"/>
    <w:autoRedefine/>
    <w:qFormat/>
    <w:uiPriority w:val="0"/>
    <w:rPr>
      <w:rFonts w:hint="eastAsia" w:ascii="宋体" w:hAnsi="宋体" w:eastAsia="宋体" w:cs="宋体"/>
      <w:color w:val="FF0000"/>
      <w:sz w:val="18"/>
      <w:szCs w:val="18"/>
      <w:u w:val="none"/>
    </w:rPr>
  </w:style>
  <w:style w:type="character" w:customStyle="1" w:styleId="144">
    <w:name w:val="font121"/>
    <w:basedOn w:val="44"/>
    <w:autoRedefine/>
    <w:qFormat/>
    <w:uiPriority w:val="0"/>
    <w:rPr>
      <w:rFonts w:hint="default" w:ascii="Times New Roman" w:hAnsi="Times New Roman" w:cs="Times New Roman"/>
      <w:color w:val="FF0000"/>
      <w:sz w:val="18"/>
      <w:szCs w:val="18"/>
      <w:u w:val="none"/>
    </w:rPr>
  </w:style>
  <w:style w:type="paragraph" w:customStyle="1" w:styleId="145">
    <w:name w:val="PlainText"/>
    <w:basedOn w:val="1"/>
    <w:qFormat/>
    <w:uiPriority w:val="0"/>
    <w:rPr>
      <w:rFonts w:ascii="宋体" w:hAnsi="Courier New"/>
    </w:rPr>
  </w:style>
  <w:style w:type="paragraph" w:customStyle="1" w:styleId="146">
    <w:name w:val="无间隔1"/>
    <w:qFormat/>
    <w:uiPriority w:val="1"/>
    <w:pPr>
      <w:adjustRightInd w:val="0"/>
      <w:snapToGrid w:val="0"/>
    </w:pPr>
    <w:rPr>
      <w:rFonts w:ascii="Tahoma" w:hAnsi="Tahoma" w:eastAsia="微软雅黑" w:cstheme="minorBidi"/>
      <w:sz w:val="22"/>
      <w:szCs w:val="22"/>
      <w:lang w:val="en-US" w:eastAsia="zh-CN" w:bidi="ar-SA"/>
    </w:rPr>
  </w:style>
  <w:style w:type="paragraph" w:customStyle="1" w:styleId="147">
    <w:name w:val="_Style 3"/>
    <w:basedOn w:val="1"/>
    <w:next w:val="32"/>
    <w:qFormat/>
    <w:uiPriority w:val="34"/>
    <w:pPr>
      <w:ind w:firstLine="420" w:firstLineChars="200"/>
    </w:pPr>
    <w:rPr>
      <w:rFonts w:ascii="等线" w:hAnsi="等线" w:eastAsia="等线"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76</Pages>
  <Words>17286</Words>
  <Characters>18369</Characters>
  <Lines>1641</Lines>
  <Paragraphs>1504</Paragraphs>
  <TotalTime>99</TotalTime>
  <ScaleCrop>false</ScaleCrop>
  <LinksUpToDate>false</LinksUpToDate>
  <CharactersWithSpaces>18764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2025-04-18T02:35:00Z</dcterms:created>
  <dc:creator>kaka</dc:creator>
  <cp:lastModifiedBy>勤劳的小蜜蜂</cp:lastModifiedBy>
  <cp:lastPrinted>2025-05-02T05:39:00Z</cp:lastPrinted>
  <dcterms:modified xsi:type="dcterms:W3CDTF">2025-11-06T09:15:01Z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5AEF91C712994983BDB3992BCB19C44B_13</vt:lpwstr>
  </property>
  <property fmtid="{D5CDD505-2E9C-101B-9397-08002B2CF9AE}" pid="3" name="KSOProductBuildVer">
    <vt:lpwstr>2052-12.1.0.23542</vt:lpwstr>
  </property>
  <property fmtid="{D5CDD505-2E9C-101B-9397-08002B2CF9AE}" pid="4" name="KSOTemplateDocerSaveRecord">
    <vt:lpwstr>eyJoZGlkIjoiYzYyYWUzMDAwYmU5MmE5NzgyYTQyNmZjZGYxZDg4YWUiLCJ1c2VySWQiOiIzNTMxMjc0NTQifQ==</vt:lpwstr>
  </property>
</Properties>
</file>