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140C3">
      <w:pPr>
        <w:keepNext w:val="0"/>
        <w:keepLines w:val="0"/>
        <w:widowControl w:val="0"/>
        <w:suppressLineNumbers w:val="0"/>
        <w:spacing w:before="120" w:beforeLines="50" w:beforeAutospacing="0" w:after="120" w:afterLines="50" w:afterAutospacing="0"/>
        <w:ind w:right="0"/>
        <w:jc w:val="center"/>
        <w:rPr>
          <w:color w:val="000000"/>
          <w:spacing w:val="20"/>
          <w:sz w:val="44"/>
          <w:szCs w:val="44"/>
          <w:lang w:val="en-US"/>
        </w:rPr>
      </w:pPr>
      <w:r>
        <w:rPr>
          <w:rFonts w:hint="eastAsia" w:ascii="Calibri" w:hAnsi="Calibri" w:eastAsia="宋体" w:cs="宋体"/>
          <w:color w:val="000000"/>
          <w:spacing w:val="20"/>
          <w:kern w:val="2"/>
          <w:sz w:val="44"/>
          <w:szCs w:val="44"/>
          <w:lang w:val="en-US" w:eastAsia="zh-CN" w:bidi="ar"/>
        </w:rPr>
        <w:t>平塘县旅游名县建设规划(2026</w:t>
      </w:r>
      <w:r>
        <w:rPr>
          <w:rFonts w:hint="eastAsia" w:ascii="宋体" w:hAnsi="宋体" w:eastAsia="宋体" w:cs="宋体"/>
          <w:color w:val="000000"/>
          <w:spacing w:val="20"/>
          <w:kern w:val="2"/>
          <w:sz w:val="44"/>
          <w:szCs w:val="44"/>
          <w:lang w:val="en-US" w:eastAsia="zh-CN" w:bidi="ar"/>
        </w:rPr>
        <w:t>－</w:t>
      </w:r>
      <w:r>
        <w:rPr>
          <w:rFonts w:hint="eastAsia" w:ascii="Calibri" w:hAnsi="Calibri" w:eastAsia="宋体" w:cs="宋体"/>
          <w:color w:val="000000"/>
          <w:spacing w:val="20"/>
          <w:kern w:val="2"/>
          <w:sz w:val="44"/>
          <w:szCs w:val="44"/>
          <w:lang w:val="en-US" w:eastAsia="zh-CN" w:bidi="ar"/>
        </w:rPr>
        <w:t>2030年）编制</w:t>
      </w:r>
      <w:r>
        <w:rPr>
          <w:rFonts w:hint="eastAsia" w:ascii="Calibri" w:hAnsi="Calibri" w:cs="宋体"/>
          <w:color w:val="000000"/>
          <w:spacing w:val="20"/>
          <w:kern w:val="2"/>
          <w:sz w:val="44"/>
          <w:szCs w:val="44"/>
          <w:lang w:val="en-US" w:eastAsia="zh-CN" w:bidi="ar"/>
        </w:rPr>
        <w:t>（二次）</w:t>
      </w:r>
      <w:r>
        <w:rPr>
          <w:rFonts w:hint="eastAsia" w:ascii="Calibri" w:hAnsi="Calibri" w:eastAsia="宋体" w:cs="宋体"/>
          <w:color w:val="000000"/>
          <w:spacing w:val="20"/>
          <w:kern w:val="2"/>
          <w:sz w:val="44"/>
          <w:szCs w:val="44"/>
          <w:lang w:val="en-US" w:eastAsia="zh-CN" w:bidi="ar"/>
        </w:rPr>
        <w:t>（项目名称）</w:t>
      </w:r>
    </w:p>
    <w:p w14:paraId="068D6601">
      <w:pPr>
        <w:keepNext w:val="0"/>
        <w:keepLines w:val="0"/>
        <w:widowControl w:val="0"/>
        <w:suppressLineNumbers w:val="0"/>
        <w:spacing w:before="120" w:beforeLines="50" w:beforeAutospacing="0" w:after="120" w:afterLines="50" w:afterAutospacing="0"/>
        <w:ind w:left="0" w:right="0" w:firstLine="960"/>
        <w:jc w:val="center"/>
        <w:rPr>
          <w:color w:val="000000"/>
          <w:spacing w:val="20"/>
          <w:sz w:val="44"/>
          <w:szCs w:val="44"/>
          <w:lang w:val="en-US"/>
        </w:rPr>
      </w:pPr>
      <w:r>
        <w:rPr>
          <w:rFonts w:hint="default" w:ascii="Calibri" w:hAnsi="Calibri" w:eastAsia="宋体" w:cs="Times New Roman"/>
          <w:color w:val="000000"/>
          <w:spacing w:val="20"/>
          <w:kern w:val="2"/>
          <w:sz w:val="44"/>
          <w:szCs w:val="44"/>
          <w:lang w:val="en-US" w:eastAsia="zh-CN" w:bidi="ar"/>
        </w:rPr>
        <w:t xml:space="preserve"> </w:t>
      </w:r>
    </w:p>
    <w:p w14:paraId="7628645D">
      <w:pPr>
        <w:pStyle w:val="20"/>
        <w:keepNext w:val="0"/>
        <w:keepLines w:val="0"/>
        <w:widowControl/>
        <w:suppressLineNumbers w:val="0"/>
        <w:spacing w:before="0" w:beforeAutospacing="0" w:after="120" w:afterAutospacing="0"/>
        <w:ind w:left="440" w:leftChars="200" w:right="0" w:firstLine="420" w:firstLineChars="200"/>
        <w:jc w:val="both"/>
        <w:rPr>
          <w:rFonts w:hint="default" w:ascii="Times New Roman" w:hAnsi="Times New Roman" w:cs="Times New Roman"/>
          <w:szCs w:val="21"/>
          <w:lang w:val="en-US"/>
        </w:rPr>
      </w:pPr>
      <w:r>
        <w:rPr>
          <w:rFonts w:hint="default" w:ascii="Calibri" w:hAnsi="Calibri" w:eastAsia="宋体" w:cs="Times New Roman"/>
          <w:kern w:val="2"/>
          <w:sz w:val="21"/>
          <w:szCs w:val="22"/>
          <w:lang w:val="en-US" w:eastAsia="zh-CN" w:bidi="ar"/>
        </w:rPr>
        <w:t xml:space="preserve"> </w:t>
      </w:r>
    </w:p>
    <w:p w14:paraId="5E7BA542">
      <w:pPr>
        <w:keepNext w:val="0"/>
        <w:keepLines w:val="0"/>
        <w:widowControl w:val="0"/>
        <w:suppressLineNumbers w:val="0"/>
        <w:spacing w:before="120" w:beforeLines="50" w:beforeAutospacing="0" w:after="120" w:afterLines="50" w:afterAutospacing="0"/>
        <w:ind w:left="0" w:right="0" w:firstLine="960"/>
        <w:jc w:val="center"/>
        <w:rPr>
          <w:rFonts w:hint="eastAsia" w:ascii="宋体" w:hAnsi="宋体" w:eastAsia="宋体" w:cs="宋体"/>
          <w:color w:val="000000"/>
          <w:spacing w:val="20"/>
          <w:sz w:val="44"/>
          <w:szCs w:val="44"/>
          <w:lang w:val="en-US"/>
        </w:rPr>
      </w:pPr>
      <w:r>
        <w:rPr>
          <w:rFonts w:hint="default" w:ascii="Calibri" w:hAnsi="Calibri" w:eastAsia="宋体" w:cs="Times New Roman"/>
          <w:color w:val="000000"/>
          <w:spacing w:val="20"/>
          <w:kern w:val="2"/>
          <w:sz w:val="44"/>
          <w:szCs w:val="44"/>
          <w:lang w:val="en-US" w:eastAsia="zh-CN" w:bidi="ar"/>
        </w:rPr>
        <w:t xml:space="preserve"> </w:t>
      </w:r>
    </w:p>
    <w:p w14:paraId="66241F7D">
      <w:pPr>
        <w:keepNext w:val="0"/>
        <w:keepLines w:val="0"/>
        <w:widowControl w:val="0"/>
        <w:suppressLineNumbers w:val="0"/>
        <w:spacing w:before="120" w:beforeLines="50" w:beforeAutospacing="0" w:after="120" w:afterLines="50" w:afterAutospacing="0"/>
        <w:ind w:left="0" w:right="0" w:firstLine="960"/>
        <w:jc w:val="center"/>
        <w:rPr>
          <w:color w:val="000000"/>
          <w:sz w:val="24"/>
          <w:szCs w:val="24"/>
          <w:lang w:val="en-US"/>
        </w:rPr>
      </w:pPr>
      <w:r>
        <w:rPr>
          <w:rFonts w:hint="eastAsia" w:ascii="Calibri" w:hAnsi="Calibri" w:cs="宋体"/>
          <w:color w:val="000000"/>
          <w:spacing w:val="20"/>
          <w:kern w:val="2"/>
          <w:sz w:val="44"/>
          <w:szCs w:val="44"/>
          <w:lang w:val="en-US" w:eastAsia="zh-CN" w:bidi="ar"/>
        </w:rPr>
        <w:t>需求公示</w:t>
      </w:r>
    </w:p>
    <w:p w14:paraId="274A57C7">
      <w:pPr>
        <w:pStyle w:val="20"/>
        <w:keepNext w:val="0"/>
        <w:keepLines w:val="0"/>
        <w:widowControl/>
        <w:suppressLineNumbers w:val="0"/>
        <w:spacing w:before="0" w:beforeAutospacing="0" w:after="120" w:afterAutospacing="0"/>
        <w:ind w:left="0" w:right="0" w:firstLine="480"/>
        <w:jc w:val="both"/>
        <w:rPr>
          <w:sz w:val="24"/>
          <w:szCs w:val="24"/>
          <w:lang w:val="en-US"/>
        </w:rPr>
      </w:pPr>
      <w:r>
        <w:rPr>
          <w:rFonts w:hint="default" w:ascii="Calibri" w:hAnsi="Calibri" w:eastAsia="宋体" w:cs="Times New Roman"/>
          <w:kern w:val="2"/>
          <w:sz w:val="21"/>
          <w:szCs w:val="22"/>
          <w:lang w:val="en-US" w:eastAsia="zh-CN" w:bidi="ar"/>
        </w:rPr>
        <w:t xml:space="preserve"> </w:t>
      </w:r>
    </w:p>
    <w:p w14:paraId="7A7B67C6">
      <w:pPr>
        <w:keepNext w:val="0"/>
        <w:keepLines w:val="0"/>
        <w:widowControl w:val="0"/>
        <w:suppressLineNumbers w:val="0"/>
        <w:spacing w:before="0" w:beforeAutospacing="1" w:after="0" w:afterAutospacing="1"/>
        <w:ind w:left="0" w:right="0"/>
        <w:jc w:val="center"/>
        <w:rPr>
          <w:color w:val="000000"/>
          <w:lang w:val="en-US"/>
        </w:rPr>
      </w:pP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w:t>
      </w:r>
      <w:r>
        <w:rPr>
          <w:rFonts w:hint="default" w:ascii="Calibri" w:hAnsi="Calibri" w:eastAsia="宋体" w:cs="Times New Roman"/>
          <w:color w:val="000000"/>
          <w:kern w:val="2"/>
          <w:sz w:val="21"/>
          <w:szCs w:val="21"/>
          <w:lang w:val="en-US" w:eastAsia="zh-CN" w:bidi="ar"/>
        </w:rPr>
        <w:t>202</w:t>
      </w:r>
      <w:r>
        <w:rPr>
          <w:rFonts w:hint="eastAsia" w:ascii="Calibri" w:hAnsi="Calibri" w:eastAsia="宋体" w:cs="Times New Roman"/>
          <w:color w:val="000000"/>
          <w:kern w:val="2"/>
          <w:sz w:val="21"/>
          <w:szCs w:val="21"/>
          <w:lang w:val="en-US" w:eastAsia="zh-CN" w:bidi="ar"/>
        </w:rPr>
        <w:t>6</w:t>
      </w:r>
      <w:r>
        <w:rPr>
          <w:rFonts w:hint="eastAsia" w:ascii="Calibri" w:hAnsi="Calibri" w:eastAsia="宋体" w:cs="宋体"/>
          <w:color w:val="000000"/>
          <w:kern w:val="2"/>
          <w:sz w:val="21"/>
          <w:szCs w:val="21"/>
          <w:lang w:val="en-US" w:eastAsia="zh-CN" w:bidi="ar"/>
        </w:rPr>
        <w:t>年</w:t>
      </w:r>
      <w:r>
        <w:rPr>
          <w:rFonts w:hint="eastAsia" w:ascii="Calibri" w:hAnsi="Calibri" w:cs="Times New Roman"/>
          <w:color w:val="000000"/>
          <w:kern w:val="2"/>
          <w:sz w:val="21"/>
          <w:szCs w:val="21"/>
          <w:lang w:val="en-US" w:eastAsia="zh-CN" w:bidi="ar"/>
        </w:rPr>
        <w:t>4</w:t>
      </w:r>
      <w:r>
        <w:rPr>
          <w:rFonts w:hint="eastAsia" w:ascii="Calibri" w:hAnsi="Calibri" w:eastAsia="宋体" w:cs="宋体"/>
          <w:color w:val="000000"/>
          <w:kern w:val="2"/>
          <w:sz w:val="21"/>
          <w:szCs w:val="21"/>
          <w:lang w:val="en-US" w:eastAsia="zh-CN" w:bidi="ar"/>
        </w:rPr>
        <w:t>月）</w:t>
      </w:r>
    </w:p>
    <w:p w14:paraId="7CDDD0DF">
      <w:pPr>
        <w:pStyle w:val="20"/>
        <w:keepNext w:val="0"/>
        <w:keepLines w:val="0"/>
        <w:widowControl/>
        <w:suppressLineNumbers w:val="0"/>
        <w:spacing w:before="0" w:beforeAutospacing="0" w:after="120" w:afterAutospacing="0"/>
        <w:ind w:left="0" w:right="0" w:firstLine="480"/>
        <w:jc w:val="both"/>
      </w:pPr>
      <w:r>
        <w:rPr>
          <w:rFonts w:hint="default" w:ascii="Calibri" w:hAnsi="Calibri" w:eastAsia="宋体" w:cs="Times New Roman"/>
          <w:kern w:val="2"/>
          <w:sz w:val="21"/>
          <w:szCs w:val="22"/>
          <w:lang w:val="en-US" w:eastAsia="zh-CN" w:bidi="ar"/>
        </w:rPr>
        <w:t xml:space="preserve"> </w:t>
      </w:r>
    </w:p>
    <w:p w14:paraId="757A2918">
      <w:pPr>
        <w:pStyle w:val="20"/>
        <w:keepNext w:val="0"/>
        <w:keepLines w:val="0"/>
        <w:widowControl/>
        <w:suppressLineNumbers w:val="0"/>
        <w:spacing w:before="0" w:beforeAutospacing="0" w:after="120" w:afterAutospacing="0"/>
        <w:ind w:left="0" w:right="0"/>
        <w:jc w:val="both"/>
      </w:pPr>
      <w:r>
        <w:rPr>
          <w:rFonts w:hint="default" w:ascii="Calibri" w:hAnsi="Calibri" w:eastAsia="宋体" w:cs="Times New Roman"/>
          <w:kern w:val="2"/>
          <w:sz w:val="21"/>
          <w:szCs w:val="22"/>
          <w:lang w:val="en-US" w:eastAsia="zh-CN" w:bidi="ar"/>
        </w:rPr>
        <w:t xml:space="preserve"> </w:t>
      </w:r>
    </w:p>
    <w:p w14:paraId="72256EB3">
      <w:pPr>
        <w:pStyle w:val="20"/>
        <w:keepNext w:val="0"/>
        <w:keepLines w:val="0"/>
        <w:widowControl/>
        <w:suppressLineNumbers w:val="0"/>
        <w:spacing w:before="0" w:beforeAutospacing="0" w:after="120" w:afterAutospacing="0"/>
        <w:ind w:left="0" w:right="0" w:firstLine="480"/>
        <w:jc w:val="both"/>
      </w:pPr>
      <w:r>
        <w:rPr>
          <w:rFonts w:hint="default" w:ascii="Calibri" w:hAnsi="Calibri" w:eastAsia="宋体" w:cs="Times New Roman"/>
          <w:kern w:val="2"/>
          <w:sz w:val="21"/>
          <w:szCs w:val="22"/>
          <w:lang w:val="en-US" w:eastAsia="zh-CN" w:bidi="ar"/>
        </w:rPr>
        <w:t xml:space="preserve"> </w:t>
      </w:r>
    </w:p>
    <w:p w14:paraId="2F11D04F">
      <w:pPr>
        <w:keepNext w:val="0"/>
        <w:keepLines w:val="0"/>
        <w:widowControl w:val="0"/>
        <w:suppressLineNumbers w:val="0"/>
        <w:spacing w:before="0" w:beforeAutospacing="1" w:after="0" w:afterAutospacing="1"/>
        <w:ind w:left="0" w:right="0"/>
        <w:jc w:val="center"/>
        <w:rPr>
          <w:color w:val="000000"/>
          <w:spacing w:val="20"/>
          <w:szCs w:val="21"/>
          <w:lang w:val="en-US"/>
        </w:rPr>
      </w:pPr>
      <w:r>
        <w:rPr>
          <w:rFonts w:hint="default" w:ascii="Calibri" w:hAnsi="Calibri" w:eastAsia="宋体" w:cs="Times New Roman"/>
          <w:color w:val="000000"/>
          <w:spacing w:val="20"/>
          <w:kern w:val="2"/>
          <w:sz w:val="21"/>
          <w:szCs w:val="21"/>
          <w:lang w:val="en-US" w:eastAsia="zh-CN" w:bidi="ar"/>
        </w:rPr>
        <w:t xml:space="preserve"> </w:t>
      </w:r>
    </w:p>
    <w:p w14:paraId="343DB670">
      <w:pPr>
        <w:pStyle w:val="20"/>
        <w:keepNext w:val="0"/>
        <w:keepLines w:val="0"/>
        <w:widowControl w:val="0"/>
        <w:suppressLineNumbers w:val="0"/>
        <w:spacing w:before="0" w:beforeAutospacing="0" w:after="120" w:afterAutospacing="0"/>
        <w:ind w:left="440" w:leftChars="200" w:right="0" w:firstLine="480" w:firstLineChars="200"/>
        <w:jc w:val="both"/>
        <w:rPr>
          <w:lang w:val="en-US"/>
        </w:rPr>
      </w:pPr>
    </w:p>
    <w:p w14:paraId="4D1E0A36">
      <w:pPr>
        <w:keepNext w:val="0"/>
        <w:keepLines w:val="0"/>
        <w:widowControl w:val="0"/>
        <w:suppressLineNumbers w:val="0"/>
        <w:spacing w:before="0" w:beforeAutospacing="1" w:after="0" w:afterAutospacing="1"/>
        <w:ind w:left="0" w:right="0"/>
        <w:jc w:val="center"/>
        <w:rPr>
          <w:color w:val="000000"/>
          <w:spacing w:val="20"/>
          <w:szCs w:val="21"/>
          <w:lang w:val="en-US"/>
        </w:rPr>
      </w:pPr>
      <w:r>
        <w:rPr>
          <w:rFonts w:hint="default" w:ascii="Calibri" w:hAnsi="Calibri" w:eastAsia="宋体" w:cs="Times New Roman"/>
          <w:color w:val="000000"/>
          <w:spacing w:val="20"/>
          <w:kern w:val="2"/>
          <w:sz w:val="21"/>
          <w:szCs w:val="21"/>
          <w:lang w:val="en-US" w:eastAsia="zh-CN" w:bidi="ar"/>
        </w:rPr>
        <w:t xml:space="preserve"> </w:t>
      </w:r>
    </w:p>
    <w:p w14:paraId="542C5BE8">
      <w:pPr>
        <w:pStyle w:val="20"/>
        <w:keepNext w:val="0"/>
        <w:keepLines w:val="0"/>
        <w:widowControl w:val="0"/>
        <w:suppressLineNumbers w:val="0"/>
        <w:spacing w:before="0" w:beforeAutospacing="0" w:after="120" w:afterAutospacing="0"/>
        <w:ind w:left="440" w:leftChars="200" w:right="0" w:firstLine="480" w:firstLineChars="200"/>
        <w:jc w:val="both"/>
        <w:rPr>
          <w:lang w:val="en-US"/>
        </w:rPr>
      </w:pPr>
    </w:p>
    <w:tbl>
      <w:tblPr>
        <w:tblStyle w:val="23"/>
        <w:tblW w:w="77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5"/>
        <w:gridCol w:w="2600"/>
        <w:gridCol w:w="1600"/>
        <w:gridCol w:w="1922"/>
      </w:tblGrid>
      <w:tr w14:paraId="63EB9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95" w:type="dxa"/>
            <w:shd w:val="clear" w:color="auto" w:fill="auto"/>
            <w:vAlign w:val="bottom"/>
          </w:tcPr>
          <w:p w14:paraId="7CF42B60">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项目名称：</w:t>
            </w:r>
          </w:p>
        </w:tc>
        <w:tc>
          <w:tcPr>
            <w:tcW w:w="6122" w:type="dxa"/>
            <w:gridSpan w:val="3"/>
            <w:tcBorders>
              <w:top w:val="single" w:color="auto" w:sz="4" w:space="0"/>
              <w:left w:val="nil"/>
              <w:bottom w:val="single" w:color="auto" w:sz="4" w:space="0"/>
              <w:right w:val="nil"/>
            </w:tcBorders>
            <w:shd w:val="clear" w:color="auto" w:fill="auto"/>
            <w:vAlign w:val="bottom"/>
          </w:tcPr>
          <w:p w14:paraId="53FE842E">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rPr>
              <w:t>平塘县旅游名县建设规划(2026一2030年）编制（二次）</w:t>
            </w:r>
          </w:p>
        </w:tc>
      </w:tr>
      <w:tr w14:paraId="1CBC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19FFAE6C">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采购方式：</w:t>
            </w:r>
          </w:p>
        </w:tc>
        <w:tc>
          <w:tcPr>
            <w:tcW w:w="2600" w:type="dxa"/>
            <w:tcBorders>
              <w:top w:val="single" w:color="auto" w:sz="4" w:space="0"/>
              <w:left w:val="nil"/>
              <w:bottom w:val="single" w:color="auto" w:sz="4" w:space="0"/>
              <w:right w:val="nil"/>
            </w:tcBorders>
            <w:shd w:val="clear" w:color="auto" w:fill="auto"/>
            <w:vAlign w:val="bottom"/>
          </w:tcPr>
          <w:p w14:paraId="4BBE0F8E">
            <w:pPr>
              <w:keepNext w:val="0"/>
              <w:keepLines w:val="0"/>
              <w:widowControl w:val="0"/>
              <w:suppressLineNumbers w:val="0"/>
              <w:autoSpaceDE w:val="0"/>
              <w:autoSpaceDN w:val="0"/>
              <w:spacing w:before="0" w:beforeAutospacing="1" w:after="0" w:afterAutospacing="1" w:line="360" w:lineRule="auto"/>
              <w:ind w:left="0" w:right="0"/>
              <w:jc w:val="center"/>
              <w:rPr>
                <w:rFonts w:hint="eastAsia" w:ascii="宋体" w:hAnsi="宋体" w:eastAsia="宋体" w:cs="宋体"/>
                <w:color w:val="000000"/>
                <w:kern w:val="2"/>
                <w:sz w:val="21"/>
                <w:szCs w:val="21"/>
                <w:lang w:val="en-US"/>
              </w:rPr>
            </w:pPr>
            <w:r>
              <w:rPr>
                <w:rFonts w:hint="eastAsia" w:ascii="Calibri" w:hAnsi="Calibri" w:eastAsia="宋体" w:cs="宋体"/>
                <w:color w:val="000000"/>
                <w:kern w:val="2"/>
                <w:sz w:val="21"/>
                <w:szCs w:val="21"/>
                <w:lang w:val="en-US" w:eastAsia="zh-CN" w:bidi="ar"/>
              </w:rPr>
              <w:t>竞争性磋商</w:t>
            </w:r>
          </w:p>
        </w:tc>
        <w:tc>
          <w:tcPr>
            <w:tcW w:w="1600" w:type="dxa"/>
            <w:tcBorders>
              <w:top w:val="single" w:color="auto" w:sz="4" w:space="0"/>
              <w:left w:val="nil"/>
              <w:bottom w:val="nil"/>
              <w:right w:val="nil"/>
            </w:tcBorders>
            <w:shd w:val="clear" w:color="auto" w:fill="auto"/>
            <w:vAlign w:val="bottom"/>
          </w:tcPr>
          <w:p w14:paraId="328C4255">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1"/>
                <w:szCs w:val="21"/>
                <w:lang w:val="en-US"/>
              </w:rPr>
            </w:pPr>
            <w:r>
              <w:rPr>
                <w:rFonts w:hint="eastAsia" w:ascii="Calibri" w:hAnsi="Calibri" w:eastAsia="宋体" w:cs="宋体"/>
                <w:color w:val="000000"/>
                <w:kern w:val="2"/>
                <w:sz w:val="21"/>
                <w:szCs w:val="21"/>
                <w:lang w:val="en-US" w:eastAsia="zh-CN" w:bidi="ar"/>
              </w:rPr>
              <w:t>采购类别：</w:t>
            </w:r>
          </w:p>
        </w:tc>
        <w:tc>
          <w:tcPr>
            <w:tcW w:w="1922" w:type="dxa"/>
            <w:tcBorders>
              <w:top w:val="single" w:color="auto" w:sz="4" w:space="0"/>
              <w:left w:val="nil"/>
              <w:bottom w:val="single" w:color="auto" w:sz="4" w:space="0"/>
              <w:right w:val="nil"/>
            </w:tcBorders>
            <w:shd w:val="clear" w:color="auto" w:fill="auto"/>
            <w:vAlign w:val="bottom"/>
          </w:tcPr>
          <w:p w14:paraId="64D171B0">
            <w:pPr>
              <w:keepNext w:val="0"/>
              <w:keepLines w:val="0"/>
              <w:widowControl w:val="0"/>
              <w:suppressLineNumbers w:val="0"/>
              <w:autoSpaceDE w:val="0"/>
              <w:autoSpaceDN w:val="0"/>
              <w:spacing w:before="0" w:beforeAutospacing="1" w:after="0" w:afterAutospacing="1" w:line="360" w:lineRule="auto"/>
              <w:ind w:left="0" w:right="0"/>
              <w:jc w:val="center"/>
              <w:rPr>
                <w:rFonts w:hint="eastAsia" w:ascii="宋体" w:hAnsi="宋体" w:eastAsia="宋体" w:cs="宋体"/>
                <w:color w:val="000000"/>
                <w:kern w:val="2"/>
                <w:sz w:val="21"/>
                <w:szCs w:val="21"/>
                <w:lang w:val="en-US"/>
              </w:rPr>
            </w:pPr>
            <w:r>
              <w:rPr>
                <w:rFonts w:hint="eastAsia" w:ascii="Calibri" w:hAnsi="Calibri" w:cs="宋体"/>
                <w:color w:val="000000"/>
                <w:kern w:val="2"/>
                <w:sz w:val="21"/>
                <w:szCs w:val="21"/>
                <w:lang w:val="en-US" w:eastAsia="zh-CN" w:bidi="ar"/>
              </w:rPr>
              <w:t>服务</w:t>
            </w:r>
          </w:p>
        </w:tc>
      </w:tr>
      <w:tr w14:paraId="65B8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1595" w:type="dxa"/>
            <w:shd w:val="clear" w:color="auto" w:fill="auto"/>
            <w:vAlign w:val="bottom"/>
          </w:tcPr>
          <w:p w14:paraId="0240821B">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项目编号：</w:t>
            </w:r>
          </w:p>
        </w:tc>
        <w:tc>
          <w:tcPr>
            <w:tcW w:w="6122" w:type="dxa"/>
            <w:gridSpan w:val="3"/>
            <w:tcBorders>
              <w:top w:val="nil"/>
              <w:left w:val="nil"/>
              <w:bottom w:val="single" w:color="auto" w:sz="4" w:space="0"/>
              <w:right w:val="nil"/>
            </w:tcBorders>
            <w:shd w:val="clear" w:color="auto" w:fill="auto"/>
            <w:vAlign w:val="bottom"/>
          </w:tcPr>
          <w:p w14:paraId="32096866">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cs="宋体"/>
                <w:spacing w:val="7"/>
                <w:kern w:val="2"/>
                <w:sz w:val="21"/>
                <w:szCs w:val="21"/>
                <w:lang w:val="en-US" w:eastAsia="zh-CN"/>
              </w:rPr>
              <w:t>GZQC-2026-ZFCG-021</w:t>
            </w:r>
          </w:p>
        </w:tc>
      </w:tr>
      <w:tr w14:paraId="26C4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547B3FF7">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采</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购</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人：</w:t>
            </w:r>
          </w:p>
        </w:tc>
        <w:tc>
          <w:tcPr>
            <w:tcW w:w="6122" w:type="dxa"/>
            <w:gridSpan w:val="3"/>
            <w:tcBorders>
              <w:top w:val="single" w:color="auto" w:sz="4" w:space="0"/>
              <w:left w:val="nil"/>
              <w:bottom w:val="single" w:color="auto" w:sz="4" w:space="0"/>
              <w:right w:val="nil"/>
            </w:tcBorders>
            <w:shd w:val="clear" w:color="auto" w:fill="auto"/>
            <w:vAlign w:val="bottom"/>
          </w:tcPr>
          <w:p w14:paraId="5E027148">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rPr>
              <w:t>平塘县文化广电和旅游局</w:t>
            </w:r>
          </w:p>
        </w:tc>
      </w:tr>
      <w:tr w14:paraId="2848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687EA860">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详细地址：</w:t>
            </w:r>
          </w:p>
        </w:tc>
        <w:tc>
          <w:tcPr>
            <w:tcW w:w="6122" w:type="dxa"/>
            <w:gridSpan w:val="3"/>
            <w:tcBorders>
              <w:top w:val="single" w:color="auto" w:sz="4" w:space="0"/>
              <w:left w:val="nil"/>
              <w:bottom w:val="single" w:color="auto" w:sz="4" w:space="0"/>
              <w:right w:val="nil"/>
            </w:tcBorders>
            <w:shd w:val="clear" w:color="auto" w:fill="auto"/>
            <w:vAlign w:val="bottom"/>
          </w:tcPr>
          <w:p w14:paraId="68586D75">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Calibri" w:hAnsi="Calibri" w:eastAsia="宋体" w:cs="宋体"/>
                <w:color w:val="000000"/>
                <w:kern w:val="2"/>
                <w:sz w:val="21"/>
                <w:szCs w:val="21"/>
                <w:lang w:val="en-US" w:eastAsia="zh-CN" w:bidi="ar"/>
              </w:rPr>
              <w:t>平塘县</w:t>
            </w:r>
          </w:p>
        </w:tc>
      </w:tr>
      <w:tr w14:paraId="0B636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2F9D9A56">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联</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系</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人：</w:t>
            </w:r>
          </w:p>
        </w:tc>
        <w:tc>
          <w:tcPr>
            <w:tcW w:w="2600" w:type="dxa"/>
            <w:tcBorders>
              <w:top w:val="single" w:color="auto" w:sz="4" w:space="0"/>
              <w:left w:val="nil"/>
              <w:bottom w:val="single" w:color="auto" w:sz="4" w:space="0"/>
              <w:right w:val="nil"/>
            </w:tcBorders>
            <w:shd w:val="clear" w:color="auto" w:fill="auto"/>
            <w:vAlign w:val="bottom"/>
          </w:tcPr>
          <w:p w14:paraId="5017BE19">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Calibri" w:hAnsi="Calibri" w:cs="宋体"/>
                <w:kern w:val="2"/>
                <w:sz w:val="21"/>
                <w:szCs w:val="21"/>
                <w:lang w:val="en-US" w:eastAsia="zh-CN" w:bidi="ar"/>
              </w:rPr>
              <w:t xml:space="preserve">    卢弦</w:t>
            </w:r>
          </w:p>
        </w:tc>
        <w:tc>
          <w:tcPr>
            <w:tcW w:w="1600" w:type="dxa"/>
            <w:tcBorders>
              <w:top w:val="single" w:color="auto" w:sz="4" w:space="0"/>
              <w:left w:val="nil"/>
              <w:bottom w:val="nil"/>
              <w:right w:val="nil"/>
            </w:tcBorders>
            <w:shd w:val="clear" w:color="auto" w:fill="auto"/>
            <w:vAlign w:val="bottom"/>
          </w:tcPr>
          <w:p w14:paraId="62816CD4">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1"/>
                <w:szCs w:val="21"/>
                <w:lang w:val="en-US"/>
              </w:rPr>
            </w:pPr>
            <w:r>
              <w:rPr>
                <w:rFonts w:hint="eastAsia" w:ascii="Calibri" w:hAnsi="Calibri" w:eastAsia="宋体" w:cs="宋体"/>
                <w:color w:val="000000"/>
                <w:kern w:val="2"/>
                <w:sz w:val="21"/>
                <w:szCs w:val="21"/>
                <w:lang w:val="en-US" w:eastAsia="zh-CN" w:bidi="ar"/>
              </w:rPr>
              <w:t>联系电话：</w:t>
            </w:r>
          </w:p>
        </w:tc>
        <w:tc>
          <w:tcPr>
            <w:tcW w:w="1922" w:type="dxa"/>
            <w:tcBorders>
              <w:top w:val="single" w:color="auto" w:sz="4" w:space="0"/>
              <w:left w:val="nil"/>
              <w:bottom w:val="single" w:color="auto" w:sz="4" w:space="0"/>
              <w:right w:val="nil"/>
            </w:tcBorders>
            <w:shd w:val="clear" w:color="auto" w:fill="auto"/>
            <w:vAlign w:val="bottom"/>
          </w:tcPr>
          <w:p w14:paraId="386937DF">
            <w:pPr>
              <w:keepNext w:val="0"/>
              <w:keepLines w:val="0"/>
              <w:widowControl w:val="0"/>
              <w:suppressLineNumbers w:val="0"/>
              <w:autoSpaceDE w:val="0"/>
              <w:autoSpaceDN w:val="0"/>
              <w:spacing w:before="0" w:beforeAutospacing="1" w:after="0" w:afterAutospacing="1" w:line="360" w:lineRule="auto"/>
              <w:ind w:left="0" w:right="0"/>
              <w:jc w:val="center"/>
              <w:rPr>
                <w:rFonts w:hint="eastAsia" w:ascii="宋体" w:hAnsi="宋体" w:eastAsia="宋体" w:cs="宋体"/>
                <w:color w:val="000000"/>
                <w:kern w:val="2"/>
                <w:sz w:val="21"/>
                <w:szCs w:val="21"/>
                <w:lang w:val="en-US"/>
              </w:rPr>
            </w:pPr>
            <w:r>
              <w:rPr>
                <w:rFonts w:hint="eastAsia" w:cs="宋体"/>
                <w:color w:val="000000"/>
                <w:kern w:val="2"/>
                <w:sz w:val="21"/>
                <w:szCs w:val="21"/>
                <w:lang w:val="en-US" w:eastAsia="zh-CN"/>
              </w:rPr>
              <w:t>1</w:t>
            </w:r>
            <w:r>
              <w:rPr>
                <w:rFonts w:hint="eastAsia" w:ascii="宋体" w:hAnsi="宋体" w:eastAsia="宋体" w:cs="宋体"/>
                <w:color w:val="000000"/>
                <w:kern w:val="2"/>
                <w:sz w:val="21"/>
                <w:szCs w:val="21"/>
                <w:lang w:val="en-US"/>
              </w:rPr>
              <w:t>3628549453</w:t>
            </w:r>
          </w:p>
        </w:tc>
      </w:tr>
      <w:tr w14:paraId="34238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6B919725">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代理机构：</w:t>
            </w:r>
          </w:p>
        </w:tc>
        <w:tc>
          <w:tcPr>
            <w:tcW w:w="6122" w:type="dxa"/>
            <w:gridSpan w:val="3"/>
            <w:tcBorders>
              <w:top w:val="nil"/>
              <w:left w:val="nil"/>
              <w:bottom w:val="single" w:color="auto" w:sz="4" w:space="0"/>
              <w:right w:val="nil"/>
            </w:tcBorders>
            <w:shd w:val="clear" w:color="auto" w:fill="auto"/>
            <w:vAlign w:val="bottom"/>
          </w:tcPr>
          <w:p w14:paraId="33C05047">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Calibri" w:hAnsi="Calibri" w:cs="宋体"/>
                <w:color w:val="000000"/>
                <w:kern w:val="2"/>
                <w:sz w:val="21"/>
                <w:szCs w:val="21"/>
                <w:lang w:val="en-US" w:eastAsia="zh-CN" w:bidi="ar"/>
              </w:rPr>
              <w:t xml:space="preserve">贵州启城工程咨询有限公司 </w:t>
            </w:r>
          </w:p>
        </w:tc>
      </w:tr>
      <w:tr w14:paraId="2E64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246B22B1">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详细地址：</w:t>
            </w:r>
          </w:p>
        </w:tc>
        <w:tc>
          <w:tcPr>
            <w:tcW w:w="6122" w:type="dxa"/>
            <w:gridSpan w:val="3"/>
            <w:tcBorders>
              <w:top w:val="single" w:color="auto" w:sz="4" w:space="0"/>
              <w:left w:val="nil"/>
              <w:bottom w:val="single" w:color="auto" w:sz="4" w:space="0"/>
              <w:right w:val="nil"/>
            </w:tcBorders>
            <w:shd w:val="clear" w:color="auto" w:fill="auto"/>
            <w:vAlign w:val="bottom"/>
          </w:tcPr>
          <w:p w14:paraId="1CB98C22">
            <w:pPr>
              <w:keepNext w:val="0"/>
              <w:keepLines w:val="0"/>
              <w:widowControl w:val="0"/>
              <w:suppressLineNumbers w:val="0"/>
              <w:autoSpaceDE w:val="0"/>
              <w:autoSpaceDN w:val="0"/>
              <w:spacing w:before="0" w:beforeAutospacing="1" w:after="0" w:afterAutospacing="1" w:line="360" w:lineRule="auto"/>
              <w:ind w:left="0" w:right="0"/>
              <w:jc w:val="both"/>
              <w:rPr>
                <w:rFonts w:hint="eastAsia" w:ascii="宋体" w:hAnsi="宋体" w:eastAsia="宋体" w:cs="宋体"/>
                <w:color w:val="000000"/>
                <w:kern w:val="2"/>
                <w:sz w:val="21"/>
                <w:szCs w:val="21"/>
                <w:lang w:val="en-US"/>
              </w:rPr>
            </w:pPr>
            <w:r>
              <w:rPr>
                <w:rFonts w:hint="eastAsia" w:ascii="Calibri" w:hAnsi="Calibri" w:cs="宋体"/>
                <w:color w:val="000000"/>
                <w:kern w:val="2"/>
                <w:sz w:val="21"/>
                <w:szCs w:val="21"/>
                <w:lang w:val="en-US" w:eastAsia="zh-CN" w:bidi="ar"/>
              </w:rPr>
              <w:t xml:space="preserve">贵州省贵阳市南明区小车河街道花果园R1区2号楼1单元37层2号 </w:t>
            </w:r>
          </w:p>
        </w:tc>
      </w:tr>
      <w:tr w14:paraId="28B3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5" w:type="dxa"/>
            <w:shd w:val="clear" w:color="auto" w:fill="auto"/>
            <w:vAlign w:val="bottom"/>
          </w:tcPr>
          <w:p w14:paraId="34870ED8">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4"/>
                <w:szCs w:val="24"/>
                <w:lang w:val="en-US"/>
              </w:rPr>
            </w:pPr>
            <w:r>
              <w:rPr>
                <w:rFonts w:hint="eastAsia" w:ascii="Calibri" w:hAnsi="Calibri" w:eastAsia="宋体" w:cs="宋体"/>
                <w:color w:val="000000"/>
                <w:kern w:val="2"/>
                <w:sz w:val="21"/>
                <w:szCs w:val="21"/>
                <w:lang w:val="en-US" w:eastAsia="zh-CN" w:bidi="ar"/>
              </w:rPr>
              <w:t>联</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系</w:t>
            </w:r>
            <w:r>
              <w:rPr>
                <w:rFonts w:hint="default" w:ascii="Calibri" w:hAnsi="Calibri" w:eastAsia="宋体" w:cs="Times New Roman"/>
                <w:color w:val="000000"/>
                <w:kern w:val="2"/>
                <w:sz w:val="21"/>
                <w:szCs w:val="21"/>
                <w:lang w:val="en-US" w:eastAsia="zh-CN" w:bidi="ar"/>
              </w:rPr>
              <w:t xml:space="preserve"> </w:t>
            </w:r>
            <w:r>
              <w:rPr>
                <w:rFonts w:hint="eastAsia" w:ascii="Calibri" w:hAnsi="Calibri" w:eastAsia="宋体" w:cs="宋体"/>
                <w:color w:val="000000"/>
                <w:kern w:val="2"/>
                <w:sz w:val="21"/>
                <w:szCs w:val="21"/>
                <w:lang w:val="en-US" w:eastAsia="zh-CN" w:bidi="ar"/>
              </w:rPr>
              <w:t>人：</w:t>
            </w:r>
          </w:p>
        </w:tc>
        <w:tc>
          <w:tcPr>
            <w:tcW w:w="2600" w:type="dxa"/>
            <w:tcBorders>
              <w:top w:val="single" w:color="auto" w:sz="4" w:space="0"/>
              <w:left w:val="nil"/>
              <w:bottom w:val="single" w:color="auto" w:sz="4" w:space="0"/>
              <w:right w:val="nil"/>
            </w:tcBorders>
            <w:shd w:val="clear" w:color="auto" w:fill="auto"/>
            <w:vAlign w:val="bottom"/>
          </w:tcPr>
          <w:p w14:paraId="1B7A23E5">
            <w:pPr>
              <w:keepNext w:val="0"/>
              <w:keepLines w:val="0"/>
              <w:widowControl w:val="0"/>
              <w:suppressLineNumbers w:val="0"/>
              <w:autoSpaceDE w:val="0"/>
              <w:autoSpaceDN w:val="0"/>
              <w:spacing w:before="0" w:beforeAutospacing="1" w:after="0" w:afterAutospacing="1" w:line="360" w:lineRule="auto"/>
              <w:ind w:left="0" w:right="0"/>
              <w:jc w:val="center"/>
              <w:rPr>
                <w:rFonts w:hint="eastAsia" w:ascii="宋体" w:hAnsi="宋体" w:eastAsia="宋体" w:cs="宋体"/>
                <w:color w:val="000000"/>
                <w:kern w:val="2"/>
                <w:sz w:val="21"/>
                <w:szCs w:val="21"/>
                <w:lang w:val="en-US"/>
              </w:rPr>
            </w:pPr>
            <w:r>
              <w:rPr>
                <w:rFonts w:hint="default" w:ascii="sans-serif" w:hAnsi="sans-serif" w:eastAsia="sans-serif" w:cs="sans-serif"/>
                <w:i w:val="0"/>
                <w:iCs w:val="0"/>
                <w:caps w:val="0"/>
                <w:color w:val="000000"/>
                <w:spacing w:val="0"/>
                <w:kern w:val="2"/>
                <w:sz w:val="21"/>
                <w:szCs w:val="21"/>
              </w:rPr>
              <w:t>熊光驰 、张晶晶、胡进</w:t>
            </w:r>
            <w:r>
              <w:rPr>
                <w:rFonts w:hint="eastAsia" w:ascii="Calibri" w:hAnsi="Calibri" w:cs="宋体"/>
                <w:color w:val="000000"/>
                <w:kern w:val="2"/>
                <w:sz w:val="21"/>
                <w:szCs w:val="21"/>
                <w:lang w:val="en-US" w:eastAsia="zh-CN" w:bidi="ar"/>
              </w:rPr>
              <w:t xml:space="preserve"> </w:t>
            </w:r>
          </w:p>
        </w:tc>
        <w:tc>
          <w:tcPr>
            <w:tcW w:w="1600" w:type="dxa"/>
            <w:tcBorders>
              <w:top w:val="single" w:color="auto" w:sz="4" w:space="0"/>
              <w:left w:val="nil"/>
              <w:bottom w:val="nil"/>
              <w:right w:val="nil"/>
            </w:tcBorders>
            <w:shd w:val="clear" w:color="auto" w:fill="auto"/>
            <w:vAlign w:val="bottom"/>
          </w:tcPr>
          <w:p w14:paraId="1F1EB3D0">
            <w:pPr>
              <w:keepNext w:val="0"/>
              <w:keepLines w:val="0"/>
              <w:widowControl w:val="0"/>
              <w:suppressLineNumbers w:val="0"/>
              <w:autoSpaceDE w:val="0"/>
              <w:autoSpaceDN w:val="0"/>
              <w:spacing w:before="0" w:beforeAutospacing="1" w:after="0" w:afterAutospacing="1" w:line="360" w:lineRule="auto"/>
              <w:ind w:left="0" w:right="0"/>
              <w:jc w:val="distribute"/>
              <w:rPr>
                <w:rFonts w:hint="eastAsia" w:ascii="宋体" w:hAnsi="宋体" w:eastAsia="宋体" w:cs="宋体"/>
                <w:color w:val="000000"/>
                <w:kern w:val="2"/>
                <w:sz w:val="21"/>
                <w:szCs w:val="21"/>
                <w:lang w:val="en-US"/>
              </w:rPr>
            </w:pPr>
            <w:r>
              <w:rPr>
                <w:rFonts w:hint="eastAsia" w:ascii="Calibri" w:hAnsi="Calibri" w:eastAsia="宋体" w:cs="宋体"/>
                <w:color w:val="000000"/>
                <w:kern w:val="2"/>
                <w:sz w:val="21"/>
                <w:szCs w:val="21"/>
                <w:lang w:val="en-US" w:eastAsia="zh-CN" w:bidi="ar"/>
              </w:rPr>
              <w:t>联系电话：</w:t>
            </w:r>
          </w:p>
        </w:tc>
        <w:tc>
          <w:tcPr>
            <w:tcW w:w="1922" w:type="dxa"/>
            <w:tcBorders>
              <w:top w:val="single" w:color="auto" w:sz="4" w:space="0"/>
              <w:left w:val="nil"/>
              <w:bottom w:val="single" w:color="auto" w:sz="4" w:space="0"/>
              <w:right w:val="nil"/>
            </w:tcBorders>
            <w:shd w:val="clear" w:color="auto" w:fill="auto"/>
            <w:vAlign w:val="bottom"/>
          </w:tcPr>
          <w:p w14:paraId="4D7253CB">
            <w:pPr>
              <w:keepNext w:val="0"/>
              <w:keepLines w:val="0"/>
              <w:widowControl w:val="0"/>
              <w:suppressLineNumbers w:val="0"/>
              <w:autoSpaceDE w:val="0"/>
              <w:autoSpaceDN w:val="0"/>
              <w:spacing w:before="0" w:beforeAutospacing="1" w:after="0" w:afterAutospacing="1" w:line="360" w:lineRule="auto"/>
              <w:ind w:left="0" w:right="0"/>
              <w:jc w:val="center"/>
              <w:rPr>
                <w:rFonts w:hint="eastAsia" w:ascii="宋体" w:hAnsi="宋体" w:eastAsia="宋体" w:cs="宋体"/>
                <w:color w:val="000000"/>
                <w:kern w:val="2"/>
                <w:sz w:val="21"/>
                <w:szCs w:val="21"/>
                <w:lang w:val="en-US"/>
              </w:rPr>
            </w:pPr>
            <w:r>
              <w:rPr>
                <w:rFonts w:hint="eastAsia" w:ascii="Calibri" w:hAnsi="Calibri" w:cs="Times New Roman"/>
                <w:color w:val="000000"/>
                <w:kern w:val="2"/>
                <w:sz w:val="21"/>
                <w:szCs w:val="21"/>
                <w:lang w:val="en-US" w:eastAsia="zh-CN" w:bidi="ar"/>
              </w:rPr>
              <w:t>185 8508 0208</w:t>
            </w:r>
          </w:p>
        </w:tc>
      </w:tr>
    </w:tbl>
    <w:p w14:paraId="0571DD81">
      <w:pPr>
        <w:pStyle w:val="3"/>
        <w:numPr>
          <w:ilvl w:val="0"/>
          <w:numId w:val="0"/>
        </w:numPr>
        <w:shd w:val="clear" w:color="auto" w:fill="FFFFFF"/>
        <w:spacing w:line="360" w:lineRule="auto"/>
        <w:ind w:firstLine="422" w:firstLineChars="200"/>
        <w:rPr>
          <w:rFonts w:hint="default" w:ascii="Times New Roman" w:hAnsi="Times New Roman" w:eastAsia="宋体" w:cs="Times New Roman"/>
          <w:color w:val="auto"/>
          <w:kern w:val="0"/>
          <w:sz w:val="30"/>
          <w:szCs w:val="30"/>
          <w:highlight w:val="none"/>
        </w:rPr>
      </w:pPr>
      <w:r>
        <w:rPr>
          <w:rFonts w:hint="default" w:ascii="Calibri" w:hAnsi="Calibri" w:eastAsia="宋体" w:cs="Times New Roman"/>
          <w:kern w:val="2"/>
          <w:sz w:val="21"/>
          <w:szCs w:val="22"/>
          <w:lang w:val="en-US" w:eastAsia="zh-CN" w:bidi="ar"/>
        </w:rPr>
        <w:t xml:space="preserve"> </w:t>
      </w:r>
      <w:bookmarkStart w:id="0" w:name="_Toc35393621"/>
      <w:bookmarkEnd w:id="0"/>
      <w:bookmarkStart w:id="1" w:name="_Toc28359002"/>
      <w:bookmarkEnd w:id="1"/>
      <w:bookmarkStart w:id="2" w:name="_Toc28359079"/>
      <w:bookmarkEnd w:id="2"/>
      <w:bookmarkStart w:id="3" w:name="_Hlk24379207"/>
      <w:bookmarkEnd w:id="3"/>
      <w:bookmarkStart w:id="4" w:name="_Toc35393790"/>
      <w:r>
        <w:rPr>
          <w:rFonts w:hint="default" w:ascii="Times New Roman" w:hAnsi="Times New Roman" w:eastAsia="宋体" w:cs="Times New Roman"/>
          <w:color w:val="auto"/>
          <w:kern w:val="0"/>
          <w:sz w:val="30"/>
          <w:szCs w:val="30"/>
          <w:highlight w:val="none"/>
        </w:rPr>
        <w:t>一、项目基本情况</w:t>
      </w:r>
      <w:bookmarkEnd w:id="4"/>
    </w:p>
    <w:p w14:paraId="5370B199">
      <w:pPr>
        <w:shd w:val="clear" w:color="auto" w:fill="FFFFFF"/>
        <w:spacing w:before="125" w:after="125" w:line="376" w:lineRule="atLeast"/>
        <w:ind w:firstLine="560"/>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cs="Times New Roman"/>
          <w:color w:val="auto"/>
          <w:kern w:val="0"/>
          <w:sz w:val="24"/>
          <w:szCs w:val="24"/>
          <w:highlight w:val="none"/>
        </w:rPr>
        <w:t>项目编号：</w:t>
      </w:r>
      <w:r>
        <w:rPr>
          <w:rFonts w:hint="eastAsia" w:cs="宋体"/>
          <w:spacing w:val="7"/>
          <w:kern w:val="2"/>
          <w:sz w:val="21"/>
          <w:szCs w:val="21"/>
          <w:lang w:val="en-US" w:eastAsia="zh-CN"/>
        </w:rPr>
        <w:t>GZQC-2026-ZFCG-021</w:t>
      </w:r>
    </w:p>
    <w:p w14:paraId="6323E6ED">
      <w:pPr>
        <w:shd w:val="clear" w:color="auto" w:fill="FFFFFF"/>
        <w:spacing w:before="125" w:after="125" w:line="376" w:lineRule="atLeast"/>
        <w:ind w:firstLine="560"/>
        <w:rPr>
          <w:rFonts w:hint="eastAsia"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rPr>
        <w:t>项目名称：</w:t>
      </w:r>
      <w:r>
        <w:rPr>
          <w:rFonts w:hint="eastAsia" w:ascii="Times New Roman" w:hAnsi="Times New Roman" w:cs="Times New Roman"/>
          <w:color w:val="auto"/>
          <w:kern w:val="0"/>
          <w:sz w:val="24"/>
          <w:szCs w:val="24"/>
          <w:highlight w:val="none"/>
          <w:lang w:eastAsia="zh-CN"/>
        </w:rPr>
        <w:t>平塘县旅游名县建设规划(2026－2030年）编制（二次）</w:t>
      </w:r>
    </w:p>
    <w:p w14:paraId="724B1E63">
      <w:pPr>
        <w:shd w:val="clear" w:color="auto" w:fill="FFFFFF"/>
        <w:spacing w:before="125" w:after="125" w:line="376" w:lineRule="atLeast"/>
        <w:ind w:firstLine="560"/>
        <w:rPr>
          <w:rFonts w:hint="eastAsia"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rPr>
        <w:t>预算金额：</w:t>
      </w:r>
      <w:r>
        <w:rPr>
          <w:rFonts w:hint="eastAsia" w:ascii="Times New Roman" w:hAnsi="Times New Roman" w:cs="Times New Roman"/>
          <w:color w:val="auto"/>
          <w:kern w:val="0"/>
          <w:sz w:val="24"/>
          <w:szCs w:val="24"/>
          <w:highlight w:val="none"/>
          <w:lang w:val="en-US" w:eastAsia="zh-CN"/>
        </w:rPr>
        <w:t>1100000.00</w:t>
      </w:r>
      <w:r>
        <w:rPr>
          <w:rFonts w:hint="eastAsia" w:cs="Times New Roman"/>
          <w:color w:val="auto"/>
          <w:kern w:val="0"/>
          <w:sz w:val="24"/>
          <w:szCs w:val="24"/>
          <w:highlight w:val="none"/>
          <w:lang w:eastAsia="zh-CN"/>
        </w:rPr>
        <w:t>元</w:t>
      </w:r>
    </w:p>
    <w:p w14:paraId="28E550A6">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最高限价：</w:t>
      </w:r>
      <w:r>
        <w:rPr>
          <w:rFonts w:hint="eastAsia" w:ascii="Times New Roman" w:hAnsi="Times New Roman" w:cs="Times New Roman"/>
          <w:color w:val="auto"/>
          <w:kern w:val="0"/>
          <w:sz w:val="24"/>
          <w:szCs w:val="24"/>
          <w:highlight w:val="none"/>
          <w:lang w:val="en-US" w:eastAsia="zh-CN"/>
        </w:rPr>
        <w:t>1100000.00</w:t>
      </w:r>
      <w:r>
        <w:rPr>
          <w:rFonts w:hint="eastAsia" w:cs="Times New Roman"/>
          <w:color w:val="auto"/>
          <w:kern w:val="0"/>
          <w:sz w:val="24"/>
          <w:szCs w:val="24"/>
          <w:highlight w:val="none"/>
          <w:lang w:eastAsia="zh-CN"/>
        </w:rPr>
        <w:t>元</w:t>
      </w:r>
    </w:p>
    <w:p w14:paraId="1AAC454C">
      <w:pPr>
        <w:shd w:val="clear" w:color="auto" w:fill="FFFFFF"/>
        <w:spacing w:before="125" w:after="125" w:line="376" w:lineRule="atLeast"/>
        <w:ind w:firstLine="560"/>
        <w:rPr>
          <w:rFonts w:hint="eastAsia"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rPr>
        <w:t>采购需求：编制</w:t>
      </w:r>
      <w:r>
        <w:rPr>
          <w:rFonts w:hint="eastAsia" w:ascii="Times New Roman" w:hAnsi="Times New Roman" w:cs="Times New Roman"/>
          <w:color w:val="auto"/>
          <w:kern w:val="0"/>
          <w:sz w:val="24"/>
          <w:szCs w:val="24"/>
          <w:highlight w:val="none"/>
          <w:lang w:eastAsia="zh-CN"/>
        </w:rPr>
        <w:t>平塘</w:t>
      </w:r>
      <w:r>
        <w:rPr>
          <w:rFonts w:hint="default" w:ascii="Times New Roman" w:hAnsi="Times New Roman" w:cs="Times New Roman"/>
          <w:color w:val="auto"/>
          <w:kern w:val="0"/>
          <w:sz w:val="24"/>
          <w:szCs w:val="24"/>
          <w:highlight w:val="none"/>
        </w:rPr>
        <w:t>县全域旅游规划</w:t>
      </w:r>
      <w:r>
        <w:rPr>
          <w:rFonts w:hint="eastAsia" w:ascii="Times New Roman" w:hAnsi="Times New Roman" w:cs="Times New Roman"/>
          <w:color w:val="auto"/>
          <w:kern w:val="0"/>
          <w:sz w:val="24"/>
          <w:szCs w:val="24"/>
          <w:highlight w:val="none"/>
          <w:lang w:eastAsia="zh-CN"/>
        </w:rPr>
        <w:t>（详见贵州省平塘县旅游名县创建规划工作任务书）</w:t>
      </w:r>
    </w:p>
    <w:p w14:paraId="20F2E00B">
      <w:pPr>
        <w:shd w:val="clear" w:color="auto" w:fill="FFFFFF"/>
        <w:spacing w:before="125" w:after="125" w:line="376" w:lineRule="atLeast"/>
        <w:ind w:firstLine="560"/>
        <w:rPr>
          <w:rFonts w:hint="default"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rPr>
        <w:t>交货时间、服务时间：</w:t>
      </w:r>
      <w:r>
        <w:rPr>
          <w:rFonts w:hint="eastAsia" w:cs="Times New Roman"/>
          <w:color w:val="auto"/>
          <w:kern w:val="0"/>
          <w:sz w:val="24"/>
          <w:szCs w:val="24"/>
          <w:highlight w:val="none"/>
          <w:lang w:val="en-US" w:eastAsia="zh-CN"/>
        </w:rPr>
        <w:t>60日历天</w:t>
      </w:r>
    </w:p>
    <w:p w14:paraId="2AC868F3">
      <w:pPr>
        <w:shd w:val="clear" w:color="auto" w:fill="FFFFFF"/>
        <w:spacing w:before="125" w:after="125" w:line="376" w:lineRule="atLeast"/>
        <w:ind w:firstLine="560"/>
        <w:rPr>
          <w:rFonts w:hint="default" w:cs="Times New Roman"/>
          <w:color w:val="auto"/>
          <w:kern w:val="0"/>
          <w:sz w:val="24"/>
          <w:szCs w:val="24"/>
          <w:highlight w:val="none"/>
          <w:lang w:val="en-US" w:eastAsia="zh-CN"/>
        </w:rPr>
      </w:pPr>
      <w:r>
        <w:rPr>
          <w:rFonts w:hint="default" w:cs="Times New Roman"/>
          <w:color w:val="auto"/>
          <w:kern w:val="0"/>
          <w:sz w:val="24"/>
          <w:szCs w:val="24"/>
          <w:highlight w:val="none"/>
          <w:lang w:val="en-US" w:eastAsia="zh-CN"/>
        </w:rPr>
        <w:t>交货地点、服务地点:</w:t>
      </w:r>
      <w:r>
        <w:rPr>
          <w:rFonts w:hint="eastAsia" w:cs="Times New Roman"/>
          <w:color w:val="auto"/>
          <w:kern w:val="0"/>
          <w:sz w:val="24"/>
          <w:szCs w:val="24"/>
          <w:highlight w:val="none"/>
          <w:lang w:val="en-US" w:eastAsia="zh-CN"/>
        </w:rPr>
        <w:t>采购人指定地点</w:t>
      </w:r>
    </w:p>
    <w:p w14:paraId="789A22BF">
      <w:pPr>
        <w:shd w:val="clear" w:color="auto" w:fill="FFFFFF"/>
        <w:spacing w:before="125" w:after="125" w:line="360" w:lineRule="auto"/>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本项目（否）接受联合体投标</w:t>
      </w:r>
      <w:bookmarkStart w:id="5" w:name="_Toc35393622"/>
      <w:bookmarkEnd w:id="5"/>
      <w:bookmarkStart w:id="6" w:name="_Toc28359003"/>
      <w:bookmarkEnd w:id="6"/>
      <w:bookmarkStart w:id="7" w:name="_Toc28359080"/>
      <w:bookmarkEnd w:id="7"/>
      <w:bookmarkStart w:id="8" w:name="_Toc35393791"/>
    </w:p>
    <w:p w14:paraId="558D661E">
      <w:pPr>
        <w:shd w:val="clear" w:color="auto" w:fill="FFFFFF"/>
        <w:spacing w:before="125" w:after="125" w:line="360" w:lineRule="auto"/>
        <w:ind w:firstLine="560"/>
        <w:rPr>
          <w:rFonts w:hint="default" w:ascii="Times New Roman" w:hAnsi="Times New Roman" w:cs="Times New Roman"/>
          <w:b/>
          <w:bCs/>
          <w:color w:val="auto"/>
          <w:kern w:val="0"/>
          <w:sz w:val="30"/>
          <w:szCs w:val="30"/>
          <w:highlight w:val="none"/>
        </w:rPr>
      </w:pPr>
      <w:r>
        <w:rPr>
          <w:rFonts w:hint="default" w:ascii="Times New Roman" w:hAnsi="Times New Roman" w:cs="Times New Roman"/>
          <w:b/>
          <w:bCs/>
          <w:color w:val="auto"/>
          <w:kern w:val="0"/>
          <w:sz w:val="30"/>
          <w:szCs w:val="30"/>
          <w:highlight w:val="none"/>
        </w:rPr>
        <w:t>二、申请人的资格要求：</w:t>
      </w:r>
      <w:bookmarkEnd w:id="8"/>
    </w:p>
    <w:p w14:paraId="14B69905">
      <w:pPr>
        <w:spacing w:before="125" w:after="125" w:line="376" w:lineRule="atLeast"/>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1.必须符合《中华人民共和国政府采购法》第二十二条规定；</w:t>
      </w:r>
    </w:p>
    <w:p w14:paraId="7FF16CDA">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（一）</w:t>
      </w:r>
      <w:r>
        <w:rPr>
          <w:rFonts w:hint="default" w:ascii="Times New Roman" w:hAnsi="Times New Roman" w:cs="Times New Roman" w:eastAsiaTheme="minorEastAsia"/>
          <w:color w:val="auto"/>
          <w:sz w:val="24"/>
          <w:szCs w:val="24"/>
          <w:highlight w:val="none"/>
        </w:rPr>
        <w:t>法人或者其他组织的营业执照等证明文件（有效的工商营业执照副本、组织机构代码证副本和税务登记证副本，或多证合一的营业执照）；</w:t>
      </w:r>
    </w:p>
    <w:p w14:paraId="1EABB0AF">
      <w:pPr>
        <w:shd w:val="clear" w:color="auto" w:fill="FFFFFF"/>
        <w:spacing w:before="125" w:after="125" w:line="376" w:lineRule="atLeast"/>
        <w:ind w:firstLine="560"/>
        <w:rPr>
          <w:rFonts w:hint="default" w:ascii="Times New Roman" w:hAnsi="Times New Roman" w:cs="Times New Roman" w:eastAsiaTheme="minorEastAsia"/>
          <w:color w:val="auto"/>
          <w:kern w:val="0"/>
          <w:sz w:val="24"/>
          <w:szCs w:val="24"/>
          <w:highlight w:val="none"/>
          <w:lang w:eastAsia="zh-CN"/>
        </w:rPr>
      </w:pPr>
      <w:r>
        <w:rPr>
          <w:rFonts w:hint="default" w:ascii="Times New Roman" w:hAnsi="Times New Roman" w:cs="Times New Roman"/>
          <w:color w:val="auto"/>
          <w:kern w:val="0"/>
          <w:sz w:val="24"/>
          <w:szCs w:val="24"/>
          <w:highlight w:val="none"/>
        </w:rPr>
        <w:t>（二）</w:t>
      </w:r>
      <w:r>
        <w:rPr>
          <w:rFonts w:hint="default" w:ascii="Times New Roman" w:hAnsi="Times New Roman" w:cs="Times New Roman" w:eastAsiaTheme="minorEastAsia"/>
          <w:color w:val="auto"/>
          <w:sz w:val="24"/>
          <w:szCs w:val="24"/>
          <w:highlight w:val="none"/>
        </w:rPr>
        <w:t>具有良好的商业信誉和健全的财务会计制度：提供会计师事务所出具的</w:t>
      </w:r>
      <w:r>
        <w:rPr>
          <w:rFonts w:hint="default" w:ascii="Times New Roman" w:hAnsi="Times New Roman" w:cs="Times New Roman" w:eastAsiaTheme="minorEastAsia"/>
          <w:color w:val="auto"/>
          <w:sz w:val="24"/>
          <w:szCs w:val="24"/>
          <w:highlight w:val="none"/>
          <w:lang w:eastAsia="zh-CN"/>
        </w:rPr>
        <w:t>202</w:t>
      </w:r>
      <w:r>
        <w:rPr>
          <w:rFonts w:hint="eastAsia" w:ascii="Times New Roman" w:hAnsi="Times New Roman" w:cs="Times New Roman" w:eastAsiaTheme="minorEastAsia"/>
          <w:color w:val="auto"/>
          <w:sz w:val="24"/>
          <w:szCs w:val="24"/>
          <w:highlight w:val="none"/>
          <w:lang w:val="en-US" w:eastAsia="zh-CN"/>
        </w:rPr>
        <w:t>4</w:t>
      </w:r>
      <w:r>
        <w:rPr>
          <w:rFonts w:hint="eastAsia" w:cs="Times New Roman" w:eastAsiaTheme="minorEastAsia"/>
          <w:color w:val="auto"/>
          <w:sz w:val="24"/>
          <w:szCs w:val="24"/>
          <w:highlight w:val="none"/>
          <w:lang w:eastAsia="zh-CN"/>
        </w:rPr>
        <w:t>或</w:t>
      </w:r>
      <w:r>
        <w:rPr>
          <w:rFonts w:hint="eastAsia" w:cs="Times New Roman" w:eastAsiaTheme="minorEastAsia"/>
          <w:color w:val="auto"/>
          <w:sz w:val="24"/>
          <w:szCs w:val="24"/>
          <w:highlight w:val="none"/>
          <w:lang w:val="en-US" w:eastAsia="zh-CN"/>
        </w:rPr>
        <w:t>2025</w:t>
      </w:r>
      <w:r>
        <w:rPr>
          <w:rFonts w:hint="default" w:ascii="Times New Roman" w:hAnsi="Times New Roman" w:cs="Times New Roman" w:eastAsiaTheme="minorEastAsia"/>
          <w:color w:val="auto"/>
          <w:sz w:val="24"/>
          <w:szCs w:val="24"/>
          <w:highlight w:val="none"/>
          <w:lang w:eastAsia="zh-CN"/>
        </w:rPr>
        <w:t>年度的财务审计</w:t>
      </w:r>
      <w:r>
        <w:rPr>
          <w:rFonts w:hint="default" w:ascii="Times New Roman" w:hAnsi="Times New Roman" w:cs="Times New Roman" w:eastAsiaTheme="minorEastAsia"/>
          <w:color w:val="auto"/>
          <w:sz w:val="24"/>
          <w:szCs w:val="24"/>
          <w:highlight w:val="none"/>
        </w:rPr>
        <w:t>报告</w:t>
      </w:r>
      <w:r>
        <w:rPr>
          <w:rFonts w:hint="default" w:ascii="Times New Roman" w:hAnsi="Times New Roman" w:cs="Times New Roman" w:eastAsiaTheme="minorEastAsia"/>
          <w:color w:val="auto"/>
          <w:sz w:val="24"/>
          <w:szCs w:val="24"/>
          <w:highlight w:val="none"/>
          <w:lang w:eastAsia="zh-CN"/>
        </w:rPr>
        <w:t>或投标人基本开户行出具的资信证明</w:t>
      </w:r>
      <w:r>
        <w:rPr>
          <w:rFonts w:hint="default" w:ascii="Times New Roman" w:hAnsi="Times New Roman" w:cs="Times New Roman" w:eastAsiaTheme="minorEastAsia"/>
          <w:color w:val="auto"/>
          <w:sz w:val="24"/>
          <w:szCs w:val="24"/>
          <w:highlight w:val="none"/>
          <w:lang w:val="en-US" w:eastAsia="zh-CN"/>
        </w:rPr>
        <w:t>，资信证明开具日期为采购需求公示发布之日后</w:t>
      </w:r>
      <w:r>
        <w:rPr>
          <w:rFonts w:hint="default" w:ascii="Times New Roman" w:hAnsi="Times New Roman" w:cs="Times New Roman" w:eastAsiaTheme="minorEastAsia"/>
          <w:color w:val="auto"/>
          <w:sz w:val="24"/>
          <w:szCs w:val="24"/>
          <w:highlight w:val="none"/>
        </w:rPr>
        <w:t>；</w:t>
      </w:r>
    </w:p>
    <w:p w14:paraId="50077991">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（三）</w:t>
      </w:r>
      <w:r>
        <w:rPr>
          <w:rFonts w:hint="default" w:ascii="Times New Roman" w:hAnsi="Times New Roman" w:cs="Times New Roman" w:eastAsiaTheme="minorEastAsia"/>
          <w:color w:val="auto"/>
          <w:sz w:val="24"/>
          <w:szCs w:val="24"/>
          <w:highlight w:val="none"/>
        </w:rPr>
        <w:t>具有依法缴纳税收的良好记录：提供20</w:t>
      </w:r>
      <w:r>
        <w:rPr>
          <w:rFonts w:hint="default" w:ascii="Times New Roman" w:hAnsi="Times New Roman" w:cs="Times New Roman" w:eastAsiaTheme="minorEastAsia"/>
          <w:color w:val="auto"/>
          <w:sz w:val="24"/>
          <w:szCs w:val="24"/>
          <w:highlight w:val="none"/>
          <w:lang w:val="en-US" w:eastAsia="zh-CN"/>
        </w:rPr>
        <w:t>2</w:t>
      </w:r>
      <w:r>
        <w:rPr>
          <w:rFonts w:hint="eastAsia"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年至</w:t>
      </w:r>
      <w:r>
        <w:rPr>
          <w:rFonts w:hint="eastAsia" w:ascii="Times New Roman" w:hAnsi="Times New Roman" w:cs="Times New Roman" w:eastAsiaTheme="minorEastAsia"/>
          <w:color w:val="auto"/>
          <w:sz w:val="24"/>
          <w:szCs w:val="24"/>
          <w:highlight w:val="none"/>
          <w:lang w:eastAsia="zh-CN"/>
        </w:rPr>
        <w:t>投标截止时间</w:t>
      </w:r>
      <w:r>
        <w:rPr>
          <w:rFonts w:hint="default" w:ascii="Times New Roman" w:hAnsi="Times New Roman" w:cs="Times New Roman" w:eastAsiaTheme="minorEastAsia"/>
          <w:color w:val="auto"/>
          <w:sz w:val="24"/>
          <w:szCs w:val="24"/>
          <w:highlight w:val="none"/>
        </w:rPr>
        <w:t>任意</w:t>
      </w:r>
      <w:r>
        <w:rPr>
          <w:rFonts w:hint="eastAsia" w:ascii="Times New Roman" w:hAnsi="Times New Roman" w:cs="Times New Roman" w:eastAsiaTheme="minorEastAsia"/>
          <w:color w:val="auto"/>
          <w:sz w:val="24"/>
          <w:szCs w:val="24"/>
          <w:highlight w:val="none"/>
          <w:lang w:val="en-US" w:eastAsia="zh-CN"/>
        </w:rPr>
        <w:t>1</w:t>
      </w:r>
      <w:r>
        <w:rPr>
          <w:rFonts w:hint="default" w:ascii="Times New Roman" w:hAnsi="Times New Roman" w:cs="Times New Roman" w:eastAsiaTheme="minorEastAsia"/>
          <w:color w:val="auto"/>
          <w:sz w:val="24"/>
          <w:szCs w:val="24"/>
          <w:highlight w:val="none"/>
        </w:rPr>
        <w:t>个月依法缴纳税收的凭证或证明材料（依法免税的供应商须提供相应证明文件</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en-US" w:eastAsia="zh-CN"/>
        </w:rPr>
        <w:t>新成立的公司可提供承诺函</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color w:val="auto"/>
          <w:kern w:val="0"/>
          <w:sz w:val="24"/>
          <w:szCs w:val="24"/>
          <w:highlight w:val="none"/>
        </w:rPr>
        <w:t>；</w:t>
      </w:r>
    </w:p>
    <w:p w14:paraId="25ED52F3">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（四）</w:t>
      </w:r>
      <w:r>
        <w:rPr>
          <w:rFonts w:hint="default" w:ascii="Times New Roman" w:hAnsi="Times New Roman" w:cs="Times New Roman" w:eastAsiaTheme="minorEastAsia"/>
          <w:color w:val="auto"/>
          <w:sz w:val="24"/>
          <w:szCs w:val="24"/>
          <w:highlight w:val="none"/>
        </w:rPr>
        <w:t>具有依法缴纳社会保障资金的良好记录：提供20</w:t>
      </w:r>
      <w:r>
        <w:rPr>
          <w:rFonts w:hint="default" w:ascii="Times New Roman" w:hAnsi="Times New Roman" w:cs="Times New Roman" w:eastAsiaTheme="minorEastAsia"/>
          <w:color w:val="auto"/>
          <w:sz w:val="24"/>
          <w:szCs w:val="24"/>
          <w:highlight w:val="none"/>
          <w:lang w:val="en-US" w:eastAsia="zh-CN"/>
        </w:rPr>
        <w:t>2</w:t>
      </w:r>
      <w:r>
        <w:rPr>
          <w:rFonts w:hint="eastAsia"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年至</w:t>
      </w:r>
      <w:r>
        <w:rPr>
          <w:rFonts w:hint="eastAsia" w:ascii="Times New Roman" w:hAnsi="Times New Roman" w:cs="Times New Roman" w:eastAsiaTheme="minorEastAsia"/>
          <w:color w:val="auto"/>
          <w:sz w:val="24"/>
          <w:szCs w:val="24"/>
          <w:highlight w:val="none"/>
          <w:lang w:eastAsia="zh-CN"/>
        </w:rPr>
        <w:t>投标截止时间</w:t>
      </w:r>
      <w:r>
        <w:rPr>
          <w:rFonts w:hint="default" w:ascii="Times New Roman" w:hAnsi="Times New Roman" w:cs="Times New Roman" w:eastAsiaTheme="minorEastAsia"/>
          <w:color w:val="auto"/>
          <w:sz w:val="24"/>
          <w:szCs w:val="24"/>
          <w:highlight w:val="none"/>
        </w:rPr>
        <w:t>任意</w:t>
      </w:r>
      <w:r>
        <w:rPr>
          <w:rFonts w:hint="eastAsia" w:ascii="Times New Roman" w:hAnsi="Times New Roman" w:cs="Times New Roman" w:eastAsiaTheme="minorEastAsia"/>
          <w:color w:val="auto"/>
          <w:sz w:val="24"/>
          <w:szCs w:val="24"/>
          <w:highlight w:val="none"/>
          <w:lang w:val="en-US" w:eastAsia="zh-CN"/>
        </w:rPr>
        <w:t>1</w:t>
      </w:r>
      <w:r>
        <w:rPr>
          <w:rFonts w:hint="default" w:ascii="Times New Roman" w:hAnsi="Times New Roman" w:cs="Times New Roman" w:eastAsiaTheme="minorEastAsia"/>
          <w:color w:val="auto"/>
          <w:sz w:val="24"/>
          <w:szCs w:val="24"/>
          <w:highlight w:val="none"/>
        </w:rPr>
        <w:t>个月社会保障资金缴纳凭证或缴纳养老保险证明材料（不需要缴纳社保资金的供应商须提供相应证明文件</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en-US" w:eastAsia="zh-CN"/>
        </w:rPr>
        <w:t>新成立的公司可提供承诺函</w:t>
      </w:r>
      <w:r>
        <w:rPr>
          <w:rFonts w:hint="default" w:ascii="Times New Roman" w:hAnsi="Times New Roman" w:cs="Times New Roman" w:eastAsiaTheme="minorEastAsia"/>
          <w:color w:val="auto"/>
          <w:sz w:val="24"/>
          <w:szCs w:val="24"/>
          <w:highlight w:val="none"/>
        </w:rPr>
        <w:t>）；</w:t>
      </w:r>
    </w:p>
    <w:p w14:paraId="1D7D0B3C">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（五）具有履行合同所必需的设备和专业技术能力（自行承诺）；</w:t>
      </w:r>
    </w:p>
    <w:p w14:paraId="736FB6A1">
      <w:pPr>
        <w:shd w:val="clear" w:color="auto" w:fill="FFFFFF"/>
        <w:spacing w:before="125" w:after="125" w:line="376" w:lineRule="atLeast"/>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（六）参加政府采购活动前3年内在经营活动中没有重大违法记录的书面声明（自行声明）；</w:t>
      </w:r>
    </w:p>
    <w:p w14:paraId="44DEFB5F">
      <w:pPr>
        <w:shd w:val="clear" w:color="auto" w:fill="FFFFFF"/>
        <w:spacing w:before="125" w:after="125" w:line="376" w:lineRule="atLeast"/>
        <w:ind w:firstLine="56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color w:val="auto"/>
          <w:kern w:val="0"/>
          <w:sz w:val="24"/>
          <w:szCs w:val="24"/>
          <w:highlight w:val="none"/>
        </w:rPr>
        <w:t>（七）</w:t>
      </w:r>
      <w:r>
        <w:rPr>
          <w:rFonts w:hint="default" w:ascii="Times New Roman" w:hAnsi="Times New Roman" w:cs="Times New Roman" w:eastAsiaTheme="minorEastAsia"/>
          <w:color w:val="auto"/>
          <w:sz w:val="24"/>
          <w:szCs w:val="24"/>
          <w:highlight w:val="none"/>
        </w:rPr>
        <w:t>法定代表人参加投标的必须有法定代表人身份证明，法定代表人授权委托人参加投标的必须有法定代表人授权委托书及被授权人的身份证；</w:t>
      </w:r>
    </w:p>
    <w:p w14:paraId="5F20B264">
      <w:pPr>
        <w:shd w:val="clear" w:color="auto" w:fill="FFFFFF"/>
        <w:spacing w:before="125" w:after="125" w:line="360" w:lineRule="auto"/>
        <w:ind w:firstLine="560"/>
        <w:rPr>
          <w:rFonts w:hint="default" w:ascii="Times New Roman" w:hAnsi="Times New Roman" w:eastAsia="宋体" w:cs="Times New Roman"/>
          <w:color w:val="auto"/>
          <w:kern w:val="0"/>
          <w:sz w:val="24"/>
          <w:szCs w:val="24"/>
          <w:highlight w:val="none"/>
          <w:lang w:eastAsia="zh-CN"/>
        </w:rPr>
      </w:pPr>
      <w:bookmarkStart w:id="9" w:name="_Toc28359081"/>
      <w:bookmarkEnd w:id="9"/>
      <w:bookmarkStart w:id="10" w:name="_Toc28359004"/>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lang w:val="en-US" w:eastAsia="zh-CN"/>
        </w:rPr>
        <w:t>八</w:t>
      </w:r>
      <w:r>
        <w:rPr>
          <w:rFonts w:hint="default" w:ascii="Times New Roman" w:hAnsi="Times New Roman" w:cs="Times New Roman"/>
          <w:color w:val="auto"/>
          <w:kern w:val="0"/>
          <w:sz w:val="24"/>
          <w:szCs w:val="24"/>
          <w:highlight w:val="none"/>
          <w:lang w:eastAsia="zh-CN"/>
        </w:rPr>
        <w:t>）供应商信用信息：诚信资格要求：①对列入严重失信主体名单的供应商，拒绝其参与投标，提供报名当日至开标前任一时间，在“信用中国”网站查询下载的信用信息报告；②对列入政府采购严重违法失信行为记录名单的供应商，拒绝其参与投标，提供购买标书当日至开标前任一时间</w:t>
      </w:r>
      <w:r>
        <w:rPr>
          <w:rFonts w:hint="eastAsia"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lang w:eastAsia="zh-CN"/>
        </w:rPr>
        <w:t>在中国政府采购网（政府采购严重违法失信行为记录名单）的查询记录截图</w:t>
      </w:r>
      <w:r>
        <w:rPr>
          <w:rFonts w:hint="eastAsia" w:ascii="Times New Roman" w:hAnsi="Times New Roman" w:cs="Times New Roman"/>
          <w:color w:val="auto"/>
          <w:kern w:val="0"/>
          <w:sz w:val="24"/>
          <w:szCs w:val="24"/>
          <w:highlight w:val="none"/>
          <w:lang w:eastAsia="zh-CN"/>
        </w:rPr>
        <w:t>；</w:t>
      </w:r>
    </w:p>
    <w:p w14:paraId="548BBEC4">
      <w:pPr>
        <w:shd w:val="clear" w:color="auto" w:fill="FFFFFF"/>
        <w:spacing w:before="125" w:after="125" w:line="360" w:lineRule="auto"/>
        <w:ind w:firstLine="56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2.</w:t>
      </w:r>
      <w:bookmarkEnd w:id="10"/>
      <w:r>
        <w:rPr>
          <w:rFonts w:hint="default" w:ascii="Times New Roman" w:hAnsi="Times New Roman" w:cs="Times New Roman"/>
          <w:color w:val="auto"/>
          <w:kern w:val="0"/>
          <w:sz w:val="24"/>
          <w:szCs w:val="24"/>
          <w:highlight w:val="none"/>
        </w:rPr>
        <w:t>落实政府采购政策需满足的资格要求：</w:t>
      </w:r>
      <w:r>
        <w:rPr>
          <w:rFonts w:hint="default" w:ascii="Times New Roman" w:hAnsi="Times New Roman" w:cs="Times New Roman"/>
          <w:color w:val="auto"/>
          <w:spacing w:val="-1"/>
          <w:sz w:val="24"/>
          <w:highlight w:val="none"/>
          <w:lang w:val="en-US" w:eastAsia="zh-CN"/>
        </w:rPr>
        <w:t>本项目</w:t>
      </w:r>
      <w:r>
        <w:rPr>
          <w:rFonts w:hint="default" w:ascii="Times New Roman" w:hAnsi="Times New Roman" w:cs="Times New Roman"/>
          <w:color w:val="auto"/>
          <w:spacing w:val="-1"/>
          <w:sz w:val="24"/>
          <w:highlight w:val="none"/>
          <w:u w:val="single"/>
          <w:lang w:val="en-US" w:eastAsia="zh-CN"/>
        </w:rPr>
        <w:t xml:space="preserve"> 是 </w:t>
      </w:r>
      <w:r>
        <w:rPr>
          <w:rFonts w:hint="default" w:ascii="Times New Roman" w:hAnsi="Times New Roman" w:cs="Times New Roman"/>
          <w:color w:val="auto"/>
          <w:spacing w:val="-1"/>
          <w:sz w:val="24"/>
          <w:highlight w:val="none"/>
          <w:lang w:val="en-US" w:eastAsia="zh-CN"/>
        </w:rPr>
        <w:t>专门面向中小企业采购。</w:t>
      </w:r>
    </w:p>
    <w:p w14:paraId="368E6844">
      <w:pPr>
        <w:shd w:val="clear" w:color="auto" w:fill="FFFFFF"/>
        <w:spacing w:before="125" w:after="125" w:line="376" w:lineRule="atLeast"/>
        <w:ind w:firstLine="56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rPr>
        <w:t>3.本项目的特定资格要求：</w:t>
      </w:r>
      <w:bookmarkStart w:id="11" w:name="_Toc35393623"/>
      <w:bookmarkEnd w:id="11"/>
      <w:bookmarkStart w:id="12" w:name="_Toc35393792"/>
      <w:r>
        <w:rPr>
          <w:rFonts w:hint="eastAsia" w:ascii="Times New Roman" w:hAnsi="Times New Roman" w:cs="Times New Roman"/>
          <w:color w:val="auto"/>
          <w:kern w:val="0"/>
          <w:sz w:val="24"/>
          <w:szCs w:val="24"/>
          <w:highlight w:val="none"/>
          <w:lang w:eastAsia="zh-CN"/>
        </w:rPr>
        <w:t>无</w:t>
      </w:r>
      <w:r>
        <w:rPr>
          <w:rFonts w:hint="default" w:ascii="Times New Roman" w:hAnsi="Times New Roman" w:cs="Times New Roman"/>
          <w:color w:val="auto"/>
          <w:kern w:val="0"/>
          <w:sz w:val="24"/>
          <w:szCs w:val="24"/>
          <w:highlight w:val="none"/>
          <w:lang w:eastAsia="zh-CN"/>
        </w:rPr>
        <w:t>。</w:t>
      </w:r>
    </w:p>
    <w:bookmarkEnd w:id="12"/>
    <w:p w14:paraId="772379C4">
      <w:pPr>
        <w:pStyle w:val="40"/>
        <w:numPr>
          <w:ilvl w:val="0"/>
          <w:numId w:val="0"/>
        </w:numPr>
        <w:tabs>
          <w:tab w:val="left" w:pos="821"/>
        </w:tabs>
        <w:spacing w:before="1" w:line="360" w:lineRule="auto"/>
        <w:ind w:firstLine="480" w:firstLineChars="200"/>
        <w:rPr>
          <w:rFonts w:hint="eastAsia" w:ascii="宋体" w:hAnsi="宋体" w:eastAsia="宋体" w:cs="宋体"/>
          <w:sz w:val="24"/>
          <w:lang w:val="en-US" w:eastAsia="zh-CN"/>
        </w:rPr>
      </w:pPr>
      <w:r>
        <w:rPr>
          <w:rFonts w:hint="default" w:ascii="Times New Roman" w:hAnsi="Times New Roman" w:cs="Times New Roman"/>
          <w:color w:val="auto"/>
          <w:kern w:val="0"/>
          <w:sz w:val="24"/>
          <w:szCs w:val="24"/>
          <w:highlight w:val="none"/>
        </w:rPr>
        <w:t xml:space="preserve">  </w:t>
      </w:r>
    </w:p>
    <w:p w14:paraId="42C1BD45">
      <w:pPr>
        <w:pStyle w:val="2"/>
        <w:tabs>
          <w:tab w:val="left" w:pos="9965"/>
        </w:tabs>
        <w:spacing w:line="360" w:lineRule="auto"/>
        <w:jc w:val="center"/>
        <w:rPr>
          <w:rFonts w:hint="eastAsia" w:ascii="宋体" w:hAnsi="宋体" w:eastAsia="宋体" w:cs="宋体"/>
          <w:sz w:val="44"/>
          <w:szCs w:val="44"/>
          <w:highlight w:val="none"/>
        </w:rPr>
      </w:pPr>
      <w:r>
        <w:rPr>
          <w:rFonts w:hint="eastAsia" w:cs="宋体"/>
          <w:sz w:val="44"/>
          <w:szCs w:val="44"/>
          <w:highlight w:val="none"/>
          <w:lang w:val="en-US" w:eastAsia="zh-CN"/>
        </w:rPr>
        <w:t>三、</w:t>
      </w:r>
      <w:r>
        <w:rPr>
          <w:rFonts w:hint="eastAsia" w:ascii="宋体" w:hAnsi="宋体" w:eastAsia="宋体" w:cs="宋体"/>
          <w:sz w:val="44"/>
          <w:szCs w:val="44"/>
          <w:highlight w:val="none"/>
        </w:rPr>
        <w:t>磋商及评标</w:t>
      </w:r>
    </w:p>
    <w:p w14:paraId="4998F1D0">
      <w:pPr>
        <w:pStyle w:val="14"/>
        <w:spacing w:before="9" w:line="360" w:lineRule="auto"/>
        <w:rPr>
          <w:rFonts w:hint="eastAsia" w:ascii="宋体" w:hAnsi="宋体" w:eastAsia="宋体" w:cs="宋体"/>
          <w:sz w:val="21"/>
        </w:rPr>
      </w:pPr>
    </w:p>
    <w:p w14:paraId="51BF550E">
      <w:pPr>
        <w:pStyle w:val="7"/>
        <w:spacing w:before="0" w:line="360" w:lineRule="auto"/>
        <w:ind w:right="245"/>
        <w:jc w:val="both"/>
        <w:outlineLvl w:val="1"/>
        <w:rPr>
          <w:rFonts w:hint="eastAsia" w:ascii="宋体" w:hAnsi="宋体" w:eastAsia="宋体" w:cs="宋体"/>
        </w:rPr>
      </w:pPr>
      <w:r>
        <w:rPr>
          <w:rFonts w:hint="eastAsia" w:ascii="宋体" w:hAnsi="宋体" w:eastAsia="宋体" w:cs="宋体"/>
        </w:rPr>
        <w:t>1、磋商会议</w:t>
      </w:r>
    </w:p>
    <w:p w14:paraId="17D6E4B4">
      <w:pPr>
        <w:pStyle w:val="40"/>
        <w:numPr>
          <w:ilvl w:val="1"/>
          <w:numId w:val="3"/>
        </w:numPr>
        <w:tabs>
          <w:tab w:val="left" w:pos="1120"/>
        </w:tabs>
        <w:spacing w:line="360" w:lineRule="auto"/>
        <w:ind w:left="553" w:leftChars="0" w:hanging="420" w:firstLineChars="0"/>
        <w:jc w:val="left"/>
        <w:rPr>
          <w:rFonts w:hint="eastAsia" w:ascii="宋体" w:hAnsi="宋体" w:eastAsia="宋体" w:cs="宋体"/>
          <w:sz w:val="24"/>
        </w:rPr>
      </w:pPr>
      <w:r>
        <w:rPr>
          <w:rFonts w:hint="eastAsia" w:ascii="宋体" w:hAnsi="宋体" w:eastAsia="宋体" w:cs="宋体"/>
          <w:sz w:val="24"/>
        </w:rPr>
        <w:t>供应商代表须签到证明其出席磋商会议，否则视为该供应商自动退出磋商</w:t>
      </w:r>
      <w:r>
        <w:rPr>
          <w:rFonts w:hint="eastAsia" w:ascii="宋体" w:hAnsi="宋体" w:eastAsia="宋体" w:cs="宋体"/>
          <w:sz w:val="24"/>
          <w:lang w:eastAsia="zh-CN"/>
        </w:rPr>
        <w:t>。</w:t>
      </w:r>
    </w:p>
    <w:p w14:paraId="3F0F4348">
      <w:pPr>
        <w:pStyle w:val="40"/>
        <w:numPr>
          <w:ilvl w:val="1"/>
          <w:numId w:val="3"/>
        </w:numPr>
        <w:tabs>
          <w:tab w:val="left" w:pos="1120"/>
        </w:tabs>
        <w:spacing w:line="360" w:lineRule="auto"/>
        <w:ind w:left="553" w:leftChars="0" w:hanging="420" w:firstLineChars="0"/>
        <w:jc w:val="left"/>
        <w:rPr>
          <w:rFonts w:hint="eastAsia" w:ascii="宋体" w:hAnsi="宋体" w:eastAsia="宋体" w:cs="宋体"/>
          <w:sz w:val="24"/>
        </w:rPr>
      </w:pPr>
      <w:r>
        <w:rPr>
          <w:rFonts w:hint="eastAsia" w:ascii="宋体" w:hAnsi="宋体" w:eastAsia="宋体" w:cs="宋体"/>
          <w:sz w:val="24"/>
        </w:rPr>
        <w:t>响应文件提交截止时间止举行磋商会议，按磋商文件规定的时间和地点举行磋商会议。</w:t>
      </w:r>
    </w:p>
    <w:p w14:paraId="55BDB113">
      <w:pPr>
        <w:pStyle w:val="40"/>
        <w:numPr>
          <w:ilvl w:val="1"/>
          <w:numId w:val="3"/>
        </w:numPr>
        <w:tabs>
          <w:tab w:val="left" w:pos="1120"/>
        </w:tabs>
        <w:spacing w:line="360" w:lineRule="auto"/>
        <w:ind w:left="553" w:leftChars="0" w:hanging="420" w:firstLineChars="0"/>
        <w:jc w:val="left"/>
        <w:rPr>
          <w:rFonts w:hint="eastAsia" w:ascii="宋体" w:hAnsi="宋体" w:eastAsia="宋体" w:cs="宋体"/>
          <w:sz w:val="24"/>
        </w:rPr>
      </w:pPr>
      <w:r>
        <w:rPr>
          <w:rFonts w:hint="eastAsia" w:ascii="宋体" w:hAnsi="宋体" w:eastAsia="宋体" w:cs="宋体"/>
          <w:sz w:val="24"/>
        </w:rPr>
        <w:t>磋商程序</w:t>
      </w:r>
    </w:p>
    <w:p w14:paraId="58D94A81">
      <w:pPr>
        <w:pStyle w:val="40"/>
        <w:numPr>
          <w:ilvl w:val="0"/>
          <w:numId w:val="4"/>
        </w:numPr>
        <w:tabs>
          <w:tab w:val="left" w:pos="1030"/>
        </w:tabs>
        <w:spacing w:before="158" w:line="360" w:lineRule="auto"/>
        <w:ind w:left="1099" w:leftChars="0" w:hanging="602" w:firstLineChars="0"/>
        <w:rPr>
          <w:rFonts w:hint="eastAsia" w:ascii="宋体" w:hAnsi="宋体" w:eastAsia="宋体" w:cs="宋体"/>
          <w:sz w:val="24"/>
        </w:rPr>
      </w:pPr>
      <w:r>
        <w:rPr>
          <w:rFonts w:hint="eastAsia" w:ascii="宋体" w:hAnsi="宋体" w:eastAsia="宋体" w:cs="宋体"/>
          <w:sz w:val="24"/>
        </w:rPr>
        <w:t>宣布磋商会议开始。</w:t>
      </w:r>
    </w:p>
    <w:p w14:paraId="45C6BF61">
      <w:pPr>
        <w:pStyle w:val="40"/>
        <w:numPr>
          <w:ilvl w:val="0"/>
          <w:numId w:val="4"/>
        </w:numPr>
        <w:tabs>
          <w:tab w:val="left" w:pos="1030"/>
        </w:tabs>
        <w:spacing w:before="158" w:line="360" w:lineRule="auto"/>
        <w:ind w:left="1099" w:leftChars="0" w:hanging="602" w:firstLineChars="0"/>
        <w:rPr>
          <w:rFonts w:hint="eastAsia" w:ascii="宋体" w:hAnsi="宋体" w:eastAsia="宋体" w:cs="宋体"/>
          <w:sz w:val="24"/>
        </w:rPr>
      </w:pPr>
      <w:r>
        <w:rPr>
          <w:rFonts w:hint="eastAsia" w:ascii="宋体" w:hAnsi="宋体" w:eastAsia="宋体" w:cs="宋体"/>
          <w:sz w:val="24"/>
        </w:rPr>
        <w:t>采购代理机构宣读磋商会场纪律。</w:t>
      </w:r>
    </w:p>
    <w:p w14:paraId="3764E172">
      <w:pPr>
        <w:pStyle w:val="40"/>
        <w:numPr>
          <w:ilvl w:val="0"/>
          <w:numId w:val="4"/>
        </w:numPr>
        <w:tabs>
          <w:tab w:val="left" w:pos="1030"/>
        </w:tabs>
        <w:spacing w:before="160" w:line="360" w:lineRule="auto"/>
        <w:ind w:left="1099" w:leftChars="0" w:hanging="602" w:firstLineChars="0"/>
        <w:rPr>
          <w:rFonts w:hint="eastAsia" w:ascii="宋体" w:hAnsi="宋体" w:eastAsia="宋体" w:cs="宋体"/>
          <w:sz w:val="24"/>
        </w:rPr>
      </w:pPr>
      <w:r>
        <w:rPr>
          <w:rFonts w:hint="eastAsia" w:ascii="宋体" w:hAnsi="宋体" w:eastAsia="宋体" w:cs="宋体"/>
          <w:sz w:val="24"/>
        </w:rPr>
        <w:t>供应商资格材料验证。</w:t>
      </w:r>
    </w:p>
    <w:p w14:paraId="4B112A3B">
      <w:pPr>
        <w:pStyle w:val="40"/>
        <w:numPr>
          <w:ilvl w:val="0"/>
          <w:numId w:val="0"/>
        </w:numPr>
        <w:tabs>
          <w:tab w:val="left" w:pos="1120"/>
        </w:tabs>
        <w:spacing w:line="360" w:lineRule="auto"/>
        <w:ind w:left="220" w:leftChars="100" w:firstLine="480" w:firstLineChars="200"/>
        <w:jc w:val="left"/>
        <w:rPr>
          <w:rFonts w:hint="eastAsia" w:ascii="宋体" w:hAnsi="宋体" w:eastAsia="宋体" w:cs="宋体"/>
          <w:sz w:val="24"/>
        </w:rPr>
      </w:pPr>
      <w:r>
        <w:rPr>
          <w:rFonts w:hint="eastAsia" w:ascii="宋体" w:hAnsi="宋体" w:eastAsia="宋体" w:cs="宋体"/>
          <w:sz w:val="24"/>
        </w:rPr>
        <w:t>由采购</w:t>
      </w:r>
      <w:r>
        <w:rPr>
          <w:rFonts w:hint="eastAsia" w:ascii="宋体" w:hAnsi="宋体" w:eastAsia="宋体" w:cs="宋体"/>
          <w:sz w:val="24"/>
          <w:lang w:val="zh-CN" w:eastAsia="zh-CN"/>
        </w:rPr>
        <w:t>人或监督人现场验证供应商的资格材料，未通过验证的供应商退还其响应文件，不能进入下一步程序。</w:t>
      </w:r>
    </w:p>
    <w:p w14:paraId="6E3C3930">
      <w:pPr>
        <w:pStyle w:val="40"/>
        <w:numPr>
          <w:ilvl w:val="0"/>
          <w:numId w:val="0"/>
        </w:numPr>
        <w:tabs>
          <w:tab w:val="left" w:pos="1120"/>
        </w:tabs>
        <w:spacing w:line="360" w:lineRule="auto"/>
        <w:ind w:left="220" w:leftChars="100" w:firstLine="480" w:firstLineChars="200"/>
        <w:jc w:val="left"/>
        <w:rPr>
          <w:rFonts w:hint="eastAsia"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1" locked="0" layoutInCell="1" allowOverlap="1">
                <wp:simplePos x="0" y="0"/>
                <wp:positionH relativeFrom="page">
                  <wp:posOffset>988695</wp:posOffset>
                </wp:positionH>
                <wp:positionV relativeFrom="paragraph">
                  <wp:posOffset>320040</wp:posOffset>
                </wp:positionV>
                <wp:extent cx="156210" cy="156210"/>
                <wp:effectExtent l="0" t="0" r="0" b="0"/>
                <wp:wrapNone/>
                <wp:docPr id="38" name="组合 38"/>
                <wp:cNvGraphicFramePr/>
                <a:graphic xmlns:a="http://schemas.openxmlformats.org/drawingml/2006/main">
                  <a:graphicData uri="http://schemas.microsoft.com/office/word/2010/wordprocessingGroup">
                    <wpg:wgp>
                      <wpg:cNvGrpSpPr/>
                      <wpg:grpSpPr>
                        <a:xfrm>
                          <a:off x="0" y="0"/>
                          <a:ext cx="156210" cy="156210"/>
                          <a:chOff x="1557" y="504"/>
                          <a:chExt cx="246" cy="246203"/>
                        </a:xfrm>
                        <a:effectLst/>
                      </wpg:grpSpPr>
                      <pic:pic xmlns:pic="http://schemas.openxmlformats.org/drawingml/2006/picture">
                        <pic:nvPicPr>
                          <pic:cNvPr id="1" name="图片 3"/>
                          <pic:cNvPicPr>
                            <a:picLocks noChangeAspect="1"/>
                          </pic:cNvPicPr>
                        </pic:nvPicPr>
                        <pic:blipFill>
                          <a:blip r:embed="rId6"/>
                          <a:stretch>
                            <a:fillRect/>
                          </a:stretch>
                        </pic:blipFill>
                        <pic:spPr>
                          <a:xfrm>
                            <a:off x="1557" y="504"/>
                            <a:ext cx="246" cy="246"/>
                          </a:xfrm>
                          <a:prstGeom prst="rect">
                            <a:avLst/>
                          </a:prstGeom>
                          <a:noFill/>
                          <a:ln>
                            <a:noFill/>
                          </a:ln>
                          <a:effectLst/>
                        </pic:spPr>
                      </pic:pic>
                      <wps:wsp>
                        <wps:cNvPr id="2" name="文本框 4"/>
                        <wps:cNvSpPr txBox="1"/>
                        <wps:spPr>
                          <a:xfrm>
                            <a:off x="1557" y="504"/>
                            <a:ext cx="246" cy="246"/>
                          </a:xfrm>
                          <a:prstGeom prst="rect">
                            <a:avLst/>
                          </a:prstGeom>
                          <a:noFill/>
                          <a:ln>
                            <a:noFill/>
                          </a:ln>
                          <a:effectLst/>
                        </wps:spPr>
                        <wps:txbx>
                          <w:txbxContent>
                            <w:p w14:paraId="34A5AD35">
                              <w:pPr>
                                <w:spacing w:before="6" w:line="240" w:lineRule="exact"/>
                                <w:ind w:left="72"/>
                                <w:rPr>
                                  <w:b/>
                                  <w:sz w:val="20"/>
                                </w:rPr>
                              </w:pPr>
                              <w:r>
                                <w:rPr>
                                  <w:b/>
                                  <w:w w:val="98"/>
                                  <w:sz w:val="20"/>
                                </w:rPr>
                                <w:t>1</w:t>
                              </w:r>
                            </w:p>
                          </w:txbxContent>
                        </wps:txbx>
                        <wps:bodyPr lIns="0" tIns="0" rIns="0" bIns="0" upright="1"/>
                      </wps:wsp>
                    </wpg:wgp>
                  </a:graphicData>
                </a:graphic>
              </wp:anchor>
            </w:drawing>
          </mc:Choice>
          <mc:Fallback>
            <w:pict>
              <v:group id="_x0000_s1026" o:spid="_x0000_s1026" o:spt="203" style="position:absolute;left:0pt;margin-left:77.85pt;margin-top:25.2pt;height:12.3pt;width:12.3pt;mso-position-horizontal-relative:page;z-index:-251657216;mso-width-relative:page;mso-height-relative:page;" coordorigin="1557,504" coordsize="246,246203" o:gfxdata="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">
                <o:lock v:ext="edit" aspectratio="f"/>
                <v:shape id="图片 3" o:spid="_x0000_s1026" o:spt="75" type="#_x0000_t75" style="position:absolute;left:1557;top:504;height:246;width:246;" filled="f" o:preferrelative="t" stroked="f" coordsize="21600,21600" o:gfxdata="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P+ttugAAANoA&#10;AAAPAAAAAAAAAAEAIAAAACIAAABkcnMvZG93bnJldi54bWxQSwECFAAUAAAACACHTuJAMy8FnjsA&#10;AAA5AAAAEAAAAAAAAAABACAAAAAJAQAAZHJzL3NoYXBleG1sLnhtbFBLBQYAAAAABgAGAFsBAACz&#10;AwAAAAA=&#10;">
                  <v:fill on="f" focussize="0,0"/>
                  <v:stroke on="f"/>
                  <v:imagedata r:id="rId6" o:title=""/>
                  <o:lock v:ext="edit" aspectratio="t"/>
                </v:shape>
                <v:shape id="文本框 4" o:spid="_x0000_s1026" o:spt="202" type="#_x0000_t202" style="position:absolute;left:1557;top:504;height:246;width:246;"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4A5AD35">
                        <w:pPr>
                          <w:spacing w:before="6" w:line="240" w:lineRule="exact"/>
                          <w:ind w:left="72"/>
                          <w:rPr>
                            <w:b/>
                            <w:sz w:val="20"/>
                          </w:rPr>
                        </w:pPr>
                        <w:r>
                          <w:rPr>
                            <w:b/>
                            <w:w w:val="98"/>
                            <w:sz w:val="20"/>
                          </w:rPr>
                          <w:t>1</w:t>
                        </w:r>
                      </w:p>
                    </w:txbxContent>
                  </v:textbox>
                </v:shape>
              </v:group>
            </w:pict>
          </mc:Fallback>
        </mc:AlternateContent>
      </w:r>
      <w:r>
        <w:rPr>
          <w:rFonts w:hint="eastAsia" w:ascii="宋体" w:hAnsi="宋体" w:eastAsia="宋体" w:cs="宋体"/>
          <w:sz w:val="24"/>
        </w:rPr>
        <w:t>供应商须单独提供以下</w:t>
      </w:r>
      <w:r>
        <w:rPr>
          <w:rFonts w:hint="eastAsia" w:ascii="宋体" w:hAnsi="宋体" w:eastAsia="宋体" w:cs="宋体"/>
          <w:b/>
          <w:bCs/>
          <w:sz w:val="24"/>
        </w:rPr>
        <w:t>有效原件或加盖鲜章复印件资料</w:t>
      </w:r>
      <w:r>
        <w:rPr>
          <w:rFonts w:hint="eastAsia" w:ascii="宋体" w:hAnsi="宋体" w:eastAsia="宋体" w:cs="宋体"/>
          <w:sz w:val="24"/>
        </w:rPr>
        <w:t>进行现场验证：</w:t>
      </w:r>
    </w:p>
    <w:p w14:paraId="5CFAE07D">
      <w:pPr>
        <w:pStyle w:val="40"/>
        <w:numPr>
          <w:ilvl w:val="0"/>
          <w:numId w:val="0"/>
        </w:numPr>
        <w:tabs>
          <w:tab w:val="left" w:pos="1120"/>
        </w:tabs>
        <w:spacing w:line="360" w:lineRule="auto"/>
        <w:ind w:left="86" w:leftChars="39" w:firstLine="480" w:firstLineChars="200"/>
        <w:jc w:val="lef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eastAsia="宋体" w:cs="宋体"/>
          <w:sz w:val="24"/>
          <w:lang w:eastAsia="zh-CN"/>
        </w:rPr>
        <w:t>）</w:t>
      </w:r>
      <w:r>
        <w:rPr>
          <w:rFonts w:hint="eastAsia" w:ascii="宋体" w:hAnsi="宋体" w:eastAsia="宋体" w:cs="宋体"/>
          <w:sz w:val="24"/>
        </w:rPr>
        <w:t>加载“统一社会信用代码”的营业执照（或事业单位法人登记证）；</w:t>
      </w:r>
    </w:p>
    <w:p w14:paraId="35997060">
      <w:pPr>
        <w:pStyle w:val="40"/>
        <w:numPr>
          <w:ilvl w:val="0"/>
          <w:numId w:val="0"/>
        </w:numPr>
        <w:tabs>
          <w:tab w:val="left" w:pos="1120"/>
        </w:tabs>
        <w:spacing w:line="360" w:lineRule="auto"/>
        <w:ind w:left="86" w:leftChars="39" w:firstLine="480" w:firstLineChars="200"/>
        <w:jc w:val="left"/>
        <w:rPr>
          <w:rFonts w:hint="eastAsia" w:ascii="宋体" w:hAnsi="宋体" w:eastAsia="宋体" w:cs="宋体"/>
          <w:sz w:val="24"/>
          <w:lang w:val="en-US"/>
        </w:rPr>
      </w:pPr>
      <w:r>
        <w:rPr>
          <w:rFonts w:hint="eastAsia" w:ascii="宋体" w:hAnsi="宋体" w:eastAsia="宋体" w:cs="宋体"/>
          <w:sz w:val="24"/>
          <w:lang w:val="en-US"/>
        </w:rPr>
        <mc:AlternateContent>
          <mc:Choice Requires="wpg">
            <w:drawing>
              <wp:anchor distT="0" distB="0" distL="114300" distR="114300" simplePos="0" relativeHeight="251660288" behindDoc="1" locked="0" layoutInCell="1" allowOverlap="1">
                <wp:simplePos x="0" y="0"/>
                <wp:positionH relativeFrom="page">
                  <wp:posOffset>988695</wp:posOffset>
                </wp:positionH>
                <wp:positionV relativeFrom="paragraph">
                  <wp:posOffset>22225</wp:posOffset>
                </wp:positionV>
                <wp:extent cx="156210" cy="156210"/>
                <wp:effectExtent l="0" t="0" r="0" b="0"/>
                <wp:wrapNone/>
                <wp:docPr id="35" name="组合 35"/>
                <wp:cNvGraphicFramePr/>
                <a:graphic xmlns:a="http://schemas.openxmlformats.org/drawingml/2006/main">
                  <a:graphicData uri="http://schemas.microsoft.com/office/word/2010/wordprocessingGroup">
                    <wpg:wgp>
                      <wpg:cNvGrpSpPr/>
                      <wpg:grpSpPr>
                        <a:xfrm>
                          <a:off x="0" y="0"/>
                          <a:ext cx="156210" cy="156210"/>
                          <a:chOff x="1557" y="35"/>
                          <a:chExt cx="246" cy="246203"/>
                        </a:xfrm>
                        <a:effectLst/>
                      </wpg:grpSpPr>
                      <pic:pic xmlns:pic="http://schemas.openxmlformats.org/drawingml/2006/picture">
                        <pic:nvPicPr>
                          <pic:cNvPr id="36" name="图片 6"/>
                          <pic:cNvPicPr>
                            <a:picLocks noChangeAspect="1"/>
                          </pic:cNvPicPr>
                        </pic:nvPicPr>
                        <pic:blipFill>
                          <a:blip r:embed="rId7"/>
                          <a:stretch>
                            <a:fillRect/>
                          </a:stretch>
                        </pic:blipFill>
                        <pic:spPr>
                          <a:xfrm>
                            <a:off x="1557" y="35"/>
                            <a:ext cx="246" cy="246"/>
                          </a:xfrm>
                          <a:prstGeom prst="rect">
                            <a:avLst/>
                          </a:prstGeom>
                          <a:noFill/>
                          <a:ln>
                            <a:noFill/>
                          </a:ln>
                          <a:effectLst/>
                        </pic:spPr>
                      </pic:pic>
                      <wps:wsp>
                        <wps:cNvPr id="37" name="文本框 7"/>
                        <wps:cNvSpPr txBox="1"/>
                        <wps:spPr>
                          <a:xfrm>
                            <a:off x="1557" y="35"/>
                            <a:ext cx="246" cy="246"/>
                          </a:xfrm>
                          <a:prstGeom prst="rect">
                            <a:avLst/>
                          </a:prstGeom>
                          <a:noFill/>
                          <a:ln>
                            <a:noFill/>
                          </a:ln>
                          <a:effectLst/>
                        </wps:spPr>
                        <wps:txbx>
                          <w:txbxContent>
                            <w:p w14:paraId="428FD663">
                              <w:pPr>
                                <w:spacing w:before="4" w:line="241" w:lineRule="exact"/>
                                <w:ind w:left="72"/>
                                <w:rPr>
                                  <w:b/>
                                  <w:sz w:val="20"/>
                                </w:rPr>
                              </w:pPr>
                              <w:r>
                                <w:rPr>
                                  <w:b/>
                                  <w:w w:val="98"/>
                                  <w:sz w:val="20"/>
                                </w:rPr>
                                <w:t>2</w:t>
                              </w:r>
                            </w:p>
                          </w:txbxContent>
                        </wps:txbx>
                        <wps:bodyPr lIns="0" tIns="0" rIns="0" bIns="0" upright="1"/>
                      </wps:wsp>
                    </wpg:wgp>
                  </a:graphicData>
                </a:graphic>
              </wp:anchor>
            </w:drawing>
          </mc:Choice>
          <mc:Fallback>
            <w:pict>
              <v:group id="_x0000_s1026" o:spid="_x0000_s1026" o:spt="203" style="position:absolute;left:0pt;margin-left:77.85pt;margin-top:1.75pt;height:12.3pt;width:12.3pt;mso-position-horizontal-relative:page;z-index:-251656192;mso-width-relative:page;mso-height-relative:page;" coordorigin="1557,35" coordsize="246,246203" o:gfxdata="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">
                <o:lock v:ext="edit" aspectratio="f"/>
                <v:shape id="图片 6" o:spid="_x0000_s1026" o:spt="75" type="#_x0000_t75" style="position:absolute;left:1557;top:35;height:246;width:246;" filled="f" o:preferrelative="t" stroked="f" coordsize="21600,21600" o:gfxdata="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VIvl7sAAADb&#10;AAAADwAAAAAAAAABACAAAAAiAAAAZHJzL2Rvd25yZXYueG1sUEsBAhQAFAAAAAgAh07iQDMvBZ47&#10;AAAAOQAAABAAAAAAAAAAAQAgAAAACgEAAGRycy9zaGFwZXhtbC54bWxQSwUGAAAAAAYABgBbAQAA&#10;tAMAAAAA&#10;">
                  <v:fill on="f" focussize="0,0"/>
                  <v:stroke on="f"/>
                  <v:imagedata r:id="rId7" o:title=""/>
                  <o:lock v:ext="edit" aspectratio="t"/>
                </v:shape>
                <v:shape id="文本框 7" o:spid="_x0000_s1026" o:spt="202" type="#_x0000_t202" style="position:absolute;left:1557;top:35;height:246;width:246;"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28FD663">
                        <w:pPr>
                          <w:spacing w:before="4" w:line="241" w:lineRule="exact"/>
                          <w:ind w:left="72"/>
                          <w:rPr>
                            <w:b/>
                            <w:sz w:val="20"/>
                          </w:rPr>
                        </w:pPr>
                        <w:r>
                          <w:rPr>
                            <w:b/>
                            <w:w w:val="98"/>
                            <w:sz w:val="20"/>
                          </w:rPr>
                          <w:t>2</w:t>
                        </w:r>
                      </w:p>
                    </w:txbxContent>
                  </v:textbox>
                </v:shape>
              </v:group>
            </w:pict>
          </mc:Fallback>
        </mc:AlternateContent>
      </w:r>
      <w:r>
        <w:rPr>
          <w:rFonts w:hint="eastAsia" w:ascii="宋体" w:hAnsi="宋体" w:eastAsia="宋体" w:cs="宋体"/>
          <w:sz w:val="24"/>
          <w:lang w:val="en-US" w:eastAsia="zh-CN"/>
        </w:rPr>
        <w:t>（2）</w:t>
      </w:r>
      <w:r>
        <w:rPr>
          <w:rFonts w:hint="eastAsia" w:ascii="宋体" w:hAnsi="宋体" w:eastAsia="宋体" w:cs="宋体"/>
          <w:sz w:val="24"/>
          <w:lang w:val="en-US"/>
        </w:rPr>
        <w:t>法定代表人到场的持本人身份证及法定代表人身份证明书，被授权代表到场的持本人身份证及法定代表人授权委托书；</w:t>
      </w:r>
    </w:p>
    <w:p w14:paraId="7723179A">
      <w:pPr>
        <w:pStyle w:val="40"/>
        <w:numPr>
          <w:ilvl w:val="1"/>
          <w:numId w:val="3"/>
        </w:numPr>
        <w:tabs>
          <w:tab w:val="left" w:pos="1120"/>
        </w:tabs>
        <w:spacing w:line="360" w:lineRule="auto"/>
        <w:ind w:left="640" w:leftChars="0" w:hanging="420" w:firstLineChars="0"/>
        <w:jc w:val="left"/>
        <w:rPr>
          <w:rFonts w:hint="eastAsia" w:ascii="宋体" w:hAnsi="宋体" w:eastAsia="宋体" w:cs="宋体"/>
          <w:sz w:val="24"/>
        </w:rPr>
      </w:pPr>
      <w:r>
        <w:rPr>
          <w:rFonts w:hint="eastAsia" w:ascii="宋体" w:hAnsi="宋体" w:eastAsia="宋体" w:cs="宋体"/>
          <w:sz w:val="24"/>
        </w:rPr>
        <w:t>由验证合格的供应商检查响应文件的密封情况。</w:t>
      </w:r>
    </w:p>
    <w:p w14:paraId="370730AD">
      <w:pPr>
        <w:pStyle w:val="40"/>
        <w:numPr>
          <w:ilvl w:val="1"/>
          <w:numId w:val="3"/>
        </w:numPr>
        <w:tabs>
          <w:tab w:val="left" w:pos="1120"/>
        </w:tabs>
        <w:spacing w:line="360" w:lineRule="auto"/>
        <w:ind w:left="700" w:leftChars="100" w:hanging="480" w:hangingChars="200"/>
        <w:jc w:val="left"/>
        <w:rPr>
          <w:rFonts w:hint="eastAsia" w:ascii="宋体" w:hAnsi="宋体" w:eastAsia="宋体" w:cs="宋体"/>
          <w:sz w:val="24"/>
        </w:rPr>
      </w:pPr>
      <w:r>
        <w:rPr>
          <w:rFonts w:hint="eastAsia" w:ascii="宋体" w:hAnsi="宋体" w:eastAsia="宋体" w:cs="宋体"/>
          <w:sz w:val="24"/>
          <w:lang w:eastAsia="zh-CN"/>
        </w:rPr>
        <w:t>随机</w:t>
      </w:r>
      <w:r>
        <w:rPr>
          <w:rFonts w:hint="eastAsia" w:ascii="宋体" w:hAnsi="宋体" w:eastAsia="宋体" w:cs="宋体"/>
          <w:sz w:val="24"/>
        </w:rPr>
        <w:t>顺序由磋商小组与供应商逐一进行磋商，供应商必须由法定代表人或法定代表人授权委托人参加磋商并解答磋商小组提出的问题。</w:t>
      </w:r>
    </w:p>
    <w:p w14:paraId="680B3894">
      <w:pPr>
        <w:pStyle w:val="40"/>
        <w:numPr>
          <w:ilvl w:val="1"/>
          <w:numId w:val="3"/>
        </w:numPr>
        <w:tabs>
          <w:tab w:val="left" w:pos="1120"/>
        </w:tabs>
        <w:spacing w:line="360" w:lineRule="auto"/>
        <w:ind w:left="640" w:leftChars="0" w:hanging="420" w:firstLineChars="0"/>
        <w:jc w:val="left"/>
        <w:rPr>
          <w:rFonts w:hint="eastAsia" w:ascii="宋体" w:hAnsi="宋体" w:eastAsia="宋体" w:cs="宋体"/>
          <w:sz w:val="24"/>
        </w:rPr>
      </w:pPr>
      <w:r>
        <w:rPr>
          <w:rFonts w:hint="eastAsia" w:ascii="宋体" w:hAnsi="宋体" w:eastAsia="宋体" w:cs="宋体"/>
          <w:sz w:val="24"/>
        </w:rPr>
        <w:t>磋商完毕进入磋商小组评审阶段。</w:t>
      </w:r>
      <w:bookmarkStart w:id="13" w:name="2、磋商小组（评委）"/>
      <w:bookmarkEnd w:id="13"/>
    </w:p>
    <w:p w14:paraId="328F905C">
      <w:pPr>
        <w:pStyle w:val="40"/>
        <w:numPr>
          <w:ilvl w:val="0"/>
          <w:numId w:val="0"/>
        </w:numPr>
        <w:tabs>
          <w:tab w:val="left" w:pos="1120"/>
        </w:tabs>
        <w:spacing w:line="360" w:lineRule="auto"/>
        <w:ind w:left="700" w:leftChars="0"/>
        <w:jc w:val="left"/>
        <w:rPr>
          <w:rFonts w:hint="eastAsia" w:ascii="宋体" w:hAnsi="宋体" w:eastAsia="宋体" w:cs="宋体"/>
          <w:b/>
          <w:bCs/>
          <w:sz w:val="32"/>
          <w:szCs w:val="32"/>
          <w:lang w:val="zh-CN" w:eastAsia="zh-CN" w:bidi="zh-CN"/>
        </w:rPr>
      </w:pPr>
    </w:p>
    <w:p w14:paraId="78712477">
      <w:pPr>
        <w:pStyle w:val="7"/>
        <w:numPr>
          <w:ilvl w:val="0"/>
          <w:numId w:val="0"/>
        </w:numPr>
        <w:spacing w:before="0" w:line="360" w:lineRule="auto"/>
        <w:ind w:right="245" w:rightChars="0"/>
        <w:jc w:val="center"/>
        <w:outlineLvl w:val="1"/>
        <w:rPr>
          <w:rFonts w:hint="eastAsia" w:ascii="宋体" w:hAnsi="宋体" w:eastAsia="宋体" w:cs="宋体"/>
          <w:b/>
          <w:bCs/>
          <w:sz w:val="32"/>
          <w:szCs w:val="32"/>
          <w:lang w:val="zh-CN" w:eastAsia="zh-CN" w:bidi="zh-CN"/>
        </w:rPr>
      </w:pPr>
      <w:r>
        <w:rPr>
          <w:rFonts w:hint="eastAsia" w:ascii="宋体" w:hAnsi="宋体" w:eastAsia="宋体" w:cs="宋体"/>
          <w:b/>
          <w:bCs/>
          <w:sz w:val="32"/>
          <w:szCs w:val="32"/>
          <w:lang w:val="en-US" w:eastAsia="zh-CN" w:bidi="zh-CN"/>
        </w:rPr>
        <w:t>2、</w:t>
      </w:r>
      <w:r>
        <w:rPr>
          <w:rFonts w:hint="eastAsia" w:ascii="宋体" w:hAnsi="宋体" w:eastAsia="宋体" w:cs="宋体"/>
          <w:b/>
          <w:bCs/>
          <w:sz w:val="32"/>
          <w:szCs w:val="32"/>
          <w:lang w:val="zh-CN" w:eastAsia="zh-CN" w:bidi="zh-CN"/>
        </w:rPr>
        <w:t>磋商小组（评委）</w:t>
      </w:r>
    </w:p>
    <w:p w14:paraId="5AFB79CE">
      <w:pPr>
        <w:numPr>
          <w:ilvl w:val="1"/>
          <w:numId w:val="5"/>
        </w:numPr>
        <w:tabs>
          <w:tab w:val="left" w:pos="643"/>
        </w:tabs>
        <w:spacing w:before="66" w:line="360" w:lineRule="auto"/>
        <w:ind w:left="659" w:leftChars="111" w:hanging="415" w:hangingChars="173"/>
        <w:rPr>
          <w:rFonts w:hint="eastAsia" w:ascii="宋体" w:hAnsi="宋体" w:eastAsia="宋体" w:cs="宋体"/>
          <w:b w:val="0"/>
          <w:bCs w:val="0"/>
          <w:sz w:val="24"/>
          <w:lang w:eastAsia="zh-CN"/>
        </w:rPr>
      </w:pPr>
      <w:r>
        <w:rPr>
          <w:rFonts w:hint="eastAsia" w:ascii="宋体" w:hAnsi="宋体" w:eastAsia="宋体" w:cs="宋体"/>
          <w:b w:val="0"/>
          <w:bCs w:val="0"/>
          <w:sz w:val="24"/>
          <w:lang w:eastAsia="zh-CN"/>
        </w:rPr>
        <w:t>采购人依照《政府采购竞争性磋商采购方式管理暂行办法》组建磋商小组。磋商小组人数为 3 人，</w:t>
      </w:r>
      <w:r>
        <w:rPr>
          <w:rFonts w:hint="eastAsia" w:cs="宋体"/>
          <w:b w:val="0"/>
          <w:bCs w:val="0"/>
          <w:sz w:val="24"/>
          <w:lang w:eastAsia="zh-CN"/>
        </w:rPr>
        <w:t>由</w:t>
      </w:r>
      <w:r>
        <w:rPr>
          <w:rFonts w:hint="eastAsia" w:ascii="宋体" w:hAnsi="宋体" w:eastAsia="宋体" w:cs="宋体"/>
          <w:b w:val="0"/>
          <w:bCs w:val="0"/>
          <w:sz w:val="24"/>
          <w:lang w:eastAsia="zh-CN"/>
        </w:rPr>
        <w:t>采购人代表</w:t>
      </w:r>
      <w:r>
        <w:rPr>
          <w:rFonts w:hint="eastAsia" w:cs="宋体"/>
          <w:b w:val="0"/>
          <w:bCs w:val="0"/>
          <w:sz w:val="24"/>
          <w:lang w:eastAsia="zh-CN"/>
        </w:rPr>
        <w:t>及</w:t>
      </w:r>
      <w:r>
        <w:rPr>
          <w:rFonts w:hint="eastAsia" w:ascii="宋体" w:hAnsi="宋体" w:eastAsia="宋体" w:cs="宋体"/>
          <w:b w:val="0"/>
          <w:bCs w:val="0"/>
          <w:sz w:val="24"/>
          <w:lang w:eastAsia="zh-CN"/>
        </w:rPr>
        <w:t xml:space="preserve">贵州省评审专家库中随机抽取的技术、经济专家 </w:t>
      </w:r>
      <w:r>
        <w:rPr>
          <w:rFonts w:hint="eastAsia" w:cs="宋体"/>
          <w:b w:val="0"/>
          <w:bCs w:val="0"/>
          <w:sz w:val="24"/>
          <w:lang w:val="en-US" w:eastAsia="zh-CN"/>
        </w:rPr>
        <w:t>3</w:t>
      </w:r>
      <w:r>
        <w:rPr>
          <w:rFonts w:hint="eastAsia" w:ascii="宋体" w:hAnsi="宋体" w:eastAsia="宋体" w:cs="宋体"/>
          <w:b w:val="0"/>
          <w:bCs w:val="0"/>
          <w:sz w:val="24"/>
          <w:lang w:eastAsia="zh-CN"/>
        </w:rPr>
        <w:t xml:space="preserve"> 人</w:t>
      </w:r>
      <w:r>
        <w:rPr>
          <w:rFonts w:hint="eastAsia" w:cs="宋体"/>
          <w:b w:val="0"/>
          <w:bCs w:val="0"/>
          <w:sz w:val="24"/>
          <w:lang w:eastAsia="zh-CN"/>
        </w:rPr>
        <w:t>组成</w:t>
      </w:r>
      <w:r>
        <w:rPr>
          <w:rFonts w:hint="eastAsia" w:ascii="宋体" w:hAnsi="宋体" w:eastAsia="宋体" w:cs="宋体"/>
          <w:b w:val="0"/>
          <w:bCs w:val="0"/>
          <w:sz w:val="24"/>
          <w:lang w:eastAsia="zh-CN"/>
        </w:rPr>
        <w:t>。磋商小组负责对响应文件的评审工作，根据评审得分的顺序向采购人推荐候选人，并标明其排名次序。</w:t>
      </w:r>
    </w:p>
    <w:p w14:paraId="7057AAB8">
      <w:pPr>
        <w:numPr>
          <w:ilvl w:val="1"/>
          <w:numId w:val="5"/>
        </w:numPr>
        <w:tabs>
          <w:tab w:val="left" w:pos="643"/>
        </w:tabs>
        <w:spacing w:before="66" w:line="360" w:lineRule="auto"/>
        <w:ind w:left="667" w:leftChars="0" w:hanging="423" w:firstLineChars="0"/>
        <w:rPr>
          <w:rFonts w:hint="eastAsia" w:ascii="宋体" w:hAnsi="宋体" w:eastAsia="宋体" w:cs="宋体"/>
          <w:sz w:val="24"/>
        </w:rPr>
      </w:pPr>
      <w:r>
        <w:rPr>
          <w:rFonts w:hint="eastAsia" w:ascii="宋体" w:hAnsi="宋体" w:eastAsia="宋体" w:cs="宋体"/>
          <w:b w:val="0"/>
          <w:bCs w:val="0"/>
          <w:sz w:val="24"/>
        </w:rPr>
        <w:t>磋商</w:t>
      </w:r>
      <w:r>
        <w:rPr>
          <w:rFonts w:hint="eastAsia" w:ascii="宋体" w:hAnsi="宋体" w:eastAsia="宋体" w:cs="宋体"/>
          <w:b w:val="0"/>
          <w:bCs/>
          <w:sz w:val="24"/>
        </w:rPr>
        <w:t>小组成员应当按照客观、公正、审慎的原则，根据磋商文件规定的评审程序、评审方</w:t>
      </w:r>
      <w:r>
        <w:rPr>
          <w:rFonts w:hint="eastAsia" w:ascii="宋体" w:hAnsi="宋体" w:eastAsia="宋体" w:cs="宋体"/>
          <w:sz w:val="24"/>
        </w:rPr>
        <w:t>法和评审标准进行独立评审。未实质性响应竞争性磋商文件的响应文件按无效磋商处理， 磋商小组应当告知提交响应文件的供应商。</w:t>
      </w:r>
    </w:p>
    <w:p w14:paraId="3D836DC5">
      <w:pPr>
        <w:pStyle w:val="7"/>
        <w:spacing w:before="0" w:line="360" w:lineRule="auto"/>
        <w:ind w:right="245"/>
        <w:outlineLvl w:val="9"/>
        <w:rPr>
          <w:rFonts w:hint="eastAsia" w:ascii="宋体" w:hAnsi="宋体" w:eastAsia="宋体" w:cs="宋体"/>
          <w:lang w:val="zh-CN" w:eastAsia="zh-CN"/>
        </w:rPr>
      </w:pPr>
      <w:bookmarkStart w:id="14" w:name="3、评审及磋商程序"/>
      <w:bookmarkEnd w:id="14"/>
    </w:p>
    <w:p w14:paraId="59813DAB">
      <w:pPr>
        <w:pStyle w:val="7"/>
        <w:spacing w:before="0" w:line="360" w:lineRule="auto"/>
        <w:ind w:right="245"/>
        <w:outlineLvl w:val="1"/>
        <w:rPr>
          <w:rFonts w:hint="eastAsia" w:ascii="宋体" w:hAnsi="宋体" w:eastAsia="宋体" w:cs="宋体"/>
          <w:lang w:val="zh-CN" w:eastAsia="zh-CN"/>
        </w:rPr>
      </w:pPr>
      <w:r>
        <w:rPr>
          <w:rFonts w:hint="eastAsia" w:ascii="宋体" w:hAnsi="宋体" w:eastAsia="宋体" w:cs="宋体"/>
          <w:lang w:val="zh-CN" w:eastAsia="zh-CN"/>
        </w:rPr>
        <w:t>3、评审及磋商程序</w:t>
      </w:r>
    </w:p>
    <w:p w14:paraId="48D25AB9">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sz w:val="24"/>
          <w:lang w:val="en-US" w:eastAsia="zh-CN"/>
        </w:rPr>
        <w:t xml:space="preserve">3.1 </w:t>
      </w:r>
      <w:r>
        <w:rPr>
          <w:rFonts w:hint="eastAsia" w:ascii="宋体" w:hAnsi="宋体" w:eastAsia="宋体" w:cs="宋体"/>
          <w:kern w:val="2"/>
          <w:sz w:val="24"/>
          <w:szCs w:val="24"/>
        </w:rPr>
        <w:t>磋商小组将对响应文件进行评审，并根据磋商文件规定的程序、评定成交的标准等事项与实质性响应磋商文件要求的供应商进行磋商。未实质性响应磋商文件的响应文件将被否决。</w:t>
      </w:r>
    </w:p>
    <w:p w14:paraId="35DB8229">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3.2</w:t>
      </w:r>
      <w:r>
        <w:rPr>
          <w:rFonts w:hint="eastAsia" w:ascii="宋体" w:hAnsi="宋体" w:eastAsia="宋体" w:cs="宋体"/>
          <w:kern w:val="2"/>
          <w:sz w:val="24"/>
          <w:szCs w:val="24"/>
        </w:rPr>
        <w:t>磋商小组所有成员将集中与单一供应商分别进行磋商，并给予所有参加磋商的供应商平等的磋商机会。供应商参加磋商的顺序由磋商小组现场抽取。</w:t>
      </w:r>
    </w:p>
    <w:p w14:paraId="7D724CE6">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3.2</w:t>
      </w:r>
      <w:r>
        <w:rPr>
          <w:rFonts w:hint="eastAsia" w:ascii="宋体" w:hAnsi="宋体" w:eastAsia="宋体" w:cs="宋体"/>
          <w:kern w:val="2"/>
          <w:sz w:val="24"/>
          <w:szCs w:val="24"/>
        </w:rPr>
        <w:t>在磋商过程中，磋商小组可以根据项目实际情况修改技术、服务要求或合同条款，该修改将是磋商文件的有效组成部分，磋商小组将及时以书面形式同时通知所有参加磋商的供应商。</w:t>
      </w:r>
    </w:p>
    <w:p w14:paraId="3ADD363D">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3.4</w:t>
      </w:r>
      <w:r>
        <w:rPr>
          <w:rFonts w:hint="eastAsia" w:ascii="宋体" w:hAnsi="宋体" w:eastAsia="宋体" w:cs="宋体"/>
          <w:kern w:val="2"/>
          <w:sz w:val="24"/>
          <w:szCs w:val="24"/>
        </w:rPr>
        <w:t>供应商应当按照磋商文件的变动情况和磋商小组的要求重新提交响应文件，并由供应商法定代表人或其授权代表签字或者加盖公章。由授权代表签字的，应当附供应商法定代表人授权书。供应商为自然人的，应当由本人签字并附身份证明。若磋商小组对原磋商文件进行了实质性修改，已提交响应文件的供应商，在提交最后报价之前，可以根据磋商情况退出磋商。</w:t>
      </w:r>
    </w:p>
    <w:p w14:paraId="2E7BE045">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3.5</w:t>
      </w:r>
      <w:r>
        <w:rPr>
          <w:rFonts w:hint="eastAsia" w:ascii="宋体" w:hAnsi="宋体" w:eastAsia="宋体" w:cs="宋体"/>
          <w:kern w:val="2"/>
          <w:sz w:val="24"/>
          <w:szCs w:val="24"/>
        </w:rPr>
        <w:t>磋商结束后，磋商小组将要求所有继续参加磋商的供应商在规定时间内提交第二次书面报价</w:t>
      </w:r>
      <w:r>
        <w:rPr>
          <w:rFonts w:hint="eastAsia" w:cs="宋体"/>
          <w:kern w:val="2"/>
          <w:sz w:val="24"/>
          <w:szCs w:val="24"/>
          <w:lang w:eastAsia="zh-CN"/>
        </w:rPr>
        <w:t>（现场报价）</w:t>
      </w:r>
      <w:r>
        <w:rPr>
          <w:rFonts w:hint="eastAsia" w:ascii="宋体" w:hAnsi="宋体" w:eastAsia="宋体" w:cs="宋体"/>
          <w:kern w:val="2"/>
          <w:sz w:val="24"/>
          <w:szCs w:val="24"/>
        </w:rPr>
        <w:t>（二次报价表详见附件</w:t>
      </w:r>
      <w:r>
        <w:rPr>
          <w:rFonts w:hint="eastAsia" w:ascii="宋体" w:hAnsi="宋体" w:eastAsia="宋体" w:cs="宋体"/>
          <w:kern w:val="2"/>
          <w:sz w:val="24"/>
          <w:szCs w:val="24"/>
          <w:lang w:val="en-US"/>
        </w:rPr>
        <w:t>5</w:t>
      </w:r>
      <w:r>
        <w:rPr>
          <w:rFonts w:hint="eastAsia" w:ascii="宋体" w:hAnsi="宋体" w:eastAsia="宋体" w:cs="宋体"/>
          <w:kern w:val="2"/>
          <w:sz w:val="24"/>
          <w:szCs w:val="24"/>
        </w:rPr>
        <w:t>）；该报价为最后报价，报价函须加盖单位公章并须由供应商法定代表人或其授权代表签字确认，最后报价是供应商响应文件的有效组成部分。</w:t>
      </w:r>
    </w:p>
    <w:p w14:paraId="4804FB94">
      <w:pPr>
        <w:pStyle w:val="41"/>
        <w:keepNext w:val="0"/>
        <w:keepLines w:val="0"/>
        <w:suppressLineNumbers w:val="0"/>
        <w:spacing w:before="1" w:beforeAutospacing="0" w:after="0" w:afterAutospacing="0" w:line="360" w:lineRule="auto"/>
        <w:ind w:left="127" w:right="108"/>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3.6</w:t>
      </w:r>
      <w:r>
        <w:rPr>
          <w:rFonts w:hint="eastAsia" w:ascii="宋体" w:hAnsi="宋体" w:eastAsia="宋体" w:cs="宋体"/>
          <w:kern w:val="2"/>
          <w:sz w:val="24"/>
          <w:szCs w:val="24"/>
        </w:rPr>
        <w:t>经磋商确定最终采购需求和提交最后报价后，由磋商小组采用综合评分法对提交最后报价的供应商的响应文件和最后报价进行综合评分，不能实质上满足磋商文件要求的响应文件将被拒绝，评分细则见后。</w:t>
      </w:r>
    </w:p>
    <w:p w14:paraId="60991671">
      <w:pPr>
        <w:pStyle w:val="40"/>
        <w:numPr>
          <w:ilvl w:val="0"/>
          <w:numId w:val="0"/>
        </w:numPr>
        <w:tabs>
          <w:tab w:val="left" w:pos="1120"/>
        </w:tabs>
        <w:spacing w:line="360" w:lineRule="auto"/>
        <w:ind w:firstLine="240" w:firstLineChars="100"/>
        <w:jc w:val="both"/>
        <w:rPr>
          <w:rFonts w:hint="eastAsia" w:ascii="宋体" w:hAnsi="宋体" w:eastAsia="宋体" w:cs="宋体"/>
          <w:lang w:val="zh-CN" w:eastAsia="zh-CN"/>
        </w:rPr>
      </w:pPr>
      <w:r>
        <w:rPr>
          <w:rFonts w:hint="eastAsia" w:ascii="宋体" w:hAnsi="宋体" w:eastAsia="宋体" w:cs="宋体"/>
          <w:kern w:val="2"/>
          <w:sz w:val="24"/>
          <w:szCs w:val="24"/>
          <w:lang w:val="en-US" w:eastAsia="zh-CN"/>
        </w:rPr>
        <w:t>3.7</w:t>
      </w:r>
      <w:r>
        <w:rPr>
          <w:rFonts w:hint="eastAsia" w:ascii="宋体" w:hAnsi="宋体" w:eastAsia="宋体" w:cs="宋体"/>
          <w:kern w:val="2"/>
          <w:sz w:val="24"/>
          <w:szCs w:val="24"/>
        </w:rPr>
        <w:t>磋商小组将根据综合评分情况，按照评审得分由高到低的顺序推荐成交候选供应商，并编写评审报告。评审得分相同的，按照最后报价由低到高的顺序推荐；评审得分且最后报价相同的，由磋商小组按照技术/服务方案优劣顺序推荐。</w:t>
      </w:r>
      <w:r>
        <w:rPr>
          <w:rFonts w:hint="eastAsia" w:ascii="宋体" w:hAnsi="宋体" w:eastAsia="宋体" w:cs="宋体"/>
          <w:sz w:val="24"/>
          <w:lang w:val="zh-CN" w:eastAsia="zh-CN"/>
        </w:rPr>
        <w:t>。</w:t>
      </w:r>
      <w:bookmarkStart w:id="15" w:name="4、评审办法"/>
      <w:bookmarkEnd w:id="15"/>
    </w:p>
    <w:p w14:paraId="765F3CC3">
      <w:pPr>
        <w:pStyle w:val="7"/>
        <w:spacing w:before="0" w:line="360" w:lineRule="auto"/>
        <w:ind w:right="245"/>
        <w:outlineLvl w:val="1"/>
        <w:rPr>
          <w:rFonts w:hint="eastAsia" w:ascii="宋体" w:hAnsi="宋体" w:eastAsia="宋体" w:cs="宋体"/>
          <w:lang w:val="zh-CN" w:eastAsia="zh-CN"/>
        </w:rPr>
      </w:pPr>
      <w:r>
        <w:rPr>
          <w:rFonts w:hint="eastAsia" w:ascii="宋体" w:hAnsi="宋体" w:eastAsia="宋体" w:cs="宋体"/>
          <w:lang w:val="zh-CN" w:eastAsia="zh-CN"/>
        </w:rPr>
        <w:t>4、评审办法</w:t>
      </w:r>
    </w:p>
    <w:p w14:paraId="6FB28BD2">
      <w:pPr>
        <w:numPr>
          <w:ilvl w:val="1"/>
          <w:numId w:val="6"/>
        </w:numPr>
        <w:tabs>
          <w:tab w:val="left" w:pos="643"/>
        </w:tabs>
        <w:spacing w:line="360" w:lineRule="auto"/>
        <w:jc w:val="both"/>
        <w:rPr>
          <w:rFonts w:hint="eastAsia" w:ascii="宋体" w:hAnsi="宋体" w:eastAsia="宋体" w:cs="宋体"/>
          <w:b w:val="0"/>
          <w:bCs/>
          <w:sz w:val="24"/>
        </w:rPr>
      </w:pPr>
      <w:r>
        <w:rPr>
          <w:rFonts w:hint="eastAsia" w:ascii="宋体" w:hAnsi="宋体" w:eastAsia="宋体" w:cs="宋体"/>
          <w:b w:val="0"/>
          <w:bCs/>
          <w:sz w:val="24"/>
        </w:rPr>
        <w:t>经磋商确定最终采购需求和提交最后承诺的供应商后，由磋商小组采用综合评分法进行评分。</w:t>
      </w:r>
    </w:p>
    <w:p w14:paraId="0998F449">
      <w:pPr>
        <w:numPr>
          <w:ilvl w:val="1"/>
          <w:numId w:val="6"/>
        </w:numPr>
        <w:tabs>
          <w:tab w:val="left" w:pos="643"/>
        </w:tabs>
        <w:spacing w:line="360" w:lineRule="auto"/>
        <w:jc w:val="both"/>
        <w:rPr>
          <w:rFonts w:hint="eastAsia" w:ascii="宋体" w:hAnsi="宋体" w:eastAsia="宋体" w:cs="宋体"/>
          <w:b w:val="0"/>
          <w:bCs/>
          <w:sz w:val="24"/>
        </w:rPr>
      </w:pPr>
      <w:r>
        <w:rPr>
          <w:rFonts w:hint="eastAsia" w:ascii="宋体" w:hAnsi="宋体" w:eastAsia="宋体" w:cs="宋体"/>
          <w:b w:val="0"/>
          <w:bCs/>
          <w:sz w:val="24"/>
        </w:rPr>
        <w:t>评审时，磋商小组各成员应当独立对每个有效响应的文件进行评价、打分，然后汇总每个供应商每项评分因素的得分。</w:t>
      </w:r>
    </w:p>
    <w:p w14:paraId="0A31D31F">
      <w:pPr>
        <w:numPr>
          <w:ilvl w:val="1"/>
          <w:numId w:val="6"/>
        </w:numPr>
        <w:tabs>
          <w:tab w:val="left" w:pos="643"/>
        </w:tabs>
        <w:spacing w:line="360" w:lineRule="auto"/>
        <w:jc w:val="both"/>
        <w:rPr>
          <w:rFonts w:hint="eastAsia" w:ascii="宋体" w:hAnsi="宋体" w:eastAsia="宋体" w:cs="宋体"/>
          <w:lang w:val="zh-CN" w:eastAsia="zh-CN"/>
        </w:rPr>
      </w:pPr>
      <w:r>
        <w:rPr>
          <w:rFonts w:hint="eastAsia" w:ascii="宋体" w:hAnsi="宋体" w:eastAsia="宋体" w:cs="宋体"/>
          <w:b w:val="0"/>
          <w:bCs/>
          <w:sz w:val="24"/>
        </w:rPr>
        <w:t>磋商小组应当根据综合评分情况，按照评审得分由高到低顺序推荐成交候选供应商，并编写评审报告。评审得分相同的按照技术指标优劣顺序推荐。</w:t>
      </w:r>
      <w:bookmarkStart w:id="25" w:name="_GoBack"/>
      <w:bookmarkEnd w:id="25"/>
      <w:bookmarkStart w:id="16" w:name="5、评审原则"/>
      <w:bookmarkEnd w:id="16"/>
    </w:p>
    <w:p w14:paraId="49D397A1">
      <w:pPr>
        <w:pStyle w:val="7"/>
        <w:spacing w:before="0" w:line="360" w:lineRule="auto"/>
        <w:ind w:right="245"/>
        <w:outlineLvl w:val="1"/>
        <w:rPr>
          <w:rFonts w:hint="eastAsia" w:ascii="宋体" w:hAnsi="宋体" w:eastAsia="宋体" w:cs="宋体"/>
          <w:lang w:val="zh-CN" w:eastAsia="zh-CN"/>
        </w:rPr>
      </w:pPr>
      <w:r>
        <w:rPr>
          <w:rFonts w:hint="eastAsia" w:ascii="宋体" w:hAnsi="宋体" w:eastAsia="宋体" w:cs="宋体"/>
          <w:lang w:val="zh-CN" w:eastAsia="zh-CN"/>
        </w:rPr>
        <w:t>5、评审原则</w:t>
      </w:r>
    </w:p>
    <w:p w14:paraId="413CC545">
      <w:pPr>
        <w:numPr>
          <w:ilvl w:val="1"/>
          <w:numId w:val="7"/>
        </w:numPr>
        <w:tabs>
          <w:tab w:val="left" w:pos="643"/>
        </w:tabs>
        <w:spacing w:before="66" w:line="360" w:lineRule="auto"/>
        <w:rPr>
          <w:rFonts w:hint="eastAsia" w:ascii="宋体" w:hAnsi="宋体" w:eastAsia="宋体" w:cs="宋体"/>
          <w:b w:val="0"/>
          <w:bCs/>
          <w:sz w:val="24"/>
        </w:rPr>
      </w:pPr>
      <w:r>
        <w:rPr>
          <w:rFonts w:hint="eastAsia" w:ascii="宋体" w:hAnsi="宋体" w:eastAsia="宋体" w:cs="宋体"/>
          <w:b w:val="0"/>
          <w:bCs/>
          <w:sz w:val="24"/>
        </w:rPr>
        <w:t>根据《中华人民共和国政府采购法》、《评标委员会和评标方法暂行规定》及政府采购相关法规、文件精神，遵循公平、公正、科学、择优的原则。确定成交供应商的评标准则：是指响应文件满足竞争性磋商文件全部实质性要求且按评审因素的量化指标评审得分最高的供应商为成交候选供应商的评审方法。</w:t>
      </w:r>
    </w:p>
    <w:p w14:paraId="283C2CA6">
      <w:pPr>
        <w:numPr>
          <w:ilvl w:val="1"/>
          <w:numId w:val="7"/>
        </w:numPr>
        <w:tabs>
          <w:tab w:val="left" w:pos="643"/>
        </w:tabs>
        <w:spacing w:before="66" w:line="360" w:lineRule="auto"/>
        <w:rPr>
          <w:rFonts w:hint="eastAsia" w:ascii="宋体" w:hAnsi="宋体" w:eastAsia="宋体" w:cs="宋体"/>
          <w:b w:val="0"/>
          <w:bCs/>
          <w:sz w:val="24"/>
        </w:rPr>
      </w:pPr>
      <w:r>
        <w:rPr>
          <w:rFonts w:hint="eastAsia" w:ascii="宋体" w:hAnsi="宋体" w:eastAsia="宋体" w:cs="宋体"/>
          <w:b w:val="0"/>
          <w:bCs/>
          <w:sz w:val="24"/>
        </w:rPr>
        <w:t>磋商小组有权根据有关规定否决所有磋商。</w:t>
      </w:r>
    </w:p>
    <w:p w14:paraId="52846D29">
      <w:pPr>
        <w:numPr>
          <w:ilvl w:val="1"/>
          <w:numId w:val="7"/>
        </w:numPr>
        <w:tabs>
          <w:tab w:val="left" w:pos="643"/>
        </w:tabs>
        <w:spacing w:before="66" w:line="360" w:lineRule="auto"/>
        <w:rPr>
          <w:rFonts w:hint="eastAsia" w:ascii="宋体" w:hAnsi="宋体" w:eastAsia="宋体" w:cs="宋体"/>
          <w:b w:val="0"/>
          <w:bCs/>
          <w:sz w:val="24"/>
        </w:rPr>
      </w:pPr>
      <w:r>
        <w:rPr>
          <w:rFonts w:hint="eastAsia" w:ascii="宋体" w:hAnsi="宋体" w:eastAsia="宋体" w:cs="宋体"/>
          <w:b w:val="0"/>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4097CA">
      <w:pPr>
        <w:pStyle w:val="7"/>
        <w:spacing w:before="0" w:line="360" w:lineRule="auto"/>
        <w:ind w:right="245"/>
        <w:outlineLvl w:val="1"/>
        <w:rPr>
          <w:rFonts w:hint="eastAsia" w:ascii="宋体" w:hAnsi="宋体" w:eastAsia="宋体" w:cs="宋体"/>
          <w:lang w:val="zh-CN" w:eastAsia="zh-CN"/>
        </w:rPr>
      </w:pPr>
      <w:bookmarkStart w:id="17" w:name="6、评审过程的保密性"/>
      <w:bookmarkEnd w:id="17"/>
      <w:r>
        <w:rPr>
          <w:rFonts w:hint="eastAsia" w:ascii="宋体" w:hAnsi="宋体" w:eastAsia="宋体" w:cs="宋体"/>
          <w:lang w:val="zh-CN" w:eastAsia="zh-CN"/>
        </w:rPr>
        <w:t>6、评审过程的保密性</w:t>
      </w:r>
    </w:p>
    <w:p w14:paraId="79D49006">
      <w:pPr>
        <w:numPr>
          <w:ilvl w:val="1"/>
          <w:numId w:val="8"/>
        </w:numPr>
        <w:tabs>
          <w:tab w:val="left" w:pos="643"/>
        </w:tabs>
        <w:spacing w:line="360" w:lineRule="auto"/>
        <w:rPr>
          <w:rFonts w:hint="eastAsia" w:ascii="宋体" w:hAnsi="宋体" w:eastAsia="宋体" w:cs="宋体"/>
          <w:b w:val="0"/>
          <w:bCs/>
          <w:sz w:val="24"/>
        </w:rPr>
      </w:pPr>
      <w:r>
        <w:rPr>
          <w:rFonts w:hint="eastAsia" w:ascii="宋体" w:hAnsi="宋体" w:eastAsia="宋体" w:cs="宋体"/>
          <w:b w:val="0"/>
          <w:bCs/>
          <w:sz w:val="24"/>
        </w:rPr>
        <w:t>除磋商小组主动要求询标外，从磋商后至成交通知书发出期间，任何供应商均不得就与其磋商有关的任何问题与采购代理机构及磋商小组联系。如果供应商希望递交其他资料以提醒采购人和磋商小组注意，则应以书面形式提交。</w:t>
      </w:r>
    </w:p>
    <w:p w14:paraId="6D06213B">
      <w:pPr>
        <w:numPr>
          <w:ilvl w:val="1"/>
          <w:numId w:val="8"/>
        </w:numPr>
        <w:tabs>
          <w:tab w:val="left" w:pos="643"/>
        </w:tabs>
        <w:spacing w:line="360" w:lineRule="auto"/>
        <w:rPr>
          <w:rFonts w:hint="eastAsia" w:ascii="宋体" w:hAnsi="宋体" w:eastAsia="宋体" w:cs="宋体"/>
          <w:lang w:val="zh-CN" w:eastAsia="zh-CN"/>
        </w:rPr>
      </w:pPr>
      <w:r>
        <w:rPr>
          <w:rFonts w:hint="eastAsia" w:ascii="宋体" w:hAnsi="宋体" w:eastAsia="宋体" w:cs="宋体"/>
          <w:b w:val="0"/>
          <w:bCs/>
          <w:sz w:val="24"/>
        </w:rPr>
        <w:t>为保证定标的公正性，在评审过程中，评委不得与供应商私下交换意见；采购工作结束后，磋商小组评委和参与评审的有关工作人员不得透露对响应文件的评审和比较，以及与评审有关的其他情况。</w:t>
      </w:r>
      <w:bookmarkStart w:id="18" w:name="7、评审流程"/>
      <w:bookmarkEnd w:id="18"/>
    </w:p>
    <w:p w14:paraId="4ECB69A2">
      <w:pPr>
        <w:pStyle w:val="7"/>
        <w:spacing w:before="0" w:line="360" w:lineRule="auto"/>
        <w:ind w:right="245"/>
        <w:outlineLvl w:val="1"/>
        <w:rPr>
          <w:rFonts w:hint="eastAsia" w:ascii="宋体" w:hAnsi="宋体" w:eastAsia="宋体" w:cs="宋体"/>
          <w:lang w:val="zh-CN" w:eastAsia="zh-CN"/>
        </w:rPr>
      </w:pPr>
      <w:r>
        <w:rPr>
          <w:rFonts w:hint="eastAsia" w:ascii="宋体" w:hAnsi="宋体" w:eastAsia="宋体" w:cs="宋体"/>
          <w:lang w:val="zh-CN" w:eastAsia="zh-CN"/>
        </w:rPr>
        <w:t>7、评审流程</w:t>
      </w:r>
    </w:p>
    <w:p w14:paraId="419C0257">
      <w:pPr>
        <w:numPr>
          <w:ilvl w:val="0"/>
          <w:numId w:val="0"/>
        </w:numPr>
        <w:tabs>
          <w:tab w:val="left" w:pos="643"/>
        </w:tabs>
        <w:spacing w:line="360" w:lineRule="auto"/>
        <w:ind w:left="219" w:leftChars="0" w:firstLine="480" w:firstLineChars="200"/>
        <w:rPr>
          <w:rFonts w:hint="eastAsia" w:ascii="宋体" w:hAnsi="宋体" w:eastAsia="宋体" w:cs="宋体"/>
          <w:b/>
          <w:sz w:val="17"/>
        </w:rPr>
      </w:pPr>
      <w:r>
        <w:rPr>
          <w:rFonts w:hint="eastAsia" w:ascii="宋体" w:hAnsi="宋体" w:eastAsia="宋体" w:cs="宋体"/>
          <w:b w:val="0"/>
          <w:bCs/>
          <w:sz w:val="24"/>
        </w:rPr>
        <w:t>分为三个阶段进行：资格性审查、符合性检查、磋商和响应文件详细评审。</w:t>
      </w:r>
    </w:p>
    <w:p w14:paraId="4C3F4F29">
      <w:pPr>
        <w:numPr>
          <w:ilvl w:val="1"/>
          <w:numId w:val="9"/>
        </w:numPr>
        <w:tabs>
          <w:tab w:val="left" w:pos="643"/>
        </w:tabs>
        <w:spacing w:line="360" w:lineRule="auto"/>
        <w:rPr>
          <w:rFonts w:hint="eastAsia" w:ascii="宋体" w:hAnsi="宋体" w:eastAsia="宋体" w:cs="宋体"/>
          <w:lang w:val="en-US" w:eastAsia="zh-CN"/>
        </w:rPr>
      </w:pPr>
      <w:r>
        <w:rPr>
          <w:rFonts w:hint="eastAsia" w:ascii="宋体" w:hAnsi="宋体" w:eastAsia="宋体" w:cs="宋体"/>
          <w:b w:val="0"/>
          <w:bCs/>
          <w:sz w:val="24"/>
          <w:lang w:val="en-US" w:eastAsia="zh-CN"/>
        </w:rPr>
        <w:t>.资格性审查</w:t>
      </w:r>
      <w:r>
        <w:rPr>
          <w:rFonts w:hint="eastAsia" w:ascii="宋体" w:hAnsi="宋体" w:eastAsia="宋体" w:cs="宋体"/>
          <w:b w:val="0"/>
          <w:bCs/>
          <w:sz w:val="24"/>
        </w:rPr>
        <w:t>是指磋商小组依据法律法规和竞争性磋商文件的规定，对响应文件中的资格证明、磋商保证金等进行审查，以确定供应商是否具备磋商资格。</w:t>
      </w:r>
    </w:p>
    <w:p w14:paraId="2A5471BD">
      <w:pPr>
        <w:pStyle w:val="14"/>
        <w:jc w:val="center"/>
        <w:rPr>
          <w:rFonts w:hint="eastAsia" w:ascii="宋体" w:hAnsi="宋体" w:eastAsia="宋体" w:cs="宋体"/>
          <w:b/>
          <w:bCs w:val="0"/>
          <w:lang w:val="en-US" w:eastAsia="zh-CN"/>
        </w:rPr>
      </w:pPr>
      <w:r>
        <w:rPr>
          <w:rFonts w:hint="eastAsia" w:ascii="宋体" w:hAnsi="宋体" w:eastAsia="宋体" w:cs="宋体"/>
          <w:b/>
          <w:bCs w:val="0"/>
          <w:sz w:val="24"/>
          <w:lang w:eastAsia="zh-CN"/>
        </w:rPr>
        <w:t>资格</w:t>
      </w:r>
      <w:r>
        <w:rPr>
          <w:rFonts w:hint="eastAsia" w:ascii="宋体" w:hAnsi="宋体" w:eastAsia="宋体" w:cs="宋体"/>
          <w:b/>
          <w:bCs w:val="0"/>
          <w:sz w:val="24"/>
        </w:rPr>
        <w:t>性审查内容</w:t>
      </w:r>
    </w:p>
    <w:tbl>
      <w:tblPr>
        <w:tblStyle w:val="23"/>
        <w:tblpPr w:leftFromText="180" w:rightFromText="180" w:vertAnchor="text" w:horzAnchor="page" w:tblpX="1478" w:tblpY="254"/>
        <w:tblOverlap w:val="never"/>
        <w:tblW w:w="8940"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3427"/>
        <w:gridCol w:w="3974"/>
        <w:gridCol w:w="1539"/>
      </w:tblGrid>
      <w:tr w14:paraId="12A5F62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427" w:type="dxa"/>
            <w:noWrap w:val="0"/>
            <w:vAlign w:val="top"/>
          </w:tcPr>
          <w:p w14:paraId="3CD0C944">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审查因素</w:t>
            </w:r>
          </w:p>
        </w:tc>
        <w:tc>
          <w:tcPr>
            <w:tcW w:w="3974" w:type="dxa"/>
            <w:noWrap w:val="0"/>
            <w:vAlign w:val="top"/>
          </w:tcPr>
          <w:p w14:paraId="7DDD2748">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对应内容</w:t>
            </w:r>
          </w:p>
        </w:tc>
        <w:tc>
          <w:tcPr>
            <w:tcW w:w="1539" w:type="dxa"/>
            <w:noWrap w:val="0"/>
            <w:vAlign w:val="top"/>
          </w:tcPr>
          <w:p w14:paraId="0AD853DF">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审查说明</w:t>
            </w:r>
          </w:p>
        </w:tc>
      </w:tr>
      <w:tr w14:paraId="0B0D3B0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40" w:type="dxa"/>
            <w:gridSpan w:val="3"/>
            <w:noWrap w:val="0"/>
            <w:vAlign w:val="top"/>
          </w:tcPr>
          <w:p w14:paraId="2D866C33">
            <w:pPr>
              <w:pStyle w:val="41"/>
              <w:keepNext w:val="0"/>
              <w:keepLines w:val="0"/>
              <w:suppressLineNumbers w:val="0"/>
              <w:spacing w:before="2" w:beforeAutospacing="0" w:after="0" w:afterAutospacing="0" w:line="360" w:lineRule="auto"/>
              <w:ind w:left="107" w:right="0"/>
              <w:rPr>
                <w:rFonts w:hint="eastAsia" w:ascii="宋体" w:hAnsi="宋体" w:eastAsia="宋体" w:cs="宋体"/>
                <w:b/>
                <w:kern w:val="2"/>
                <w:sz w:val="24"/>
                <w:szCs w:val="24"/>
              </w:rPr>
            </w:pPr>
            <w:r>
              <w:rPr>
                <w:rFonts w:hint="eastAsia" w:ascii="宋体" w:hAnsi="宋体" w:eastAsia="宋体" w:cs="宋体"/>
                <w:b/>
                <w:kern w:val="2"/>
                <w:sz w:val="24"/>
                <w:szCs w:val="24"/>
              </w:rPr>
              <w:t>（一）一般资格要求</w:t>
            </w:r>
          </w:p>
        </w:tc>
      </w:tr>
      <w:tr w14:paraId="77584F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32" w:hRule="atLeast"/>
        </w:trPr>
        <w:tc>
          <w:tcPr>
            <w:tcW w:w="3427" w:type="dxa"/>
            <w:noWrap w:val="0"/>
            <w:vAlign w:val="top"/>
          </w:tcPr>
          <w:p w14:paraId="57699083">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具有独立承担民事责任的能力</w:t>
            </w:r>
          </w:p>
        </w:tc>
        <w:tc>
          <w:tcPr>
            <w:tcW w:w="3974" w:type="dxa"/>
            <w:noWrap w:val="0"/>
            <w:vAlign w:val="top"/>
          </w:tcPr>
          <w:p w14:paraId="51DFAEC1">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cs="宋体"/>
                <w:b w:val="0"/>
                <w:bCs/>
                <w:kern w:val="2"/>
                <w:sz w:val="24"/>
                <w:szCs w:val="24"/>
                <w:lang w:eastAsia="zh-CN"/>
              </w:rPr>
              <w:t>提供</w:t>
            </w:r>
            <w:r>
              <w:rPr>
                <w:rFonts w:hint="eastAsia" w:ascii="宋体" w:hAnsi="宋体" w:eastAsia="宋体" w:cs="宋体"/>
                <w:b w:val="0"/>
                <w:bCs/>
                <w:kern w:val="2"/>
                <w:sz w:val="24"/>
                <w:szCs w:val="24"/>
              </w:rPr>
              <w:t>“统一社会信用代码”的营业执照（或事业单位法人登记证）</w:t>
            </w:r>
          </w:p>
        </w:tc>
        <w:tc>
          <w:tcPr>
            <w:tcW w:w="1539" w:type="dxa"/>
            <w:noWrap w:val="0"/>
            <w:vAlign w:val="top"/>
          </w:tcPr>
          <w:p w14:paraId="3172286E">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6E71AF92">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7C73EA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110" w:hRule="atLeast"/>
        </w:trPr>
        <w:tc>
          <w:tcPr>
            <w:tcW w:w="3427" w:type="dxa"/>
            <w:noWrap w:val="0"/>
            <w:vAlign w:val="top"/>
          </w:tcPr>
          <w:p w14:paraId="5EF8C73A">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具有良好的商业信誉和健全的财务会计制度</w:t>
            </w:r>
          </w:p>
        </w:tc>
        <w:tc>
          <w:tcPr>
            <w:tcW w:w="3974" w:type="dxa"/>
            <w:noWrap w:val="0"/>
            <w:vAlign w:val="top"/>
          </w:tcPr>
          <w:p w14:paraId="3A3F6B32">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lang w:eastAsia="zh-CN"/>
              </w:rPr>
              <w:t>提供有效的202</w:t>
            </w:r>
            <w:r>
              <w:rPr>
                <w:rFonts w:hint="eastAsia" w:cs="宋体"/>
                <w:b w:val="0"/>
                <w:bCs/>
                <w:kern w:val="2"/>
                <w:sz w:val="24"/>
                <w:szCs w:val="24"/>
                <w:lang w:val="en-US" w:eastAsia="zh-CN"/>
              </w:rPr>
              <w:t>4</w:t>
            </w:r>
            <w:r>
              <w:rPr>
                <w:rFonts w:hint="eastAsia" w:ascii="宋体" w:hAnsi="宋体" w:eastAsia="宋体" w:cs="宋体"/>
                <w:b w:val="0"/>
                <w:bCs/>
                <w:kern w:val="2"/>
                <w:sz w:val="24"/>
                <w:szCs w:val="24"/>
                <w:lang w:val="en-US" w:eastAsia="zh-CN"/>
              </w:rPr>
              <w:t>或202</w:t>
            </w:r>
            <w:r>
              <w:rPr>
                <w:rFonts w:hint="eastAsia" w:cs="宋体"/>
                <w:b w:val="0"/>
                <w:bCs/>
                <w:kern w:val="2"/>
                <w:sz w:val="24"/>
                <w:szCs w:val="24"/>
                <w:lang w:val="en-US" w:eastAsia="zh-CN"/>
              </w:rPr>
              <w:t>5</w:t>
            </w:r>
            <w:r>
              <w:rPr>
                <w:rFonts w:hint="eastAsia" w:ascii="宋体" w:hAnsi="宋体" w:eastAsia="宋体" w:cs="宋体"/>
                <w:b w:val="0"/>
                <w:bCs/>
                <w:kern w:val="2"/>
                <w:sz w:val="24"/>
                <w:szCs w:val="24"/>
                <w:lang w:eastAsia="zh-CN"/>
              </w:rPr>
              <w:t>年度财务审计报告或投标人基本开户行出具的资信证明</w:t>
            </w:r>
            <w:r>
              <w:rPr>
                <w:rFonts w:hint="eastAsia" w:ascii="宋体" w:hAnsi="宋体" w:eastAsia="宋体" w:cs="宋体"/>
                <w:b w:val="0"/>
                <w:bCs/>
                <w:kern w:val="2"/>
                <w:sz w:val="24"/>
                <w:szCs w:val="24"/>
                <w:lang w:val="en-US" w:eastAsia="zh-CN"/>
              </w:rPr>
              <w:t>，资信证明开具日期为采购需求公示发布之日后</w:t>
            </w:r>
          </w:p>
        </w:tc>
        <w:tc>
          <w:tcPr>
            <w:tcW w:w="1539" w:type="dxa"/>
            <w:noWrap w:val="0"/>
            <w:vAlign w:val="top"/>
          </w:tcPr>
          <w:p w14:paraId="5E2CFA9E">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061E1F69">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5DDAE33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3427" w:type="dxa"/>
            <w:noWrap w:val="0"/>
            <w:vAlign w:val="top"/>
          </w:tcPr>
          <w:p w14:paraId="131AA5CE">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具有履行合同所必需的设备和专业技术能力</w:t>
            </w:r>
          </w:p>
        </w:tc>
        <w:tc>
          <w:tcPr>
            <w:tcW w:w="3974" w:type="dxa"/>
            <w:noWrap w:val="0"/>
            <w:vAlign w:val="top"/>
          </w:tcPr>
          <w:p w14:paraId="78C5C9C4">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设备及专业技术能力情况的承诺书</w:t>
            </w:r>
          </w:p>
        </w:tc>
        <w:tc>
          <w:tcPr>
            <w:tcW w:w="1539" w:type="dxa"/>
            <w:noWrap w:val="0"/>
            <w:vAlign w:val="top"/>
          </w:tcPr>
          <w:p w14:paraId="680081DE">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6E13056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3427" w:type="dxa"/>
            <w:noWrap w:val="0"/>
            <w:vAlign w:val="top"/>
          </w:tcPr>
          <w:p w14:paraId="2B338D59">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有依法缴纳税收和社会保障资金的良好记录</w:t>
            </w:r>
          </w:p>
        </w:tc>
        <w:tc>
          <w:tcPr>
            <w:tcW w:w="3974" w:type="dxa"/>
            <w:noWrap w:val="0"/>
            <w:vAlign w:val="top"/>
          </w:tcPr>
          <w:p w14:paraId="67529CE5">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提供</w:t>
            </w:r>
            <w:r>
              <w:rPr>
                <w:rFonts w:hint="eastAsia" w:ascii="宋体" w:hAnsi="宋体" w:eastAsia="宋体" w:cs="宋体"/>
                <w:b w:val="0"/>
                <w:bCs/>
                <w:kern w:val="2"/>
                <w:sz w:val="24"/>
                <w:szCs w:val="24"/>
                <w:lang w:val="en-US"/>
              </w:rPr>
              <w:t>202</w:t>
            </w:r>
            <w:r>
              <w:rPr>
                <w:rFonts w:hint="eastAsia" w:cs="宋体"/>
                <w:b w:val="0"/>
                <w:bCs/>
                <w:kern w:val="2"/>
                <w:sz w:val="24"/>
                <w:szCs w:val="24"/>
                <w:lang w:val="en-US" w:eastAsia="zh-CN"/>
              </w:rPr>
              <w:t>5</w:t>
            </w:r>
            <w:r>
              <w:rPr>
                <w:rFonts w:hint="eastAsia" w:ascii="宋体" w:hAnsi="宋体" w:eastAsia="宋体" w:cs="宋体"/>
                <w:b w:val="0"/>
                <w:bCs/>
                <w:kern w:val="2"/>
                <w:sz w:val="24"/>
                <w:szCs w:val="24"/>
                <w:lang w:val="en-US"/>
              </w:rPr>
              <w:t>年至</w:t>
            </w:r>
            <w:r>
              <w:rPr>
                <w:rFonts w:hint="eastAsia" w:ascii="宋体" w:hAnsi="宋体" w:eastAsia="宋体" w:cs="宋体"/>
                <w:b w:val="0"/>
                <w:bCs/>
                <w:kern w:val="2"/>
                <w:sz w:val="24"/>
                <w:szCs w:val="24"/>
              </w:rPr>
              <w:t>投标截止时间任意</w:t>
            </w:r>
            <w:r>
              <w:rPr>
                <w:rFonts w:hint="eastAsia" w:cs="宋体"/>
                <w:b w:val="0"/>
                <w:bCs/>
                <w:kern w:val="2"/>
                <w:sz w:val="24"/>
                <w:szCs w:val="24"/>
                <w:lang w:val="en-US" w:eastAsia="zh-CN"/>
              </w:rPr>
              <w:t>1</w:t>
            </w:r>
            <w:r>
              <w:rPr>
                <w:rFonts w:hint="eastAsia" w:ascii="宋体" w:hAnsi="宋体" w:eastAsia="宋体" w:cs="宋体"/>
                <w:b w:val="0"/>
                <w:bCs/>
                <w:kern w:val="2"/>
                <w:sz w:val="24"/>
                <w:szCs w:val="24"/>
              </w:rPr>
              <w:t>个月依法缴纳税收和社会保障资金的证明材料；如依法免税或不需要缴纳社会保障资金的，提供相应证明材料。</w:t>
            </w:r>
          </w:p>
        </w:tc>
        <w:tc>
          <w:tcPr>
            <w:tcW w:w="1539" w:type="dxa"/>
            <w:noWrap w:val="0"/>
            <w:vAlign w:val="top"/>
          </w:tcPr>
          <w:p w14:paraId="5E8A40C0">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70DDE104">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2562A99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354" w:hRule="atLeast"/>
        </w:trPr>
        <w:tc>
          <w:tcPr>
            <w:tcW w:w="3427" w:type="dxa"/>
            <w:noWrap w:val="0"/>
            <w:vAlign w:val="top"/>
          </w:tcPr>
          <w:p w14:paraId="1F411FB9">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参加政府采购活动前三年内，在经营活动中没有重大违法记录及法律、行政法规规定的其他条件</w:t>
            </w:r>
          </w:p>
        </w:tc>
        <w:tc>
          <w:tcPr>
            <w:tcW w:w="3974" w:type="dxa"/>
            <w:noWrap w:val="0"/>
            <w:vAlign w:val="top"/>
          </w:tcPr>
          <w:p w14:paraId="386EF25B">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65D32D93">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cs="宋体"/>
                <w:b w:val="0"/>
                <w:bCs/>
                <w:kern w:val="2"/>
                <w:sz w:val="24"/>
                <w:szCs w:val="24"/>
                <w:lang w:eastAsia="zh-CN"/>
              </w:rPr>
              <w:t>提供</w:t>
            </w:r>
            <w:r>
              <w:rPr>
                <w:rFonts w:hint="eastAsia" w:ascii="宋体" w:hAnsi="宋体" w:eastAsia="宋体" w:cs="宋体"/>
                <w:b w:val="0"/>
                <w:bCs/>
                <w:kern w:val="2"/>
                <w:sz w:val="24"/>
                <w:szCs w:val="24"/>
              </w:rPr>
              <w:t>守法经营声明书</w:t>
            </w:r>
          </w:p>
        </w:tc>
        <w:tc>
          <w:tcPr>
            <w:tcW w:w="1539" w:type="dxa"/>
            <w:noWrap w:val="0"/>
            <w:vAlign w:val="top"/>
          </w:tcPr>
          <w:p w14:paraId="7A10328E">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058DDEBB">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58328E6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427" w:type="dxa"/>
            <w:noWrap w:val="0"/>
            <w:vAlign w:val="top"/>
          </w:tcPr>
          <w:p w14:paraId="19C0399B">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r>
              <w:rPr>
                <w:rFonts w:hint="eastAsia" w:ascii="宋体" w:hAnsi="宋体" w:eastAsia="宋体" w:cs="宋体"/>
                <w:b w:val="0"/>
                <w:bCs/>
                <w:kern w:val="2"/>
                <w:sz w:val="24"/>
                <w:szCs w:val="24"/>
              </w:rPr>
              <w:t>供应商未被“信用中国”网站</w:t>
            </w:r>
          </w:p>
          <w:p w14:paraId="750019AA">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fldChar w:fldCharType="begin"/>
            </w:r>
            <w:r>
              <w:rPr>
                <w:rFonts w:hint="eastAsia" w:ascii="宋体" w:hAnsi="宋体" w:eastAsia="宋体" w:cs="宋体"/>
                <w:b w:val="0"/>
                <w:bCs/>
                <w:kern w:val="2"/>
                <w:sz w:val="24"/>
                <w:szCs w:val="24"/>
              </w:rPr>
              <w:instrText xml:space="preserve"> HYPERLINK "http://www.creditchina.gov.cn/" \h </w:instrText>
            </w:r>
            <w:r>
              <w:rPr>
                <w:rFonts w:hint="eastAsia" w:ascii="宋体" w:hAnsi="宋体" w:eastAsia="宋体" w:cs="宋体"/>
                <w:b w:val="0"/>
                <w:bCs/>
                <w:kern w:val="2"/>
                <w:sz w:val="24"/>
                <w:szCs w:val="24"/>
              </w:rPr>
              <w:fldChar w:fldCharType="separate"/>
            </w:r>
            <w:r>
              <w:rPr>
                <w:rFonts w:hint="eastAsia" w:ascii="宋体" w:hAnsi="宋体" w:eastAsia="宋体" w:cs="宋体"/>
                <w:b w:val="0"/>
                <w:bCs/>
                <w:kern w:val="2"/>
                <w:sz w:val="24"/>
                <w:szCs w:val="24"/>
              </w:rPr>
              <w:t>（www.creditchina.gov.cn</w:t>
            </w:r>
            <w:r>
              <w:rPr>
                <w:rFonts w:hint="eastAsia" w:ascii="宋体" w:hAnsi="宋体" w:eastAsia="宋体" w:cs="宋体"/>
                <w:b w:val="0"/>
                <w:bCs/>
                <w:kern w:val="2"/>
                <w:sz w:val="24"/>
                <w:szCs w:val="24"/>
              </w:rPr>
              <w:fldChar w:fldCharType="end"/>
            </w:r>
            <w:r>
              <w:rPr>
                <w:rFonts w:hint="eastAsia" w:ascii="宋体" w:hAnsi="宋体" w:eastAsia="宋体" w:cs="宋体"/>
                <w:b w:val="0"/>
                <w:bCs/>
                <w:kern w:val="2"/>
                <w:sz w:val="24"/>
                <w:szCs w:val="24"/>
              </w:rPr>
              <w:t>）列入“记录失信被执行人”、“重大税收违法案件当事人名单”、“政府采购严重违法失信行为” 中任意一项或多项记录名单；同时，供应商未处于中国政府采购网(www.ccgp.gov.cn)“政府采购严重违法失信行为信息记录”中的禁止参加政府采购活动期间。</w:t>
            </w:r>
          </w:p>
        </w:tc>
        <w:tc>
          <w:tcPr>
            <w:tcW w:w="3974" w:type="dxa"/>
            <w:noWrap w:val="0"/>
            <w:vAlign w:val="top"/>
          </w:tcPr>
          <w:p w14:paraId="41ACCAA2">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49146A33">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以供应商于采购公告发出时间至投标截止时间止任意时间节点，在“信用中国”网站下载信用信息（即法人和其他组织信用信息）和中国政府采购网查询结果截图为证明，如相关记录信息已失效，供应商必须提供由该记录信息的执行或列入单位出具的相关证明材料（如在信用中国查询显示无法搜索该企业，则视为其在信用中国无不良记录，以中国政府采购网查询结果为准）</w:t>
            </w:r>
          </w:p>
        </w:tc>
        <w:tc>
          <w:tcPr>
            <w:tcW w:w="1539" w:type="dxa"/>
            <w:noWrap w:val="0"/>
            <w:vAlign w:val="top"/>
          </w:tcPr>
          <w:p w14:paraId="7F48DEB3">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5FB7C7F7">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157B2538">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3DE155A6">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5BE00AFA">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38879C92">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5ECB97D6">
            <w:pPr>
              <w:pStyle w:val="41"/>
              <w:keepNext w:val="0"/>
              <w:keepLines w:val="0"/>
              <w:suppressLineNumbers w:val="0"/>
              <w:spacing w:before="2" w:beforeAutospacing="0" w:after="0" w:afterAutospacing="0" w:line="360" w:lineRule="auto"/>
              <w:ind w:left="0" w:right="0"/>
              <w:jc w:val="left"/>
              <w:rPr>
                <w:rFonts w:hint="eastAsia" w:ascii="宋体" w:hAnsi="宋体" w:eastAsia="宋体" w:cs="宋体"/>
                <w:b w:val="0"/>
                <w:bCs/>
                <w:kern w:val="2"/>
                <w:sz w:val="24"/>
                <w:szCs w:val="24"/>
              </w:rPr>
            </w:pPr>
          </w:p>
          <w:p w14:paraId="23E7158E">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63A59EA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3427" w:type="dxa"/>
            <w:noWrap w:val="0"/>
            <w:vAlign w:val="top"/>
          </w:tcPr>
          <w:p w14:paraId="174AACE0">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投标保证金</w:t>
            </w:r>
          </w:p>
        </w:tc>
        <w:tc>
          <w:tcPr>
            <w:tcW w:w="3974" w:type="dxa"/>
            <w:noWrap w:val="0"/>
            <w:vAlign w:val="top"/>
          </w:tcPr>
          <w:p w14:paraId="232D4BBD">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lang w:eastAsia="zh-CN"/>
              </w:rPr>
            </w:pPr>
            <w:r>
              <w:rPr>
                <w:rFonts w:hint="eastAsia" w:cs="宋体"/>
                <w:b w:val="0"/>
                <w:bCs/>
                <w:kern w:val="2"/>
                <w:sz w:val="24"/>
                <w:szCs w:val="24"/>
                <w:lang w:eastAsia="zh-CN"/>
              </w:rPr>
              <w:t>符合招标文件要求</w:t>
            </w:r>
          </w:p>
        </w:tc>
        <w:tc>
          <w:tcPr>
            <w:tcW w:w="1539" w:type="dxa"/>
            <w:noWrap w:val="0"/>
            <w:vAlign w:val="top"/>
          </w:tcPr>
          <w:p w14:paraId="6ABB6175">
            <w:pPr>
              <w:pStyle w:val="41"/>
              <w:keepNext w:val="0"/>
              <w:keepLines w:val="0"/>
              <w:suppressLineNumbers w:val="0"/>
              <w:spacing w:before="2" w:beforeAutospacing="0" w:after="0" w:afterAutospacing="0" w:line="360" w:lineRule="auto"/>
              <w:ind w:left="0" w:right="0"/>
              <w:jc w:val="center"/>
              <w:rPr>
                <w:rFonts w:hint="eastAsia" w:ascii="宋体" w:hAnsi="宋体" w:eastAsia="宋体" w:cs="宋体"/>
                <w:b w:val="0"/>
                <w:bCs/>
                <w:kern w:val="2"/>
                <w:sz w:val="24"/>
                <w:szCs w:val="24"/>
              </w:rPr>
            </w:pPr>
            <w:r>
              <w:rPr>
                <w:rFonts w:hint="eastAsia" w:ascii="宋体" w:hAnsi="宋体" w:eastAsia="宋体" w:cs="宋体"/>
                <w:b w:val="0"/>
                <w:bCs/>
                <w:kern w:val="2"/>
                <w:sz w:val="24"/>
                <w:szCs w:val="24"/>
              </w:rPr>
              <w:t>是否合格</w:t>
            </w:r>
          </w:p>
        </w:tc>
      </w:tr>
      <w:tr w14:paraId="3CCFA5D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8940" w:type="dxa"/>
            <w:gridSpan w:val="3"/>
            <w:noWrap w:val="0"/>
            <w:vAlign w:val="top"/>
          </w:tcPr>
          <w:p w14:paraId="72BC5BE0">
            <w:pPr>
              <w:pStyle w:val="41"/>
              <w:keepNext w:val="0"/>
              <w:keepLines w:val="0"/>
              <w:suppressLineNumbers w:val="0"/>
              <w:spacing w:before="2" w:beforeAutospacing="0" w:after="0" w:afterAutospacing="0" w:line="360" w:lineRule="auto"/>
              <w:ind w:left="107" w:right="0"/>
              <w:rPr>
                <w:rFonts w:hint="eastAsia" w:ascii="宋体" w:hAnsi="宋体" w:eastAsia="宋体" w:cs="宋体"/>
                <w:b/>
                <w:kern w:val="2"/>
                <w:sz w:val="24"/>
                <w:szCs w:val="24"/>
              </w:rPr>
            </w:pPr>
            <w:r>
              <w:rPr>
                <w:rFonts w:hint="eastAsia" w:ascii="宋体" w:hAnsi="宋体" w:eastAsia="宋体" w:cs="宋体"/>
                <w:b/>
                <w:kern w:val="2"/>
                <w:sz w:val="24"/>
                <w:szCs w:val="24"/>
              </w:rPr>
              <w:t>（二）特殊资格要求</w:t>
            </w:r>
          </w:p>
        </w:tc>
      </w:tr>
      <w:tr w14:paraId="4133D38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3427" w:type="dxa"/>
            <w:noWrap w:val="0"/>
            <w:vAlign w:val="top"/>
          </w:tcPr>
          <w:p w14:paraId="54F0B5A7">
            <w:pPr>
              <w:pStyle w:val="41"/>
              <w:keepNext w:val="0"/>
              <w:keepLines w:val="0"/>
              <w:suppressLineNumbers w:val="0"/>
              <w:spacing w:before="161" w:beforeAutospacing="0" w:after="0" w:afterAutospacing="0" w:line="360" w:lineRule="auto"/>
              <w:ind w:left="107" w:right="0"/>
              <w:jc w:val="center"/>
              <w:rPr>
                <w:rFonts w:hint="eastAsia" w:ascii="宋体" w:hAnsi="宋体" w:eastAsia="宋体" w:cs="宋体"/>
                <w:kern w:val="2"/>
                <w:sz w:val="24"/>
                <w:szCs w:val="24"/>
              </w:rPr>
            </w:pPr>
            <w:r>
              <w:rPr>
                <w:rFonts w:hint="eastAsia" w:ascii="宋体" w:hAnsi="宋体" w:eastAsia="宋体" w:cs="宋体"/>
                <w:kern w:val="2"/>
                <w:sz w:val="24"/>
                <w:szCs w:val="24"/>
              </w:rPr>
              <w:t>资质要求</w:t>
            </w:r>
          </w:p>
        </w:tc>
        <w:tc>
          <w:tcPr>
            <w:tcW w:w="3974" w:type="dxa"/>
            <w:noWrap w:val="0"/>
            <w:vAlign w:val="top"/>
          </w:tcPr>
          <w:p w14:paraId="7EA8B84B">
            <w:pPr>
              <w:pStyle w:val="41"/>
              <w:keepNext w:val="0"/>
              <w:keepLines w:val="0"/>
              <w:suppressLineNumbers w:val="0"/>
              <w:spacing w:before="8" w:beforeAutospacing="0" w:after="0" w:afterAutospacing="0" w:line="360" w:lineRule="auto"/>
              <w:ind w:left="106" w:right="37"/>
              <w:jc w:val="center"/>
              <w:rPr>
                <w:rFonts w:hint="eastAsia" w:ascii="宋体" w:hAnsi="宋体" w:eastAsia="宋体" w:cs="宋体"/>
                <w:kern w:val="2"/>
                <w:sz w:val="24"/>
                <w:szCs w:val="24"/>
                <w:lang w:eastAsia="zh-CN"/>
              </w:rPr>
            </w:pPr>
            <w:r>
              <w:rPr>
                <w:rFonts w:hint="eastAsia" w:ascii="Times New Roman" w:hAnsi="Times New Roman" w:cs="Times New Roman"/>
                <w:color w:val="auto"/>
                <w:kern w:val="0"/>
                <w:sz w:val="24"/>
                <w:szCs w:val="24"/>
                <w:highlight w:val="none"/>
                <w:lang w:eastAsia="zh-CN"/>
              </w:rPr>
              <w:t>无</w:t>
            </w:r>
          </w:p>
        </w:tc>
        <w:tc>
          <w:tcPr>
            <w:tcW w:w="1539" w:type="dxa"/>
            <w:noWrap w:val="0"/>
            <w:vAlign w:val="top"/>
          </w:tcPr>
          <w:p w14:paraId="6AD2C8C3">
            <w:pPr>
              <w:pStyle w:val="41"/>
              <w:keepNext w:val="0"/>
              <w:keepLines w:val="0"/>
              <w:suppressLineNumbers w:val="0"/>
              <w:spacing w:before="161" w:beforeAutospacing="0" w:after="0" w:afterAutospacing="0" w:line="360" w:lineRule="auto"/>
              <w:ind w:left="118" w:right="0"/>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r w14:paraId="62437F7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3427" w:type="dxa"/>
            <w:noWrap w:val="0"/>
            <w:vAlign w:val="top"/>
          </w:tcPr>
          <w:p w14:paraId="4F3A16AF">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单位负责人为同一人或者存在直接控股、管理关系的不同供应商， 不得同时参加本采购项目投标</w:t>
            </w:r>
          </w:p>
        </w:tc>
        <w:tc>
          <w:tcPr>
            <w:tcW w:w="3974" w:type="dxa"/>
            <w:noWrap w:val="0"/>
            <w:vAlign w:val="top"/>
          </w:tcPr>
          <w:p w14:paraId="5FE6A033">
            <w:pPr>
              <w:pStyle w:val="41"/>
              <w:keepNext w:val="0"/>
              <w:keepLines w:val="0"/>
              <w:suppressLineNumbers w:val="0"/>
              <w:spacing w:before="0" w:beforeAutospacing="0" w:after="0" w:afterAutospacing="0" w:line="360" w:lineRule="auto"/>
              <w:ind w:left="106" w:right="97"/>
              <w:jc w:val="center"/>
              <w:rPr>
                <w:rFonts w:hint="eastAsia" w:ascii="宋体" w:hAnsi="宋体" w:eastAsia="宋体" w:cs="宋体"/>
                <w:kern w:val="2"/>
                <w:sz w:val="24"/>
                <w:szCs w:val="24"/>
              </w:rPr>
            </w:pPr>
            <w:r>
              <w:rPr>
                <w:rFonts w:hint="eastAsia" w:ascii="宋体" w:hAnsi="宋体" w:eastAsia="宋体" w:cs="宋体"/>
                <w:spacing w:val="-4"/>
                <w:kern w:val="2"/>
                <w:sz w:val="24"/>
                <w:szCs w:val="24"/>
              </w:rPr>
              <w:t>关于单位负责人为同一人或者存在直接控股、管理关</w:t>
            </w:r>
            <w:r>
              <w:rPr>
                <w:rFonts w:hint="eastAsia" w:ascii="宋体" w:hAnsi="宋体" w:eastAsia="宋体" w:cs="宋体"/>
                <w:spacing w:val="-7"/>
                <w:kern w:val="2"/>
                <w:sz w:val="24"/>
                <w:szCs w:val="24"/>
              </w:rPr>
              <w:t>系的不同供应商，不得</w:t>
            </w:r>
            <w:r>
              <w:rPr>
                <w:rFonts w:hint="eastAsia" w:ascii="宋体" w:hAnsi="宋体" w:eastAsia="宋体" w:cs="宋体"/>
                <w:kern w:val="2"/>
                <w:sz w:val="24"/>
                <w:szCs w:val="24"/>
              </w:rPr>
              <w:t>同时参加</w:t>
            </w:r>
            <w:r>
              <w:rPr>
                <w:rFonts w:hint="eastAsia" w:ascii="宋体" w:hAnsi="宋体" w:eastAsia="宋体" w:cs="宋体"/>
                <w:spacing w:val="-7"/>
                <w:kern w:val="2"/>
                <w:sz w:val="24"/>
                <w:szCs w:val="24"/>
              </w:rPr>
              <w:t>本采购项目投标的承</w:t>
            </w:r>
            <w:r>
              <w:rPr>
                <w:rFonts w:hint="eastAsia" w:ascii="宋体" w:hAnsi="宋体" w:eastAsia="宋体" w:cs="宋体"/>
                <w:kern w:val="2"/>
                <w:sz w:val="24"/>
                <w:szCs w:val="24"/>
              </w:rPr>
              <w:t>诺函</w:t>
            </w:r>
          </w:p>
        </w:tc>
        <w:tc>
          <w:tcPr>
            <w:tcW w:w="1539" w:type="dxa"/>
            <w:noWrap w:val="0"/>
            <w:vAlign w:val="top"/>
          </w:tcPr>
          <w:p w14:paraId="2012E46F">
            <w:pPr>
              <w:pStyle w:val="41"/>
              <w:keepNext w:val="0"/>
              <w:keepLines w:val="0"/>
              <w:suppressLineNumbers w:val="0"/>
              <w:spacing w:before="0" w:beforeAutospacing="0" w:after="0" w:afterAutospacing="0" w:line="360" w:lineRule="auto"/>
              <w:ind w:left="0" w:right="0"/>
              <w:jc w:val="center"/>
              <w:rPr>
                <w:rFonts w:hint="eastAsia" w:ascii="宋体" w:hAnsi="宋体" w:eastAsia="宋体" w:cs="宋体"/>
                <w:b/>
                <w:kern w:val="2"/>
                <w:sz w:val="24"/>
                <w:szCs w:val="24"/>
              </w:rPr>
            </w:pPr>
          </w:p>
          <w:p w14:paraId="44D14A45">
            <w:pPr>
              <w:pStyle w:val="41"/>
              <w:keepNext w:val="0"/>
              <w:keepLines w:val="0"/>
              <w:suppressLineNumbers w:val="0"/>
              <w:spacing w:before="10" w:beforeAutospacing="0" w:after="0" w:afterAutospacing="0" w:line="360" w:lineRule="auto"/>
              <w:ind w:left="0" w:right="0"/>
              <w:jc w:val="center"/>
              <w:rPr>
                <w:rFonts w:hint="eastAsia" w:ascii="宋体" w:hAnsi="宋体" w:eastAsia="宋体" w:cs="宋体"/>
                <w:b/>
                <w:kern w:val="2"/>
                <w:sz w:val="24"/>
                <w:szCs w:val="24"/>
              </w:rPr>
            </w:pPr>
          </w:p>
          <w:p w14:paraId="40BBBF2C">
            <w:pPr>
              <w:pStyle w:val="41"/>
              <w:keepNext w:val="0"/>
              <w:keepLines w:val="0"/>
              <w:suppressLineNumbers w:val="0"/>
              <w:spacing w:before="0" w:beforeAutospacing="0" w:after="0" w:afterAutospacing="0" w:line="360" w:lineRule="auto"/>
              <w:ind w:left="118" w:right="0"/>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r w14:paraId="396B7E3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27" w:type="dxa"/>
            <w:noWrap w:val="0"/>
            <w:vAlign w:val="top"/>
          </w:tcPr>
          <w:p w14:paraId="77AA61B1">
            <w:pPr>
              <w:pStyle w:val="41"/>
              <w:keepNext w:val="0"/>
              <w:keepLines w:val="0"/>
              <w:suppressLineNumbers w:val="0"/>
              <w:spacing w:before="0" w:beforeAutospacing="0" w:after="0" w:afterAutospacing="0" w:line="360" w:lineRule="auto"/>
              <w:ind w:left="107" w:right="0"/>
              <w:jc w:val="center"/>
              <w:rPr>
                <w:rFonts w:hint="eastAsia" w:ascii="宋体" w:hAnsi="宋体" w:eastAsia="宋体" w:cs="宋体"/>
                <w:kern w:val="2"/>
                <w:sz w:val="24"/>
                <w:szCs w:val="24"/>
              </w:rPr>
            </w:pPr>
            <w:r>
              <w:rPr>
                <w:rFonts w:hint="eastAsia" w:ascii="宋体" w:hAnsi="宋体" w:eastAsia="宋体" w:cs="宋体"/>
                <w:kern w:val="2"/>
                <w:sz w:val="24"/>
                <w:szCs w:val="24"/>
              </w:rPr>
              <w:t>本项目不接受联合体投标</w:t>
            </w:r>
          </w:p>
        </w:tc>
        <w:tc>
          <w:tcPr>
            <w:tcW w:w="3974" w:type="dxa"/>
            <w:noWrap w:val="0"/>
            <w:vAlign w:val="top"/>
          </w:tcPr>
          <w:p w14:paraId="325031E1">
            <w:pPr>
              <w:pStyle w:val="41"/>
              <w:keepNext w:val="0"/>
              <w:keepLines w:val="0"/>
              <w:suppressLineNumbers w:val="0"/>
              <w:spacing w:before="0" w:beforeAutospacing="0" w:after="0" w:afterAutospacing="0" w:line="360" w:lineRule="auto"/>
              <w:ind w:left="106" w:right="0"/>
              <w:jc w:val="center"/>
              <w:rPr>
                <w:rFonts w:hint="eastAsia" w:ascii="宋体" w:hAnsi="宋体" w:eastAsia="宋体" w:cs="宋体"/>
                <w:kern w:val="2"/>
                <w:sz w:val="24"/>
                <w:szCs w:val="24"/>
              </w:rPr>
            </w:pPr>
            <w:r>
              <w:rPr>
                <w:rFonts w:hint="eastAsia" w:ascii="宋体" w:hAnsi="宋体" w:eastAsia="宋体" w:cs="宋体"/>
                <w:kern w:val="2"/>
                <w:sz w:val="24"/>
                <w:szCs w:val="24"/>
              </w:rPr>
              <w:t>本项目非联合体投标承诺函</w:t>
            </w:r>
          </w:p>
        </w:tc>
        <w:tc>
          <w:tcPr>
            <w:tcW w:w="1539" w:type="dxa"/>
            <w:noWrap w:val="0"/>
            <w:vAlign w:val="top"/>
          </w:tcPr>
          <w:p w14:paraId="277BB42C">
            <w:pPr>
              <w:pStyle w:val="41"/>
              <w:keepNext w:val="0"/>
              <w:keepLines w:val="0"/>
              <w:suppressLineNumbers w:val="0"/>
              <w:spacing w:before="0" w:beforeAutospacing="0" w:after="0" w:afterAutospacing="0" w:line="360" w:lineRule="auto"/>
              <w:ind w:left="118" w:right="0"/>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bl>
    <w:p w14:paraId="465089A0">
      <w:pPr>
        <w:numPr>
          <w:ilvl w:val="1"/>
          <w:numId w:val="9"/>
        </w:numPr>
        <w:tabs>
          <w:tab w:val="left" w:pos="643"/>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依据竞争性磋商文件的规定，从响应文件的有效性、完整性和对竞争性磋商文件的响应程度进行审查、以确定是否对竞争性磋商文件的实质性要求作出响应。</w:t>
      </w:r>
    </w:p>
    <w:p w14:paraId="1B24F0CF">
      <w:pPr>
        <w:rPr>
          <w:rFonts w:hint="eastAsia" w:ascii="宋体" w:hAnsi="宋体" w:eastAsia="宋体" w:cs="宋体"/>
          <w:sz w:val="24"/>
          <w:szCs w:val="24"/>
        </w:rPr>
      </w:pPr>
      <w:r>
        <w:rPr>
          <w:rFonts w:hint="eastAsia" w:ascii="宋体" w:hAnsi="宋体" w:eastAsia="宋体" w:cs="宋体"/>
          <w:sz w:val="24"/>
          <w:szCs w:val="24"/>
        </w:rPr>
        <w:br w:type="page"/>
      </w:r>
    </w:p>
    <w:p w14:paraId="45293DE1">
      <w:pPr>
        <w:pStyle w:val="40"/>
        <w:numPr>
          <w:ilvl w:val="0"/>
          <w:numId w:val="0"/>
        </w:numPr>
        <w:tabs>
          <w:tab w:val="left" w:pos="1000"/>
        </w:tabs>
        <w:spacing w:line="640" w:lineRule="exact"/>
        <w:jc w:val="left"/>
        <w:rPr>
          <w:rFonts w:hint="eastAsia" w:ascii="宋体" w:hAnsi="宋体" w:eastAsia="宋体" w:cs="宋体"/>
          <w:sz w:val="24"/>
          <w:szCs w:val="24"/>
        </w:rPr>
      </w:pPr>
      <w:r>
        <w:rPr>
          <w:rFonts w:hint="eastAsia" w:ascii="宋体" w:hAnsi="宋体" w:eastAsia="宋体" w:cs="宋体"/>
          <w:sz w:val="24"/>
          <w:szCs w:val="24"/>
        </w:rPr>
        <w:t>磋商前由磋商小组对资质合格的供应商进行符合性审查，审查内容如下：</w:t>
      </w:r>
    </w:p>
    <w:p w14:paraId="2A3850BD">
      <w:pPr>
        <w:pStyle w:val="14"/>
        <w:spacing w:before="12"/>
        <w:rPr>
          <w:rFonts w:hint="eastAsia" w:ascii="宋体" w:hAnsi="宋体" w:eastAsia="宋体" w:cs="宋体"/>
          <w:sz w:val="24"/>
          <w:szCs w:val="24"/>
        </w:rPr>
      </w:pPr>
    </w:p>
    <w:tbl>
      <w:tblPr>
        <w:tblStyle w:val="23"/>
        <w:tblW w:w="9144" w:type="dxa"/>
        <w:tblInd w:w="-3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915"/>
        <w:gridCol w:w="1209"/>
      </w:tblGrid>
      <w:tr w14:paraId="615E2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020" w:type="dxa"/>
            <w:noWrap w:val="0"/>
            <w:vAlign w:val="top"/>
          </w:tcPr>
          <w:p w14:paraId="046B7201">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序号</w:t>
            </w:r>
          </w:p>
        </w:tc>
        <w:tc>
          <w:tcPr>
            <w:tcW w:w="6915" w:type="dxa"/>
            <w:noWrap w:val="0"/>
            <w:vAlign w:val="top"/>
          </w:tcPr>
          <w:p w14:paraId="7A7935A4">
            <w:pPr>
              <w:pStyle w:val="41"/>
              <w:keepNext w:val="0"/>
              <w:keepLines w:val="0"/>
              <w:suppressLineNumbers w:val="0"/>
              <w:spacing w:before="1" w:beforeAutospacing="0" w:after="0" w:afterAutospacing="0" w:line="360" w:lineRule="auto"/>
              <w:ind w:left="107" w:right="116"/>
              <w:jc w:val="left"/>
              <w:rPr>
                <w:rFonts w:hint="eastAsia" w:ascii="宋体" w:hAnsi="宋体" w:eastAsia="宋体" w:cs="宋体"/>
                <w:kern w:val="2"/>
                <w:sz w:val="24"/>
                <w:szCs w:val="24"/>
              </w:rPr>
            </w:pPr>
            <w:r>
              <w:rPr>
                <w:rFonts w:hint="eastAsia" w:ascii="宋体" w:hAnsi="宋体" w:eastAsia="宋体" w:cs="宋体"/>
                <w:kern w:val="2"/>
                <w:sz w:val="24"/>
                <w:szCs w:val="24"/>
              </w:rPr>
              <w:t>审查内容</w:t>
            </w:r>
          </w:p>
        </w:tc>
        <w:tc>
          <w:tcPr>
            <w:tcW w:w="1209" w:type="dxa"/>
            <w:noWrap w:val="0"/>
            <w:vAlign w:val="top"/>
          </w:tcPr>
          <w:p w14:paraId="2B967AF1">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审查说明</w:t>
            </w:r>
          </w:p>
        </w:tc>
      </w:tr>
      <w:tr w14:paraId="75A32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20" w:type="dxa"/>
            <w:noWrap w:val="0"/>
            <w:vAlign w:val="top"/>
          </w:tcPr>
          <w:p w14:paraId="637A8188">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6915" w:type="dxa"/>
            <w:noWrap w:val="0"/>
            <w:vAlign w:val="top"/>
          </w:tcPr>
          <w:p w14:paraId="4B3B81CE">
            <w:pPr>
              <w:pStyle w:val="41"/>
              <w:keepNext w:val="0"/>
              <w:keepLines w:val="0"/>
              <w:suppressLineNumbers w:val="0"/>
              <w:spacing w:before="1" w:beforeAutospacing="0" w:after="0" w:afterAutospacing="0" w:line="360" w:lineRule="auto"/>
              <w:ind w:left="107" w:right="116"/>
              <w:jc w:val="left"/>
              <w:rPr>
                <w:rFonts w:hint="eastAsia" w:ascii="宋体" w:hAnsi="宋体" w:eastAsia="宋体" w:cs="宋体"/>
                <w:kern w:val="2"/>
                <w:sz w:val="24"/>
                <w:szCs w:val="24"/>
              </w:rPr>
            </w:pPr>
            <w:r>
              <w:rPr>
                <w:rFonts w:hint="eastAsia" w:ascii="宋体" w:hAnsi="宋体" w:eastAsia="宋体" w:cs="宋体"/>
                <w:kern w:val="2"/>
                <w:sz w:val="24"/>
                <w:szCs w:val="24"/>
              </w:rPr>
              <w:t>磋商有效期满足磋商文件要求（</w:t>
            </w:r>
            <w:r>
              <w:rPr>
                <w:rFonts w:hint="eastAsia" w:cs="宋体"/>
                <w:kern w:val="2"/>
                <w:sz w:val="24"/>
                <w:szCs w:val="24"/>
                <w:lang w:val="en-US" w:eastAsia="zh-CN"/>
              </w:rPr>
              <w:t>6</w:t>
            </w:r>
            <w:r>
              <w:rPr>
                <w:rFonts w:hint="eastAsia" w:ascii="宋体" w:hAnsi="宋体" w:eastAsia="宋体" w:cs="宋体"/>
                <w:kern w:val="2"/>
                <w:sz w:val="24"/>
                <w:szCs w:val="24"/>
              </w:rPr>
              <w:t>0 天）</w:t>
            </w:r>
          </w:p>
        </w:tc>
        <w:tc>
          <w:tcPr>
            <w:tcW w:w="1209" w:type="dxa"/>
            <w:noWrap w:val="0"/>
            <w:vAlign w:val="top"/>
          </w:tcPr>
          <w:p w14:paraId="787E8CFB">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r w14:paraId="5792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20" w:type="dxa"/>
            <w:noWrap w:val="0"/>
            <w:vAlign w:val="top"/>
          </w:tcPr>
          <w:p w14:paraId="32C5B1C5">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（2）</w:t>
            </w:r>
          </w:p>
        </w:tc>
        <w:tc>
          <w:tcPr>
            <w:tcW w:w="6915" w:type="dxa"/>
            <w:noWrap w:val="0"/>
            <w:vAlign w:val="top"/>
          </w:tcPr>
          <w:p w14:paraId="458BB4C7">
            <w:pPr>
              <w:pStyle w:val="41"/>
              <w:keepNext w:val="0"/>
              <w:keepLines w:val="0"/>
              <w:suppressLineNumbers w:val="0"/>
              <w:spacing w:before="1" w:beforeAutospacing="0" w:after="0" w:afterAutospacing="0" w:line="360" w:lineRule="auto"/>
              <w:ind w:left="107" w:right="116"/>
              <w:jc w:val="both"/>
              <w:rPr>
                <w:rFonts w:hint="eastAsia" w:ascii="宋体" w:hAnsi="宋体" w:eastAsia="宋体" w:cs="宋体"/>
                <w:kern w:val="2"/>
                <w:sz w:val="24"/>
                <w:szCs w:val="24"/>
              </w:rPr>
            </w:pPr>
            <w:r>
              <w:rPr>
                <w:rFonts w:hint="eastAsia" w:ascii="宋体" w:hAnsi="宋体" w:eastAsia="宋体" w:cs="宋体"/>
                <w:kern w:val="2"/>
                <w:sz w:val="24"/>
                <w:szCs w:val="24"/>
              </w:rPr>
              <w:t>磋商函（按磋商文件对应格式填写、签署、盖章）</w:t>
            </w:r>
          </w:p>
        </w:tc>
        <w:tc>
          <w:tcPr>
            <w:tcW w:w="1209" w:type="dxa"/>
            <w:noWrap w:val="0"/>
            <w:vAlign w:val="top"/>
          </w:tcPr>
          <w:p w14:paraId="731BBE23">
            <w:pPr>
              <w:pStyle w:val="41"/>
              <w:keepNext w:val="0"/>
              <w:keepLines w:val="0"/>
              <w:suppressLineNumbers w:val="0"/>
              <w:spacing w:before="1" w:beforeAutospacing="0" w:after="0" w:afterAutospacing="0" w:line="360" w:lineRule="auto"/>
              <w:ind w:left="0" w:right="116"/>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r w14:paraId="2D909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20" w:type="dxa"/>
            <w:noWrap w:val="0"/>
            <w:vAlign w:val="top"/>
          </w:tcPr>
          <w:p w14:paraId="31E1E327">
            <w:pPr>
              <w:pStyle w:val="41"/>
              <w:keepNext w:val="0"/>
              <w:keepLines w:val="0"/>
              <w:suppressLineNumbers w:val="0"/>
              <w:spacing w:before="1" w:beforeAutospacing="0" w:after="0" w:afterAutospacing="0" w:line="360" w:lineRule="auto"/>
              <w:ind w:left="107" w:right="116"/>
              <w:jc w:val="center"/>
              <w:rPr>
                <w:rFonts w:hint="eastAsia" w:ascii="宋体" w:hAnsi="宋体" w:eastAsia="宋体" w:cs="宋体"/>
                <w:kern w:val="2"/>
                <w:sz w:val="24"/>
                <w:szCs w:val="24"/>
              </w:rPr>
            </w:pPr>
            <w:r>
              <w:rPr>
                <w:rFonts w:hint="eastAsia" w:ascii="宋体" w:hAnsi="宋体" w:eastAsia="宋体" w:cs="宋体"/>
                <w:kern w:val="2"/>
                <w:sz w:val="24"/>
                <w:szCs w:val="24"/>
              </w:rPr>
              <w:t>（3）</w:t>
            </w:r>
          </w:p>
        </w:tc>
        <w:tc>
          <w:tcPr>
            <w:tcW w:w="6915" w:type="dxa"/>
            <w:noWrap w:val="0"/>
            <w:vAlign w:val="top"/>
          </w:tcPr>
          <w:p w14:paraId="1D300005">
            <w:pPr>
              <w:pStyle w:val="41"/>
              <w:keepNext w:val="0"/>
              <w:keepLines w:val="0"/>
              <w:suppressLineNumbers w:val="0"/>
              <w:spacing w:before="1" w:beforeAutospacing="0" w:after="0" w:afterAutospacing="0" w:line="360" w:lineRule="auto"/>
              <w:ind w:left="107" w:right="116"/>
              <w:jc w:val="both"/>
              <w:rPr>
                <w:rFonts w:hint="eastAsia" w:ascii="宋体" w:hAnsi="宋体" w:eastAsia="宋体" w:cs="宋体"/>
                <w:kern w:val="2"/>
                <w:sz w:val="24"/>
                <w:szCs w:val="24"/>
              </w:rPr>
            </w:pPr>
            <w:r>
              <w:rPr>
                <w:rFonts w:hint="eastAsia" w:ascii="宋体" w:hAnsi="宋体" w:eastAsia="宋体" w:cs="宋体"/>
                <w:kern w:val="2"/>
                <w:sz w:val="24"/>
                <w:szCs w:val="24"/>
              </w:rPr>
              <w:t>没有出现磋商文件中规定的投标无效情况及其他未实质性响应磋商文件的情况.</w:t>
            </w:r>
          </w:p>
        </w:tc>
        <w:tc>
          <w:tcPr>
            <w:tcW w:w="1209" w:type="dxa"/>
            <w:noWrap w:val="0"/>
            <w:vAlign w:val="top"/>
          </w:tcPr>
          <w:p w14:paraId="54386138">
            <w:pPr>
              <w:pStyle w:val="41"/>
              <w:keepNext w:val="0"/>
              <w:keepLines w:val="0"/>
              <w:suppressLineNumbers w:val="0"/>
              <w:spacing w:before="1" w:beforeAutospacing="0" w:after="0" w:afterAutospacing="0" w:line="360" w:lineRule="auto"/>
              <w:ind w:left="0" w:right="116"/>
              <w:jc w:val="center"/>
              <w:rPr>
                <w:rFonts w:hint="eastAsia" w:ascii="宋体" w:hAnsi="宋体" w:eastAsia="宋体" w:cs="宋体"/>
                <w:kern w:val="2"/>
                <w:sz w:val="24"/>
                <w:szCs w:val="24"/>
              </w:rPr>
            </w:pPr>
            <w:r>
              <w:rPr>
                <w:rFonts w:hint="eastAsia" w:ascii="宋体" w:hAnsi="宋体" w:eastAsia="宋体" w:cs="宋体"/>
                <w:kern w:val="2"/>
                <w:sz w:val="24"/>
                <w:szCs w:val="24"/>
              </w:rPr>
              <w:t>是否合格</w:t>
            </w:r>
          </w:p>
        </w:tc>
      </w:tr>
    </w:tbl>
    <w:p w14:paraId="74EE3465">
      <w:pPr>
        <w:numPr>
          <w:ilvl w:val="1"/>
          <w:numId w:val="9"/>
        </w:numPr>
        <w:tabs>
          <w:tab w:val="left" w:pos="643"/>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w:t>
      </w:r>
      <w:r>
        <w:rPr>
          <w:rFonts w:hint="eastAsia" w:ascii="宋体" w:hAnsi="宋体" w:eastAsia="宋体" w:cs="宋体"/>
          <w:spacing w:val="-3"/>
          <w:sz w:val="24"/>
          <w:szCs w:val="24"/>
        </w:rPr>
        <w:t>性审查合格的供应商方能进行磋商，按磋商顺序由磋商小组与供应商逐一进行磋</w:t>
      </w:r>
      <w:r>
        <w:rPr>
          <w:rFonts w:hint="eastAsia" w:ascii="宋体" w:hAnsi="宋体" w:eastAsia="宋体" w:cs="宋体"/>
          <w:spacing w:val="-9"/>
          <w:sz w:val="24"/>
          <w:szCs w:val="24"/>
        </w:rPr>
        <w:t>商，供应商必须由法定代表人或法定代表人委托人参加磋商并解答磋商小组提出的问题。具体</w:t>
      </w:r>
      <w:r>
        <w:rPr>
          <w:rFonts w:hint="eastAsia" w:ascii="宋体" w:hAnsi="宋体" w:eastAsia="宋体" w:cs="宋体"/>
          <w:sz w:val="24"/>
          <w:szCs w:val="24"/>
        </w:rPr>
        <w:t>磋商内容如下</w:t>
      </w:r>
      <w:r>
        <w:rPr>
          <w:rFonts w:hint="eastAsia" w:ascii="宋体" w:hAnsi="宋体" w:eastAsia="宋体" w:cs="宋体"/>
          <w:sz w:val="24"/>
          <w:szCs w:val="24"/>
          <w:lang w:eastAsia="zh-CN"/>
        </w:rPr>
        <w:t>：</w:t>
      </w:r>
    </w:p>
    <w:p w14:paraId="2047529A">
      <w:pPr>
        <w:pStyle w:val="40"/>
        <w:numPr>
          <w:ilvl w:val="0"/>
          <w:numId w:val="10"/>
        </w:numPr>
        <w:tabs>
          <w:tab w:val="left" w:pos="1301"/>
        </w:tabs>
        <w:spacing w:before="71" w:line="360" w:lineRule="auto"/>
        <w:rPr>
          <w:rFonts w:hint="eastAsia" w:ascii="宋体" w:hAnsi="宋体" w:eastAsia="宋体" w:cs="宋体"/>
          <w:sz w:val="24"/>
          <w:szCs w:val="24"/>
        </w:rPr>
      </w:pPr>
      <w:r>
        <w:rPr>
          <w:rFonts w:hint="eastAsia" w:ascii="宋体" w:hAnsi="宋体" w:eastAsia="宋体" w:cs="宋体"/>
          <w:sz w:val="24"/>
          <w:szCs w:val="24"/>
        </w:rPr>
        <w:t>服务承诺；</w:t>
      </w:r>
    </w:p>
    <w:p w14:paraId="33F8700C">
      <w:pPr>
        <w:pStyle w:val="40"/>
        <w:numPr>
          <w:ilvl w:val="0"/>
          <w:numId w:val="10"/>
        </w:numPr>
        <w:tabs>
          <w:tab w:val="left" w:pos="1301"/>
        </w:tabs>
        <w:spacing w:line="360" w:lineRule="auto"/>
        <w:rPr>
          <w:rFonts w:hint="eastAsia" w:ascii="宋体" w:hAnsi="宋体" w:eastAsia="宋体" w:cs="宋体"/>
          <w:sz w:val="24"/>
          <w:szCs w:val="24"/>
        </w:rPr>
      </w:pPr>
      <w:r>
        <w:rPr>
          <w:rFonts w:hint="eastAsia" w:ascii="宋体" w:hAnsi="宋体" w:eastAsia="宋体" w:cs="宋体"/>
          <w:sz w:val="24"/>
          <w:szCs w:val="24"/>
        </w:rPr>
        <w:t>技术、商务偏离说明；</w:t>
      </w:r>
    </w:p>
    <w:p w14:paraId="0C5853BD">
      <w:pPr>
        <w:pStyle w:val="40"/>
        <w:numPr>
          <w:ilvl w:val="0"/>
          <w:numId w:val="10"/>
        </w:numPr>
        <w:tabs>
          <w:tab w:val="left" w:pos="1301"/>
        </w:tabs>
        <w:spacing w:line="360" w:lineRule="auto"/>
        <w:rPr>
          <w:rFonts w:hint="eastAsia" w:ascii="宋体" w:hAnsi="宋体" w:eastAsia="宋体" w:cs="宋体"/>
          <w:lang w:val="en-US" w:eastAsia="zh-CN"/>
        </w:rPr>
      </w:pPr>
      <w:r>
        <w:rPr>
          <w:rFonts w:hint="eastAsia" w:ascii="宋体" w:hAnsi="宋体" w:eastAsia="宋体" w:cs="宋体"/>
          <w:sz w:val="24"/>
        </w:rPr>
        <w:t>价格；</w:t>
      </w:r>
    </w:p>
    <w:p w14:paraId="6A1B328D">
      <w:pPr>
        <w:pStyle w:val="40"/>
        <w:numPr>
          <w:ilvl w:val="0"/>
          <w:numId w:val="10"/>
        </w:numPr>
        <w:tabs>
          <w:tab w:val="left" w:pos="1301"/>
        </w:tabs>
        <w:spacing w:line="360" w:lineRule="auto"/>
        <w:rPr>
          <w:rFonts w:hint="eastAsia" w:ascii="宋体" w:hAnsi="宋体" w:eastAsia="宋体" w:cs="宋体"/>
          <w:lang w:val="en-US" w:eastAsia="zh-CN"/>
        </w:rPr>
      </w:pPr>
      <w:r>
        <w:rPr>
          <w:rFonts w:hint="eastAsia" w:ascii="宋体" w:hAnsi="宋体" w:eastAsia="宋体" w:cs="宋体"/>
          <w:spacing w:val="-3"/>
          <w:sz w:val="24"/>
        </w:rPr>
        <w:t>其他优惠条件。</w:t>
      </w:r>
    </w:p>
    <w:p w14:paraId="6CE6774C">
      <w:pPr>
        <w:pStyle w:val="40"/>
        <w:numPr>
          <w:ilvl w:val="0"/>
          <w:numId w:val="0"/>
        </w:numPr>
        <w:tabs>
          <w:tab w:val="left" w:pos="1301"/>
        </w:tabs>
        <w:spacing w:line="480" w:lineRule="auto"/>
        <w:rPr>
          <w:rFonts w:hint="eastAsia" w:ascii="宋体" w:hAnsi="宋体" w:eastAsia="宋体" w:cs="宋体"/>
          <w:spacing w:val="-3"/>
          <w:sz w:val="24"/>
        </w:rPr>
      </w:pPr>
    </w:p>
    <w:p w14:paraId="22FD5F24">
      <w:pPr>
        <w:rPr>
          <w:rFonts w:hint="eastAsia" w:ascii="宋体" w:hAnsi="宋体" w:eastAsia="宋体" w:cs="宋体"/>
          <w:lang w:val="zh-CN" w:eastAsia="zh-CN"/>
        </w:rPr>
      </w:pPr>
      <w:r>
        <w:rPr>
          <w:rFonts w:hint="eastAsia" w:ascii="宋体" w:hAnsi="宋体" w:eastAsia="宋体" w:cs="宋体"/>
          <w:lang w:val="zh-CN" w:eastAsia="zh-CN"/>
        </w:rPr>
        <w:br w:type="page"/>
      </w:r>
    </w:p>
    <w:p w14:paraId="58712CF6">
      <w:pPr>
        <w:pStyle w:val="7"/>
        <w:spacing w:before="0" w:line="360" w:lineRule="auto"/>
        <w:ind w:right="245"/>
        <w:outlineLvl w:val="1"/>
        <w:rPr>
          <w:rFonts w:hint="eastAsia" w:ascii="宋体" w:hAnsi="宋体" w:eastAsia="宋体" w:cs="宋体"/>
          <w:highlight w:val="none"/>
          <w:lang w:val="zh-CN" w:eastAsia="zh-CN"/>
        </w:rPr>
      </w:pPr>
      <w:r>
        <w:rPr>
          <w:rFonts w:hint="eastAsia" w:cs="宋体"/>
          <w:highlight w:val="none"/>
          <w:lang w:val="en-US" w:eastAsia="zh-CN"/>
        </w:rPr>
        <w:t>四</w:t>
      </w:r>
      <w:r>
        <w:rPr>
          <w:rFonts w:hint="eastAsia" w:ascii="宋体" w:hAnsi="宋体" w:eastAsia="宋体" w:cs="宋体"/>
          <w:highlight w:val="none"/>
          <w:lang w:val="zh-CN" w:eastAsia="zh-CN"/>
        </w:rPr>
        <w:t>、评分</w:t>
      </w:r>
      <w:r>
        <w:rPr>
          <w:rFonts w:hint="eastAsia" w:cs="宋体"/>
          <w:highlight w:val="none"/>
          <w:lang w:val="en-US" w:eastAsia="zh-CN"/>
        </w:rPr>
        <w:t>办法</w:t>
      </w:r>
    </w:p>
    <w:p w14:paraId="6BEA55DC">
      <w:pPr>
        <w:pStyle w:val="14"/>
        <w:spacing w:before="158" w:line="360" w:lineRule="auto"/>
        <w:ind w:left="220" w:right="897"/>
        <w:rPr>
          <w:rFonts w:hint="eastAsia" w:ascii="宋体" w:hAnsi="宋体" w:eastAsia="宋体" w:cs="宋体"/>
          <w:highlight w:val="none"/>
        </w:rPr>
      </w:pPr>
      <w:r>
        <w:rPr>
          <w:rFonts w:hint="eastAsia" w:cs="宋体"/>
          <w:spacing w:val="-4"/>
          <w:sz w:val="24"/>
          <w:highlight w:val="none"/>
          <w:lang w:val="en-US" w:eastAsia="zh-CN"/>
        </w:rPr>
        <w:t>本项目采用综合评分法</w:t>
      </w:r>
      <w:r>
        <w:rPr>
          <w:rFonts w:hint="eastAsia" w:ascii="宋体" w:hAnsi="宋体" w:eastAsia="宋体" w:cs="宋体"/>
          <w:highlight w:val="none"/>
        </w:rPr>
        <w:t>。</w:t>
      </w:r>
    </w:p>
    <w:p w14:paraId="0D25B1F5">
      <w:pPr>
        <w:pStyle w:val="22"/>
        <w:rPr>
          <w:rFonts w:hint="eastAsia"/>
          <w:highlight w:val="none"/>
          <w:lang w:val="en-US" w:eastAsia="zh-CN"/>
        </w:rPr>
      </w:pPr>
    </w:p>
    <w:p w14:paraId="1D260D46">
      <w:pPr>
        <w:pStyle w:val="7"/>
        <w:spacing w:before="0" w:line="360" w:lineRule="auto"/>
        <w:ind w:right="245"/>
        <w:outlineLvl w:val="1"/>
        <w:rPr>
          <w:rFonts w:hint="eastAsia" w:cs="宋体"/>
          <w:highlight w:val="none"/>
          <w:lang w:val="en-US" w:eastAsia="zh-CN"/>
        </w:rPr>
      </w:pPr>
      <w:bookmarkStart w:id="19" w:name="用户需求书"/>
      <w:bookmarkEnd w:id="19"/>
      <w:bookmarkStart w:id="20" w:name="_bookmark7"/>
      <w:bookmarkEnd w:id="20"/>
      <w:r>
        <w:rPr>
          <w:rFonts w:hint="eastAsia" w:cs="宋体"/>
          <w:highlight w:val="none"/>
          <w:lang w:val="en-US" w:eastAsia="zh-CN"/>
        </w:rPr>
        <w:t>五、用户需求书</w:t>
      </w:r>
    </w:p>
    <w:p w14:paraId="6F50EAA9">
      <w:pPr>
        <w:pStyle w:val="39"/>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281" w:firstLineChars="100"/>
        <w:jc w:val="center"/>
        <w:textAlignment w:val="auto"/>
        <w:rPr>
          <w:rFonts w:hint="eastAsia" w:ascii="宋体" w:hAnsi="宋体" w:eastAsia="宋体" w:cs="宋体"/>
          <w:b w:val="0"/>
          <w:kern w:val="2"/>
          <w:sz w:val="24"/>
          <w:szCs w:val="24"/>
          <w:lang w:val="en-US" w:eastAsia="zh-CN" w:bidi="ar-SA"/>
        </w:rPr>
      </w:pPr>
      <w:bookmarkStart w:id="21" w:name="_Toc406672387"/>
      <w:bookmarkStart w:id="22" w:name="_Toc406671682"/>
      <w:bookmarkStart w:id="23" w:name="_Toc406671094"/>
      <w:bookmarkStart w:id="24" w:name="_Toc406670723"/>
      <w:r>
        <w:rPr>
          <w:rFonts w:hint="eastAsia" w:ascii="宋体" w:hAnsi="宋体" w:eastAsia="宋体" w:cs="宋体"/>
          <w:bCs/>
          <w:kern w:val="0"/>
          <w:sz w:val="28"/>
          <w:szCs w:val="32"/>
          <w:lang w:val="en-US" w:eastAsia="zh-CN" w:bidi="ar-SA"/>
        </w:rPr>
        <w:t>第一节 采购需求及技术参数</w:t>
      </w:r>
    </w:p>
    <w:p w14:paraId="40BD23CD">
      <w:pPr>
        <w:pageBreakBefore w:val="0"/>
        <w:kinsoku/>
        <w:wordWrap/>
        <w:overflowPunct/>
        <w:topLinePunct w:val="0"/>
        <w:autoSpaceDE/>
        <w:autoSpaceDN/>
        <w:bidi w:val="0"/>
        <w:spacing w:line="560" w:lineRule="exact"/>
        <w:ind w:firstLine="0" w:firstLineChars="0"/>
        <w:jc w:val="center"/>
        <w:textAlignment w:val="auto"/>
        <w:rPr>
          <w:rFonts w:hint="default" w:ascii="Times New Roman" w:hAnsi="Times New Roman" w:eastAsia="方正小标宋简体" w:cs="Times New Roman"/>
          <w:b/>
          <w:bCs/>
          <w:sz w:val="28"/>
          <w:szCs w:val="28"/>
        </w:rPr>
      </w:pPr>
      <w:r>
        <w:rPr>
          <w:rFonts w:hint="default" w:ascii="Times New Roman" w:hAnsi="Times New Roman" w:eastAsia="方正小标宋简体" w:cs="Times New Roman"/>
          <w:b/>
          <w:bCs/>
          <w:sz w:val="28"/>
          <w:szCs w:val="28"/>
        </w:rPr>
        <w:t>贵州省平塘县旅游名县创建规划</w:t>
      </w:r>
    </w:p>
    <w:p w14:paraId="06D6AA3F">
      <w:pPr>
        <w:pageBreakBefore w:val="0"/>
        <w:kinsoku/>
        <w:wordWrap/>
        <w:overflowPunct/>
        <w:topLinePunct w:val="0"/>
        <w:autoSpaceDE/>
        <w:autoSpaceDN/>
        <w:bidi w:val="0"/>
        <w:spacing w:line="560" w:lineRule="exact"/>
        <w:ind w:firstLine="0" w:firstLineChars="0"/>
        <w:jc w:val="center"/>
        <w:textAlignment w:val="auto"/>
        <w:rPr>
          <w:rFonts w:hint="default" w:ascii="Times New Roman" w:hAnsi="Times New Roman" w:eastAsia="方正小标宋简体" w:cs="Times New Roman"/>
          <w:b/>
          <w:bCs/>
          <w:sz w:val="28"/>
          <w:szCs w:val="28"/>
        </w:rPr>
      </w:pPr>
      <w:r>
        <w:rPr>
          <w:rFonts w:hint="default" w:ascii="Times New Roman" w:hAnsi="Times New Roman" w:eastAsia="方正小标宋简体" w:cs="Times New Roman"/>
          <w:b/>
          <w:bCs/>
          <w:sz w:val="28"/>
          <w:szCs w:val="28"/>
        </w:rPr>
        <w:t>工作任务书</w:t>
      </w:r>
    </w:p>
    <w:p w14:paraId="783A3221">
      <w:pPr>
        <w:pageBreakBefore w:val="0"/>
        <w:kinsoku/>
        <w:wordWrap/>
        <w:overflowPunct/>
        <w:topLinePunct w:val="0"/>
        <w:autoSpaceDE/>
        <w:autoSpaceDN/>
        <w:bidi w:val="0"/>
        <w:spacing w:line="560" w:lineRule="exact"/>
        <w:ind w:firstLine="560"/>
        <w:textAlignment w:val="auto"/>
        <w:rPr>
          <w:rFonts w:hint="default" w:ascii="Times New Roman" w:hAnsi="Times New Roman" w:cs="Times New Roman"/>
          <w:sz w:val="28"/>
          <w:szCs w:val="28"/>
        </w:rPr>
      </w:pPr>
    </w:p>
    <w:p w14:paraId="043A6332">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333333"/>
          <w:sz w:val="28"/>
          <w:szCs w:val="28"/>
          <w:shd w:val="clear" w:color="auto" w:fill="FFFFFF"/>
        </w:rPr>
      </w:pPr>
      <w:r>
        <w:rPr>
          <w:rFonts w:hint="default" w:ascii="Times New Roman" w:hAnsi="Times New Roman" w:eastAsia="仿宋_GB2312" w:cs="Times New Roman"/>
          <w:color w:val="333333"/>
          <w:sz w:val="28"/>
          <w:szCs w:val="28"/>
          <w:shd w:val="clear" w:color="auto" w:fill="FFFFFF"/>
        </w:rPr>
        <w:t>依据中华人民共和国文化和旅游部《旅游名县建设指南》（征求意见稿）及贵州省关于旅游名县建设要求，以及州委州政府对平塘县的发展定位，充分借鉴省内外优秀案例经验，为平塘县制定一套科学、系统、具有前瞻性与可操作性的旅游名县打造规划。深入挖掘平塘县“中国天眼”的天文科普价值、600余年“水龙文化”的民族特色、独特喀斯特地貌的自然景观优势以及丰富少数民族文化底蕴，明确发展定位与目标，优化旅游产业布局，整合各类资源，提升旅游基础设施与服务水平，塑造特色旅游品牌，推动平塘县旅游产业高质量发展，助力其成功创建旅游名县。</w:t>
      </w:r>
    </w:p>
    <w:p w14:paraId="19874558">
      <w:pPr>
        <w:pStyle w:val="2"/>
        <w:pageBreakBefore w:val="0"/>
        <w:numPr>
          <w:ilvl w:val="0"/>
          <w:numId w:val="0"/>
        </w:numPr>
        <w:kinsoku/>
        <w:wordWrap/>
        <w:overflowPunct/>
        <w:topLinePunct w:val="0"/>
        <w:autoSpaceDE/>
        <w:autoSpaceDN/>
        <w:bidi w:val="0"/>
        <w:adjustRightInd w:val="0"/>
        <w:snapToGrid w:val="0"/>
        <w:spacing w:before="0" w:after="0" w:line="560" w:lineRule="exact"/>
        <w:ind w:leftChars="0" w:firstLine="562" w:firstLineChars="200"/>
        <w:textAlignment w:val="auto"/>
        <w:rPr>
          <w:rFonts w:hint="default" w:ascii="Times New Roman" w:hAnsi="Times New Roman" w:eastAsia="黑体" w:cs="Times New Roman"/>
          <w:sz w:val="28"/>
          <w:szCs w:val="28"/>
        </w:rPr>
      </w:pPr>
      <w:r>
        <w:rPr>
          <w:rFonts w:hint="eastAsia" w:ascii="Times New Roman" w:hAnsi="Times New Roman" w:eastAsia="黑体" w:cs="Times New Roman"/>
          <w:sz w:val="28"/>
          <w:szCs w:val="28"/>
          <w:lang w:val="en-US" w:eastAsia="zh-CN"/>
        </w:rPr>
        <w:t>一、</w:t>
      </w:r>
      <w:r>
        <w:rPr>
          <w:rFonts w:hint="default" w:ascii="Times New Roman" w:hAnsi="Times New Roman" w:eastAsia="黑体" w:cs="Times New Roman"/>
          <w:sz w:val="28"/>
          <w:szCs w:val="28"/>
        </w:rPr>
        <w:t>任务内容</w:t>
      </w:r>
    </w:p>
    <w:p w14:paraId="739523E4">
      <w:pPr>
        <w:pStyle w:val="4"/>
        <w:pageBreakBefore w:val="0"/>
        <w:numPr>
          <w:ilvl w:val="0"/>
          <w:numId w:val="0"/>
        </w:numPr>
        <w:kinsoku/>
        <w:wordWrap/>
        <w:overflowPunct/>
        <w:topLinePunct w:val="0"/>
        <w:autoSpaceDE/>
        <w:autoSpaceDN/>
        <w:bidi w:val="0"/>
        <w:spacing w:before="0" w:after="0" w:line="560" w:lineRule="exact"/>
        <w:ind w:left="598" w:leftChars="272" w:firstLine="141" w:firstLineChars="5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1.</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系统研判旅游名县建设基础条件</w:t>
      </w:r>
    </w:p>
    <w:p w14:paraId="34D0BF54">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从自然、人文、社会、经济、资源、产品、设施等方面系统分析平塘县创建旅游名县的基础与差距，科学分析旅游业发展对县域经济的作用，以及旅游业发展的现实问题与机遇。</w:t>
      </w:r>
    </w:p>
    <w:p w14:paraId="4CADE1EB">
      <w:pPr>
        <w:pStyle w:val="4"/>
        <w:pageBreakBefore w:val="0"/>
        <w:numPr>
          <w:ilvl w:val="0"/>
          <w:numId w:val="0"/>
        </w:numPr>
        <w:kinsoku/>
        <w:wordWrap/>
        <w:overflowPunct/>
        <w:topLinePunct w:val="0"/>
        <w:autoSpaceDE/>
        <w:autoSpaceDN/>
        <w:bidi w:val="0"/>
        <w:spacing w:before="0" w:after="0" w:line="560" w:lineRule="exact"/>
        <w:ind w:firstLine="562" w:firstLineChars="20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2.</w:t>
      </w:r>
      <w:r>
        <w:rPr>
          <w:rFonts w:hint="default" w:ascii="Times New Roman" w:hAnsi="Times New Roman" w:cs="Times New Roman"/>
          <w:sz w:val="28"/>
          <w:szCs w:val="28"/>
        </w:rPr>
        <w:t>科学谋划旅游名县建设总体思路与实施路径</w:t>
      </w:r>
    </w:p>
    <w:p w14:paraId="747E262F">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提出平塘县旅游业高质量发展和创建旅游名县的指导思想，规划并提出具有前瞻性的、可量化的旅游名县建设目标，锚定发展目标，凝练文化和旅游主题和发展方向，明确建设原则和发展路径，确定战略重点，明确需要解决的关键问题。</w:t>
      </w:r>
    </w:p>
    <w:p w14:paraId="25D4BE54">
      <w:pPr>
        <w:pStyle w:val="4"/>
        <w:pageBreakBefore w:val="0"/>
        <w:numPr>
          <w:ilvl w:val="0"/>
          <w:numId w:val="0"/>
        </w:numPr>
        <w:kinsoku/>
        <w:wordWrap/>
        <w:overflowPunct/>
        <w:topLinePunct w:val="0"/>
        <w:autoSpaceDE/>
        <w:autoSpaceDN/>
        <w:bidi w:val="0"/>
        <w:spacing w:before="0" w:after="0" w:line="560" w:lineRule="exact"/>
        <w:ind w:firstLine="562" w:firstLineChars="20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3.</w:t>
      </w:r>
      <w:r>
        <w:rPr>
          <w:rFonts w:hint="default" w:ascii="Times New Roman" w:hAnsi="Times New Roman" w:cs="Times New Roman"/>
          <w:sz w:val="28"/>
          <w:szCs w:val="28"/>
        </w:rPr>
        <w:t>统筹规划协调联动的旅游发展空间布局</w:t>
      </w:r>
    </w:p>
    <w:p w14:paraId="50D566C7">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cs="Times New Roman"/>
          <w:sz w:val="28"/>
          <w:szCs w:val="28"/>
        </w:rPr>
      </w:pPr>
      <w:r>
        <w:rPr>
          <w:rFonts w:hint="default" w:ascii="Times New Roman" w:hAnsi="Times New Roman" w:eastAsia="仿宋_GB2312" w:cs="Times New Roman"/>
          <w:sz w:val="28"/>
          <w:szCs w:val="28"/>
        </w:rPr>
        <w:t>根据旅游要素的空间分布特征及未来发展重点，结合全省、全州和周边区域发展战略，聚焦核心要素，科学谋划平塘县旅游业发展空间结构，对标《旅游名县建设指南》，加强优势资源集中布局，同时搭建起内外协调联动发展新格局，推动平塘旅游走出去，打造区域品牌。</w:t>
      </w:r>
    </w:p>
    <w:p w14:paraId="5E7A9F55">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4.</w:t>
      </w:r>
      <w:r>
        <w:rPr>
          <w:rFonts w:hint="default" w:ascii="Times New Roman" w:hAnsi="Times New Roman" w:cs="Times New Roman"/>
          <w:sz w:val="28"/>
          <w:szCs w:val="28"/>
        </w:rPr>
        <w:t>构建品牌鲜明的旅游核心吸引物体系</w:t>
      </w:r>
    </w:p>
    <w:p w14:paraId="213F65C9">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333333"/>
          <w:sz w:val="28"/>
          <w:szCs w:val="28"/>
          <w:shd w:val="clear" w:color="auto" w:fill="FFFFFF"/>
        </w:rPr>
        <w:t>依托县域优质旅游资源及空间分布，突破资源转化瓶颈，充分发挥</w:t>
      </w:r>
      <w:r>
        <w:rPr>
          <w:rFonts w:hint="default" w:ascii="Times New Roman" w:hAnsi="Times New Roman" w:eastAsia="仿宋_GB2312" w:cs="Times New Roman"/>
          <w:color w:val="000000" w:themeColor="text1"/>
          <w:sz w:val="28"/>
          <w:szCs w:val="28"/>
          <w14:textFill>
            <w14:solidFill>
              <w14:schemeClr w14:val="tx1"/>
            </w14:solidFill>
          </w14:textFill>
        </w:rPr>
        <w:t>“中国天眼”国际级IP和“水龙文化”品牌的引领作用，整合掌布、甲茶等资源，</w:t>
      </w:r>
      <w:r>
        <w:rPr>
          <w:rFonts w:hint="default" w:ascii="Times New Roman" w:hAnsi="Times New Roman" w:eastAsia="仿宋_GB2312" w:cs="Times New Roman"/>
          <w:color w:val="333333"/>
          <w:sz w:val="28"/>
          <w:szCs w:val="28"/>
          <w:shd w:val="clear" w:color="auto" w:fill="FFFFFF"/>
        </w:rPr>
        <w:t>设计构建起可体验、可消费的旅游产品体系；按照产品类型，策划</w:t>
      </w:r>
      <w:r>
        <w:rPr>
          <w:rFonts w:hint="default" w:ascii="Times New Roman" w:hAnsi="Times New Roman" w:eastAsia="仿宋_GB2312" w:cs="Times New Roman"/>
          <w:color w:val="000000" w:themeColor="text1"/>
          <w:sz w:val="28"/>
          <w:szCs w:val="28"/>
          <w14:textFill>
            <w14:solidFill>
              <w14:schemeClr w14:val="tx1"/>
            </w14:solidFill>
          </w14:textFill>
        </w:rPr>
        <w:t>形成“核心引领、多点支撑”的县域旅游核心吸引物体系，含</w:t>
      </w:r>
      <w:r>
        <w:rPr>
          <w:rFonts w:hint="default" w:ascii="Times New Roman" w:hAnsi="Times New Roman" w:eastAsia="仿宋_GB2312" w:cs="Times New Roman"/>
          <w:sz w:val="28"/>
          <w:szCs w:val="28"/>
        </w:rPr>
        <w:t>吃住行游购娱等多方面</w:t>
      </w:r>
      <w:r>
        <w:rPr>
          <w:rFonts w:hint="default" w:ascii="Times New Roman" w:hAnsi="Times New Roman" w:eastAsia="仿宋_GB2312" w:cs="Times New Roman"/>
          <w:color w:val="000000" w:themeColor="text1"/>
          <w:sz w:val="28"/>
          <w:szCs w:val="28"/>
          <w14:textFill>
            <w14:solidFill>
              <w14:schemeClr w14:val="tx1"/>
            </w14:solidFill>
          </w14:textFill>
        </w:rPr>
        <w:t>，满足多元客群需求。</w:t>
      </w:r>
    </w:p>
    <w:p w14:paraId="183084B2">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5.</w:t>
      </w:r>
      <w:r>
        <w:rPr>
          <w:rFonts w:hint="default" w:ascii="Times New Roman" w:hAnsi="Times New Roman" w:cs="Times New Roman"/>
          <w:sz w:val="28"/>
          <w:szCs w:val="28"/>
        </w:rPr>
        <w:t>构建效能突出的产业融合创新发展体系</w:t>
      </w:r>
    </w:p>
    <w:p w14:paraId="63D45E25">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shd w:val="clear" w:color="auto" w:fill="FFFFFF"/>
        </w:rPr>
        <w:t>秉持“大旅游”发展理念，</w:t>
      </w:r>
      <w:r>
        <w:rPr>
          <w:rFonts w:hint="default" w:ascii="Times New Roman" w:hAnsi="Times New Roman" w:eastAsia="仿宋_GB2312" w:cs="Times New Roman"/>
          <w:color w:val="333333"/>
          <w:sz w:val="28"/>
          <w:szCs w:val="28"/>
          <w:shd w:val="clear" w:color="auto" w:fill="FFFFFF"/>
        </w:rPr>
        <w:t>突破产业融合壁垒，</w:t>
      </w:r>
      <w:r>
        <w:rPr>
          <w:rFonts w:hint="default" w:ascii="Times New Roman" w:hAnsi="Times New Roman" w:eastAsia="仿宋_GB2312" w:cs="Times New Roman"/>
          <w:color w:val="000000"/>
          <w:sz w:val="28"/>
          <w:szCs w:val="28"/>
          <w:shd w:val="clear" w:color="auto" w:fill="FFFFFF"/>
        </w:rPr>
        <w:t>发挥“旅游+”“+旅游”的效能，延伸旅游产业链，推动旅游与科技、文化、农业、健康等相关产业领域深度融合，实现资源共享、优势互补，培育旅游发展新业态、新模式，推动旅游产业向多元化、复合型方向发展，提升旅游产业的综合效益，构建以旅游为牵引的县域经济体系。</w:t>
      </w:r>
    </w:p>
    <w:p w14:paraId="20282CD7">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6.</w:t>
      </w:r>
      <w:r>
        <w:rPr>
          <w:rFonts w:hint="default" w:ascii="Times New Roman" w:hAnsi="Times New Roman" w:cs="Times New Roman"/>
          <w:sz w:val="28"/>
          <w:szCs w:val="28"/>
        </w:rPr>
        <w:t>健全完善旅游要素及公共服务支撑体系</w:t>
      </w:r>
    </w:p>
    <w:p w14:paraId="404D0853">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sz w:val="28"/>
          <w:szCs w:val="28"/>
          <w:shd w:val="clear" w:color="auto" w:fill="FFFFFF"/>
        </w:rPr>
      </w:pPr>
      <w:r>
        <w:rPr>
          <w:rFonts w:hint="default" w:ascii="Times New Roman" w:hAnsi="Times New Roman" w:eastAsia="仿宋_GB2312" w:cs="Times New Roman"/>
          <w:color w:val="000000"/>
          <w:sz w:val="28"/>
          <w:szCs w:val="28"/>
          <w:shd w:val="clear" w:color="auto" w:fill="FFFFFF"/>
        </w:rPr>
        <w:t>结合旅游名县建设总体思路，以游客需求为导向，构建完善、便捷、高效的旅游设施体系及综合服务体系，涵盖交通、住宿、餐饮、咨询等多个方面，优化文化和旅游公共服务设施布局，加强基础设施建设和升级改造，提高公共服务的覆盖面和可达性，对标提出区域旅游基础设施建设水平、六要素服务设施建设水平、综合服务水平要求和提升方案，为游客提供舒适、便捷的旅游环境。</w:t>
      </w:r>
    </w:p>
    <w:p w14:paraId="6329EDA6">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7.</w:t>
      </w:r>
      <w:r>
        <w:rPr>
          <w:rFonts w:hint="default" w:ascii="Times New Roman" w:hAnsi="Times New Roman" w:cs="Times New Roman"/>
          <w:sz w:val="28"/>
          <w:szCs w:val="28"/>
        </w:rPr>
        <w:t>系统构建县域旅游市场宣传推广体系</w:t>
      </w:r>
    </w:p>
    <w:p w14:paraId="62FEF35B">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sz w:val="28"/>
          <w:szCs w:val="28"/>
          <w:shd w:val="clear" w:color="auto" w:fill="FFFFFF"/>
        </w:rPr>
      </w:pPr>
      <w:r>
        <w:rPr>
          <w:rFonts w:hint="default" w:ascii="Times New Roman" w:hAnsi="Times New Roman" w:eastAsia="仿宋_GB2312" w:cs="Times New Roman"/>
          <w:color w:val="000000"/>
          <w:sz w:val="28"/>
          <w:szCs w:val="28"/>
          <w:shd w:val="clear" w:color="auto" w:fill="FFFFFF"/>
        </w:rPr>
        <w:t>在深入分析目标市场与竞争环境的基础上，精准定位平塘县域旅游形象、塑造对外推广品牌，创新市场营销形式，系统性、精准化制定营销组合策略（产品、价格、渠道、促销），加强市场联合推广，利用多元化的线上线下渠道进行整合传播与推广，开展区域性特色化精准营销，有效提升平塘旅游名县在国内外旅游市场的知名度、美誉度和竞争力。</w:t>
      </w:r>
    </w:p>
    <w:p w14:paraId="66453849">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8.</w:t>
      </w:r>
      <w:r>
        <w:rPr>
          <w:rFonts w:hint="default" w:ascii="Times New Roman" w:hAnsi="Times New Roman" w:cs="Times New Roman"/>
          <w:sz w:val="28"/>
          <w:szCs w:val="28"/>
        </w:rPr>
        <w:t>创新构建县域智慧旅游管理服务体系</w:t>
      </w:r>
    </w:p>
    <w:p w14:paraId="088D2416">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顺应信息化发展趋势，以技术创新为驱动，</w:t>
      </w:r>
      <w:r>
        <w:rPr>
          <w:rFonts w:hint="default" w:ascii="Times New Roman" w:hAnsi="Times New Roman" w:eastAsia="仿宋_GB2312" w:cs="Times New Roman"/>
          <w:color w:val="333333"/>
          <w:sz w:val="28"/>
          <w:szCs w:val="28"/>
          <w:shd w:val="clear" w:color="auto" w:fill="FFFFFF"/>
        </w:rPr>
        <w:t>突破服务管理短板，</w:t>
      </w:r>
      <w:r>
        <w:rPr>
          <w:rFonts w:hint="default" w:ascii="Times New Roman" w:hAnsi="Times New Roman" w:eastAsia="仿宋_GB2312" w:cs="Times New Roman"/>
          <w:sz w:val="28"/>
          <w:szCs w:val="28"/>
        </w:rPr>
        <w:t>全面推进智慧旅游建设。搭建县域旅游智慧监管平台，实现旅游信息的整合与共享，提升旅游管理的智慧化水平； ​开发多元化的智慧旅游应用，提高游客的旅游体验和满意度；大力开展智慧营销，提高旅游营销的精准化、高效化，建立全域覆盖的智慧化管理、服务、营销网络，快速推动旅游产业向智能化、数字化方向发展。</w:t>
      </w:r>
    </w:p>
    <w:p w14:paraId="37CF322D">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9.</w:t>
      </w:r>
      <w:r>
        <w:rPr>
          <w:rFonts w:hint="default" w:ascii="Times New Roman" w:hAnsi="Times New Roman" w:cs="Times New Roman"/>
          <w:sz w:val="28"/>
          <w:szCs w:val="28"/>
        </w:rPr>
        <w:t>建立健全资源保护与价值长效转换机制</w:t>
      </w:r>
    </w:p>
    <w:p w14:paraId="6DEAE4AE">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树立“保护优先、合理利用”的理念，对县域旅游资源进行系统性梳理与评估，构建科学的资源保护利用框架，明确不同类型资源的保护层级和开发边界，确保资源的永续利用。​统筹协调保护与开发的关系，探索建立多元化的文化和旅游资源保护模式，含文物古迹、古老建筑、名城名镇、历史街区、传统村落、历史文化景观、非物质文化遗产等，将保护措施融入旅游发展全过程，在有效保护核心资源的前提下，挖掘资源的旅游价值，实现生态、文化与经济的协同发展。</w:t>
      </w:r>
    </w:p>
    <w:p w14:paraId="3175FC10">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10.</w:t>
      </w:r>
      <w:r>
        <w:rPr>
          <w:rFonts w:hint="default" w:ascii="Times New Roman" w:hAnsi="Times New Roman" w:cs="Times New Roman"/>
          <w:sz w:val="28"/>
          <w:szCs w:val="28"/>
        </w:rPr>
        <w:t>健全旅游名县建设政策保障机制</w:t>
      </w:r>
    </w:p>
    <w:p w14:paraId="1653B94C">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强化组织保障，强化政府各级部门、全市各个行业协同发展，建立健全创建工作领导机制和协调机制，明确各部门的职责分工，形成工作合力，确保创建工作有序推进。建立健全旅游市场监管体系，加大对旅游市场的监管力度。​完善旅游服务质量评价机制，加强旅游服务质量监督。完善政策支持体系，出台相关扶持政策，加大资金投入和人才培养力度，为旅游名县创建提供坚实的政策、资金和人才保障。</w:t>
      </w:r>
    </w:p>
    <w:p w14:paraId="24F85707">
      <w:pPr>
        <w:pStyle w:val="4"/>
        <w:pageBreakBefore w:val="0"/>
        <w:numPr>
          <w:ilvl w:val="0"/>
          <w:numId w:val="0"/>
        </w:numPr>
        <w:kinsoku/>
        <w:wordWrap/>
        <w:overflowPunct/>
        <w:topLinePunct w:val="0"/>
        <w:autoSpaceDE/>
        <w:autoSpaceDN/>
        <w:bidi w:val="0"/>
        <w:spacing w:before="0" w:after="0" w:line="560" w:lineRule="exact"/>
        <w:ind w:left="620" w:leftChars="0" w:firstLine="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11.</w:t>
      </w:r>
      <w:r>
        <w:rPr>
          <w:rFonts w:hint="default" w:ascii="Times New Roman" w:hAnsi="Times New Roman" w:cs="Times New Roman"/>
          <w:sz w:val="28"/>
          <w:szCs w:val="28"/>
        </w:rPr>
        <w:t>细化旅游名县建设实施路径与工作方案</w:t>
      </w:r>
    </w:p>
    <w:p w14:paraId="662F66C8">
      <w:pPr>
        <w:pageBreakBefore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根据县域各类相关规划，从顶层设计入手，制定科学制定路线图，细化创建实施方案，明确年度工作计划，落实各部门的项目责任，建立考核机制，助力平塘县旅游名县创建成功。</w:t>
      </w:r>
    </w:p>
    <w:p w14:paraId="4386EC2F">
      <w:pPr>
        <w:pStyle w:val="2"/>
        <w:pageBreakBefore w:val="0"/>
        <w:numPr>
          <w:ilvl w:val="0"/>
          <w:numId w:val="0"/>
        </w:numPr>
        <w:kinsoku/>
        <w:wordWrap/>
        <w:overflowPunct/>
        <w:topLinePunct w:val="0"/>
        <w:autoSpaceDE/>
        <w:autoSpaceDN/>
        <w:bidi w:val="0"/>
        <w:adjustRightInd w:val="0"/>
        <w:snapToGrid w:val="0"/>
        <w:spacing w:before="0" w:after="0" w:line="560" w:lineRule="exact"/>
        <w:ind w:left="460" w:leftChars="209" w:firstLine="141" w:firstLineChars="50"/>
        <w:textAlignment w:val="auto"/>
        <w:rPr>
          <w:rFonts w:hint="default" w:ascii="Times New Roman" w:hAnsi="Times New Roman" w:eastAsia="黑体" w:cs="Times New Roman"/>
          <w:sz w:val="28"/>
          <w:szCs w:val="28"/>
        </w:rPr>
      </w:pPr>
      <w:r>
        <w:rPr>
          <w:rFonts w:hint="eastAsia" w:ascii="Times New Roman" w:hAnsi="Times New Roman" w:eastAsia="黑体" w:cs="Times New Roman"/>
          <w:b/>
          <w:bCs/>
          <w:kern w:val="44"/>
          <w:sz w:val="28"/>
          <w:szCs w:val="28"/>
          <w:lang w:val="en-US" w:eastAsia="zh-CN" w:bidi="ar-SA"/>
        </w:rPr>
        <w:t>二</w:t>
      </w:r>
      <w:r>
        <w:rPr>
          <w:rFonts w:hint="default" w:ascii="Times New Roman" w:hAnsi="Times New Roman" w:eastAsia="黑体" w:cs="Times New Roman"/>
          <w:b/>
          <w:bCs/>
          <w:kern w:val="44"/>
          <w:sz w:val="28"/>
          <w:szCs w:val="28"/>
          <w:lang w:val="en-US" w:eastAsia="zh-CN" w:bidi="ar-SA"/>
        </w:rPr>
        <w:t>、</w:t>
      </w:r>
      <w:r>
        <w:rPr>
          <w:rFonts w:hint="default" w:ascii="Times New Roman" w:hAnsi="Times New Roman" w:eastAsia="黑体" w:cs="Times New Roman"/>
          <w:sz w:val="28"/>
          <w:szCs w:val="28"/>
        </w:rPr>
        <w:t>成果构成</w:t>
      </w:r>
    </w:p>
    <w:p w14:paraId="2A1FA5A3">
      <w:pPr>
        <w:pStyle w:val="4"/>
        <w:pageBreakBefore w:val="0"/>
        <w:numPr>
          <w:ilvl w:val="0"/>
          <w:numId w:val="0"/>
        </w:numPr>
        <w:kinsoku/>
        <w:wordWrap/>
        <w:overflowPunct/>
        <w:topLinePunct w:val="0"/>
        <w:autoSpaceDE/>
        <w:autoSpaceDN/>
        <w:bidi w:val="0"/>
        <w:spacing w:before="0" w:after="0" w:line="560" w:lineRule="exact"/>
        <w:ind w:left="620" w:leftChars="0" w:hanging="42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1.</w:t>
      </w:r>
      <w:r>
        <w:rPr>
          <w:rFonts w:hint="default" w:ascii="Times New Roman" w:hAnsi="Times New Roman" w:cs="Times New Roman"/>
          <w:sz w:val="28"/>
          <w:szCs w:val="28"/>
        </w:rPr>
        <w:t>《平塘县旅游名县建设规划（202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年）》文本</w:t>
      </w:r>
    </w:p>
    <w:p w14:paraId="1B221A89">
      <w:pPr>
        <w:pStyle w:val="4"/>
        <w:pageBreakBefore w:val="0"/>
        <w:numPr>
          <w:ilvl w:val="0"/>
          <w:numId w:val="0"/>
        </w:numPr>
        <w:kinsoku/>
        <w:wordWrap/>
        <w:overflowPunct/>
        <w:topLinePunct w:val="0"/>
        <w:autoSpaceDE/>
        <w:autoSpaceDN/>
        <w:bidi w:val="0"/>
        <w:spacing w:before="0" w:after="0" w:line="560" w:lineRule="exact"/>
        <w:ind w:left="620" w:leftChars="0" w:hanging="42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2.</w:t>
      </w:r>
      <w:r>
        <w:rPr>
          <w:rFonts w:hint="default" w:ascii="Times New Roman" w:hAnsi="Times New Roman" w:cs="Times New Roman"/>
          <w:sz w:val="28"/>
          <w:szCs w:val="28"/>
        </w:rPr>
        <w:t>《平塘县旅游名县建设规划（202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年）》说明书</w:t>
      </w:r>
    </w:p>
    <w:p w14:paraId="0660B5B7">
      <w:pPr>
        <w:pStyle w:val="4"/>
        <w:pageBreakBefore w:val="0"/>
        <w:numPr>
          <w:ilvl w:val="0"/>
          <w:numId w:val="0"/>
        </w:numPr>
        <w:kinsoku/>
        <w:wordWrap/>
        <w:overflowPunct/>
        <w:topLinePunct w:val="0"/>
        <w:autoSpaceDE/>
        <w:autoSpaceDN/>
        <w:bidi w:val="0"/>
        <w:spacing w:before="0" w:after="0" w:line="560" w:lineRule="exact"/>
        <w:ind w:left="620" w:leftChars="0" w:hanging="42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3.</w:t>
      </w:r>
      <w:r>
        <w:rPr>
          <w:rFonts w:hint="default" w:ascii="Times New Roman" w:hAnsi="Times New Roman" w:cs="Times New Roman"/>
          <w:sz w:val="28"/>
          <w:szCs w:val="28"/>
        </w:rPr>
        <w:t>《平塘县旅游名县建设规划（202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年）》图件</w:t>
      </w:r>
    </w:p>
    <w:p w14:paraId="5145082C">
      <w:pPr>
        <w:pStyle w:val="4"/>
        <w:pageBreakBefore w:val="0"/>
        <w:numPr>
          <w:ilvl w:val="0"/>
          <w:numId w:val="0"/>
        </w:numPr>
        <w:kinsoku/>
        <w:wordWrap/>
        <w:overflowPunct/>
        <w:topLinePunct w:val="0"/>
        <w:autoSpaceDE/>
        <w:autoSpaceDN/>
        <w:bidi w:val="0"/>
        <w:spacing w:before="0" w:after="0" w:line="560" w:lineRule="exact"/>
        <w:ind w:left="620" w:leftChars="0" w:hanging="420" w:firstLineChars="0"/>
        <w:textAlignment w:val="auto"/>
        <w:rPr>
          <w:rFonts w:hint="default" w:ascii="Times New Roman" w:hAnsi="Times New Roman" w:cs="Times New Roman"/>
          <w:sz w:val="28"/>
          <w:szCs w:val="28"/>
        </w:rPr>
      </w:pPr>
      <w:r>
        <w:rPr>
          <w:rFonts w:hint="eastAsia" w:ascii="Times New Roman" w:hAnsi="Times New Roman" w:eastAsia="楷体_GB2312" w:cs="Times New Roman"/>
          <w:b/>
          <w:bCs/>
          <w:kern w:val="2"/>
          <w:sz w:val="28"/>
          <w:szCs w:val="28"/>
          <w:lang w:val="en-US" w:eastAsia="zh-CN" w:bidi="ar-SA"/>
        </w:rPr>
        <w:t>4.</w:t>
      </w:r>
      <w:r>
        <w:rPr>
          <w:rFonts w:hint="default" w:ascii="Times New Roman" w:hAnsi="Times New Roman" w:cs="Times New Roman"/>
          <w:sz w:val="28"/>
          <w:szCs w:val="28"/>
        </w:rPr>
        <w:t>《平塘县旅游名县建设实施方案（202</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年）》</w:t>
      </w:r>
    </w:p>
    <w:p w14:paraId="6B91556D">
      <w:pPr>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仿宋_GB2312" w:cs="Times New Roman"/>
          <w:szCs w:val="28"/>
        </w:rPr>
      </w:pPr>
    </w:p>
    <w:p w14:paraId="2ABCC953">
      <w:pPr>
        <w:rPr>
          <w:rFonts w:hint="eastAsia" w:ascii="宋体" w:hAnsi="宋体" w:eastAsia="宋体" w:cs="宋体"/>
          <w:b/>
          <w:bCs/>
          <w:sz w:val="28"/>
          <w:szCs w:val="24"/>
        </w:rPr>
      </w:pPr>
      <w:r>
        <w:rPr>
          <w:rFonts w:hint="eastAsia" w:ascii="宋体" w:hAnsi="宋体" w:eastAsia="宋体" w:cs="宋体"/>
          <w:b/>
          <w:bCs/>
          <w:sz w:val="28"/>
          <w:szCs w:val="24"/>
        </w:rPr>
        <w:t>注：供应商提交成果包括上述内容但不仅限于，具体详细成果与招标人签订合同要求为准，但不能违背相关法律规定及相关要求。</w:t>
      </w:r>
      <w:r>
        <w:rPr>
          <w:rFonts w:hint="eastAsia" w:ascii="宋体" w:hAnsi="宋体" w:eastAsia="宋体" w:cs="宋体"/>
          <w:b/>
          <w:bCs/>
          <w:sz w:val="28"/>
          <w:szCs w:val="24"/>
        </w:rPr>
        <w:br w:type="page"/>
      </w:r>
    </w:p>
    <w:p w14:paraId="23EC0045">
      <w:pPr>
        <w:spacing w:before="100" w:beforeAutospacing="1" w:after="100" w:afterAutospacing="1" w:line="360" w:lineRule="auto"/>
        <w:rPr>
          <w:rFonts w:hint="eastAsia" w:ascii="宋体" w:hAnsi="宋体" w:eastAsia="宋体" w:cs="宋体"/>
          <w:b/>
          <w:bCs/>
          <w:sz w:val="28"/>
          <w:szCs w:val="24"/>
        </w:rPr>
      </w:pPr>
      <w:r>
        <w:rPr>
          <w:rFonts w:hint="eastAsia" w:ascii="宋体" w:hAnsi="宋体" w:eastAsia="宋体" w:cs="宋体"/>
          <w:b/>
          <w:bCs/>
          <w:sz w:val="28"/>
          <w:szCs w:val="24"/>
        </w:rPr>
        <w:t>第二节 商务要求</w:t>
      </w:r>
      <w:bookmarkEnd w:id="21"/>
      <w:bookmarkEnd w:id="22"/>
      <w:bookmarkEnd w:id="23"/>
      <w:bookmarkEnd w:id="24"/>
    </w:p>
    <w:p w14:paraId="141EEE0D">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一、交货（服务）期及交货（服务）地点</w:t>
      </w:r>
    </w:p>
    <w:p w14:paraId="030C02B0">
      <w:pPr>
        <w:keepNext w:val="0"/>
        <w:keepLines w:val="0"/>
        <w:pageBreakBefore w:val="0"/>
        <w:widowControl w:val="0"/>
        <w:kinsoku/>
        <w:wordWrap/>
        <w:overflowPunct/>
        <w:topLinePunct w:val="0"/>
        <w:autoSpaceDE/>
        <w:autoSpaceDN/>
        <w:bidi w:val="0"/>
        <w:adjustRightInd/>
        <w:snapToGrid/>
        <w:spacing w:before="100" w:beforeLines="10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交货时间</w:t>
      </w:r>
      <w:r>
        <w:rPr>
          <w:rFonts w:hint="eastAsia" w:ascii="宋体" w:hAnsi="宋体" w:eastAsia="宋体" w:cs="宋体"/>
          <w:sz w:val="24"/>
          <w:szCs w:val="24"/>
          <w:lang w:eastAsia="zh-CN"/>
        </w:rPr>
        <w:t>、</w:t>
      </w:r>
      <w:r>
        <w:rPr>
          <w:rFonts w:hint="eastAsia" w:ascii="宋体" w:hAnsi="宋体" w:eastAsia="宋体" w:cs="宋体"/>
          <w:sz w:val="24"/>
          <w:szCs w:val="24"/>
        </w:rPr>
        <w:t>服务时间：</w:t>
      </w:r>
      <w:r>
        <w:rPr>
          <w:rFonts w:hint="eastAsia" w:cs="宋体"/>
          <w:sz w:val="24"/>
          <w:szCs w:val="24"/>
          <w:lang w:val="en-US" w:eastAsia="zh-CN"/>
        </w:rPr>
        <w:t>60日历天内提交成果</w:t>
      </w:r>
      <w:r>
        <w:rPr>
          <w:rFonts w:hint="eastAsia" w:ascii="宋体" w:hAnsi="宋体" w:eastAsia="宋体" w:cs="宋体"/>
          <w:sz w:val="24"/>
          <w:szCs w:val="24"/>
        </w:rPr>
        <w:t>；</w:t>
      </w:r>
    </w:p>
    <w:p w14:paraId="5547AF21">
      <w:pPr>
        <w:keepNext w:val="0"/>
        <w:keepLines w:val="0"/>
        <w:pageBreakBefore w:val="0"/>
        <w:widowControl w:val="0"/>
        <w:kinsoku/>
        <w:wordWrap/>
        <w:overflowPunct/>
        <w:topLinePunct w:val="0"/>
        <w:autoSpaceDE/>
        <w:autoSpaceDN/>
        <w:bidi w:val="0"/>
        <w:adjustRightInd/>
        <w:snapToGrid/>
        <w:spacing w:before="100" w:beforeLines="10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交货地点</w:t>
      </w:r>
      <w:r>
        <w:rPr>
          <w:rFonts w:hint="eastAsia" w:ascii="宋体" w:hAnsi="宋体" w:eastAsia="宋体" w:cs="宋体"/>
          <w:sz w:val="24"/>
          <w:szCs w:val="24"/>
          <w:lang w:eastAsia="zh-CN"/>
        </w:rPr>
        <w:t>、</w:t>
      </w:r>
      <w:r>
        <w:rPr>
          <w:rFonts w:hint="eastAsia" w:ascii="宋体" w:hAnsi="宋体" w:eastAsia="宋体" w:cs="宋体"/>
          <w:sz w:val="24"/>
          <w:szCs w:val="24"/>
        </w:rPr>
        <w:t>服务地</w:t>
      </w:r>
      <w:r>
        <w:rPr>
          <w:rFonts w:hint="eastAsia" w:ascii="宋体" w:hAnsi="宋体" w:eastAsia="宋体" w:cs="宋体"/>
          <w:sz w:val="24"/>
          <w:szCs w:val="24"/>
          <w:lang w:val="en-US" w:eastAsia="zh-CN"/>
        </w:rPr>
        <w:t>点：</w:t>
      </w:r>
      <w:r>
        <w:rPr>
          <w:rFonts w:hint="eastAsia" w:cs="宋体"/>
          <w:sz w:val="24"/>
          <w:szCs w:val="24"/>
          <w:lang w:eastAsia="zh-CN"/>
        </w:rPr>
        <w:t>采购人指定地点</w:t>
      </w:r>
      <w:r>
        <w:rPr>
          <w:rFonts w:hint="eastAsia" w:cs="宋体"/>
          <w:sz w:val="24"/>
          <w:szCs w:val="24"/>
          <w:lang w:val="en-US" w:eastAsia="zh-CN"/>
        </w:rPr>
        <w:t>。</w:t>
      </w:r>
    </w:p>
    <w:p w14:paraId="09BD7016">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二、验收标准、规范</w:t>
      </w:r>
    </w:p>
    <w:p w14:paraId="13216556">
      <w:pPr>
        <w:keepNext w:val="0"/>
        <w:keepLines w:val="0"/>
        <w:pageBreakBefore w:val="0"/>
        <w:widowControl w:val="0"/>
        <w:kinsoku/>
        <w:wordWrap/>
        <w:overflowPunct/>
        <w:topLinePunct w:val="0"/>
        <w:autoSpaceDE/>
        <w:autoSpaceDN/>
        <w:bidi w:val="0"/>
        <w:adjustRightInd/>
        <w:snapToGrid/>
        <w:spacing w:before="100" w:beforeLines="10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验收标准：符合国家相关质量标准和采购人要求。</w:t>
      </w:r>
    </w:p>
    <w:p w14:paraId="4FBCDC41">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三、付款方式</w:t>
      </w:r>
    </w:p>
    <w:p w14:paraId="219A988E">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具体付款方式由中标供应商与采购人签订合同时共同协商。</w:t>
      </w:r>
    </w:p>
    <w:p w14:paraId="7A873310">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四、履约保证金</w:t>
      </w:r>
    </w:p>
    <w:p w14:paraId="1AA4C459">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本项目不提供履约保证金</w:t>
      </w:r>
    </w:p>
    <w:p w14:paraId="7687F87B">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五、</w:t>
      </w:r>
      <w:r>
        <w:rPr>
          <w:rFonts w:hint="eastAsia" w:ascii="宋体" w:hAnsi="宋体" w:eastAsia="宋体" w:cs="宋体"/>
          <w:sz w:val="24"/>
          <w:szCs w:val="24"/>
        </w:rPr>
        <w:t>投标有效期</w:t>
      </w:r>
    </w:p>
    <w:p w14:paraId="6287B5E2">
      <w:pPr>
        <w:keepNext w:val="0"/>
        <w:keepLines w:val="0"/>
        <w:pageBreakBefore w:val="0"/>
        <w:widowControl w:val="0"/>
        <w:kinsoku/>
        <w:wordWrap/>
        <w:overflowPunct/>
        <w:topLinePunct w:val="0"/>
        <w:autoSpaceDE/>
        <w:autoSpaceDN/>
        <w:bidi w:val="0"/>
        <w:adjustRightInd/>
        <w:snapToGrid/>
        <w:spacing w:before="100" w:beforeLines="50" w:beforeAutospacing="0" w:after="100" w:afterLines="50" w:afterAutospacing="0" w:line="6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60日历天</w:t>
      </w:r>
    </w:p>
    <w:p w14:paraId="284BA072">
      <w:pPr>
        <w:ind w:firstLine="480" w:firstLineChars="200"/>
        <w:rPr>
          <w:rFonts w:hint="eastAsia"/>
          <w:lang w:val="en-US" w:eastAsia="zh-CN"/>
        </w:rPr>
      </w:pPr>
      <w:r>
        <w:rPr>
          <w:rFonts w:hint="eastAsia" w:ascii="宋体" w:hAnsi="宋体" w:cs="宋体"/>
          <w:sz w:val="24"/>
          <w:szCs w:val="24"/>
          <w:lang w:val="en-US" w:eastAsia="zh-CN"/>
        </w:rPr>
        <w:t>六、</w:t>
      </w:r>
      <w:r>
        <w:rPr>
          <w:rFonts w:hint="eastAsia" w:ascii="宋体" w:hAnsi="宋体" w:eastAsia="宋体" w:cs="宋体"/>
          <w:sz w:val="24"/>
          <w:szCs w:val="24"/>
        </w:rPr>
        <w:t>其他要求</w:t>
      </w:r>
    </w:p>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8F585">
    <w:pPr>
      <w:pStyle w:val="14"/>
      <w:spacing w:line="14" w:lineRule="auto"/>
      <w:rPr>
        <w:sz w:val="12"/>
      </w:rPr>
    </w:pPr>
    <w:r>
      <w:rPr>
        <w:sz w:val="1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89195C">
                          <w:pPr>
                            <w:pStyle w:val="17"/>
                          </w:pPr>
                          <w:r>
                            <w:fldChar w:fldCharType="begin"/>
                          </w:r>
                          <w:r>
                            <w:instrText xml:space="preserve"> PAGE  \* MERGEFORMAT </w:instrText>
                          </w:r>
                          <w:r>
                            <w:fldChar w:fldCharType="separate"/>
                          </w:r>
                          <w:r>
                            <w:t>35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7LLY8kBAACdAwAADgAAAGRycy9lMm9Eb2MueG1srVPNjtMwEL4j8Q6W&#10;79RpD6sqarraVbUICQHSwgO4jt1Y8p88bpO+ALwBJy7cea4+B2Mn6cJy2QOXZDwz+eb7vnE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m3CDnjhuceWX798uP35dfn4l&#10;OYkW9QFq7HwM2JuGez9g+5wHTGblg4o2v1ETwTqCna8GyyERkT9ar9brCksCa/MB8dnT5yFCeiu9&#10;JTloaMQNFmP56T2ksXVuydOcf9DGlC0a91cCMXOGZe4jxxylYT9Mgva+PaOeHpffUId3nRLzzqG3&#10;yC/NQZyD/RwcQ9SHDqktCy8Id8eEJAq3PGGEnQbj1oq66Ybla/HnuXQ9/VX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fsstjyQEAAJ0DAAAOAAAAAAAAAAEAIAAAAB4BAABkcnMvZTJvRG9j&#10;LnhtbFBLBQYAAAAABgAGAFkBAABZBQAAAAA=&#10;">
              <v:fill on="f" focussize="0,0"/>
              <v:stroke on="f"/>
              <v:imagedata o:title=""/>
              <o:lock v:ext="edit" aspectratio="f"/>
              <v:textbox inset="0mm,0mm,0mm,0mm" style="mso-fit-shape-to-text:t;">
                <w:txbxContent>
                  <w:p w14:paraId="2289195C">
                    <w:pPr>
                      <w:pStyle w:val="1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A43D2">
    <w:pPr>
      <w:pStyle w:val="18"/>
      <w:pBdr>
        <w:bottom w:val="thickThinSmallGap" w:color="993300" w:sz="12"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FADE"/>
    <w:multiLevelType w:val="multilevel"/>
    <w:tmpl w:val="8461FADE"/>
    <w:lvl w:ilvl="0" w:tentative="0">
      <w:start w:val="1"/>
      <w:numFmt w:val="decimal"/>
      <w:lvlText w:val="（%1）"/>
      <w:lvlJc w:val="left"/>
      <w:pPr>
        <w:ind w:left="130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256" w:hanging="601"/>
      </w:pPr>
      <w:rPr>
        <w:rFonts w:hint="default"/>
        <w:lang w:val="zh-CN" w:eastAsia="zh-CN" w:bidi="zh-CN"/>
      </w:rPr>
    </w:lvl>
    <w:lvl w:ilvl="2" w:tentative="0">
      <w:start w:val="0"/>
      <w:numFmt w:val="bullet"/>
      <w:lvlText w:val="•"/>
      <w:lvlJc w:val="left"/>
      <w:pPr>
        <w:ind w:left="3213" w:hanging="601"/>
      </w:pPr>
      <w:rPr>
        <w:rFonts w:hint="default"/>
        <w:lang w:val="zh-CN" w:eastAsia="zh-CN" w:bidi="zh-CN"/>
      </w:rPr>
    </w:lvl>
    <w:lvl w:ilvl="3" w:tentative="0">
      <w:start w:val="0"/>
      <w:numFmt w:val="bullet"/>
      <w:lvlText w:val="•"/>
      <w:lvlJc w:val="left"/>
      <w:pPr>
        <w:ind w:left="4169" w:hanging="601"/>
      </w:pPr>
      <w:rPr>
        <w:rFonts w:hint="default"/>
        <w:lang w:val="zh-CN" w:eastAsia="zh-CN" w:bidi="zh-CN"/>
      </w:rPr>
    </w:lvl>
    <w:lvl w:ilvl="4" w:tentative="0">
      <w:start w:val="0"/>
      <w:numFmt w:val="bullet"/>
      <w:lvlText w:val="•"/>
      <w:lvlJc w:val="left"/>
      <w:pPr>
        <w:ind w:left="5126" w:hanging="601"/>
      </w:pPr>
      <w:rPr>
        <w:rFonts w:hint="default"/>
        <w:lang w:val="zh-CN" w:eastAsia="zh-CN" w:bidi="zh-CN"/>
      </w:rPr>
    </w:lvl>
    <w:lvl w:ilvl="5" w:tentative="0">
      <w:start w:val="0"/>
      <w:numFmt w:val="bullet"/>
      <w:lvlText w:val="•"/>
      <w:lvlJc w:val="left"/>
      <w:pPr>
        <w:ind w:left="6083" w:hanging="601"/>
      </w:pPr>
      <w:rPr>
        <w:rFonts w:hint="default"/>
        <w:lang w:val="zh-CN" w:eastAsia="zh-CN" w:bidi="zh-CN"/>
      </w:rPr>
    </w:lvl>
    <w:lvl w:ilvl="6" w:tentative="0">
      <w:start w:val="0"/>
      <w:numFmt w:val="bullet"/>
      <w:lvlText w:val="•"/>
      <w:lvlJc w:val="left"/>
      <w:pPr>
        <w:ind w:left="7039" w:hanging="601"/>
      </w:pPr>
      <w:rPr>
        <w:rFonts w:hint="default"/>
        <w:lang w:val="zh-CN" w:eastAsia="zh-CN" w:bidi="zh-CN"/>
      </w:rPr>
    </w:lvl>
    <w:lvl w:ilvl="7" w:tentative="0">
      <w:start w:val="0"/>
      <w:numFmt w:val="bullet"/>
      <w:lvlText w:val="•"/>
      <w:lvlJc w:val="left"/>
      <w:pPr>
        <w:ind w:left="7996" w:hanging="601"/>
      </w:pPr>
      <w:rPr>
        <w:rFonts w:hint="default"/>
        <w:lang w:val="zh-CN" w:eastAsia="zh-CN" w:bidi="zh-CN"/>
      </w:rPr>
    </w:lvl>
    <w:lvl w:ilvl="8" w:tentative="0">
      <w:start w:val="0"/>
      <w:numFmt w:val="bullet"/>
      <w:lvlText w:val="•"/>
      <w:lvlJc w:val="left"/>
      <w:pPr>
        <w:ind w:left="8952" w:hanging="601"/>
      </w:pPr>
      <w:rPr>
        <w:rFonts w:hint="default"/>
        <w:lang w:val="zh-CN" w:eastAsia="zh-CN" w:bidi="zh-CN"/>
      </w:rPr>
    </w:lvl>
  </w:abstractNum>
  <w:abstractNum w:abstractNumId="1">
    <w:nsid w:val="BB50F7D4"/>
    <w:multiLevelType w:val="multilevel"/>
    <w:tmpl w:val="BB50F7D4"/>
    <w:lvl w:ilvl="0" w:tentative="0">
      <w:start w:val="5"/>
      <w:numFmt w:val="decimal"/>
      <w:lvlText w:val="%1"/>
      <w:lvlJc w:val="left"/>
      <w:pPr>
        <w:ind w:left="642" w:hanging="423"/>
        <w:jc w:val="left"/>
      </w:pPr>
      <w:rPr>
        <w:rFonts w:hint="default"/>
        <w:lang w:val="zh-CN" w:eastAsia="zh-CN" w:bidi="zh-CN"/>
      </w:rPr>
    </w:lvl>
    <w:lvl w:ilvl="1" w:tentative="0">
      <w:start w:val="1"/>
      <w:numFmt w:val="decimal"/>
      <w:lvlText w:val="%1.%2"/>
      <w:lvlJc w:val="left"/>
      <w:pPr>
        <w:ind w:left="642" w:hanging="423"/>
        <w:jc w:val="left"/>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tabs>
          <w:tab w:val="left" w:pos="420"/>
        </w:tabs>
        <w:ind w:left="1100" w:hanging="660"/>
        <w:jc w:val="left"/>
      </w:pPr>
      <w:rPr>
        <w:rFonts w:hint="default"/>
        <w:w w:val="100"/>
        <w:lang w:val="zh-CN" w:eastAsia="zh-CN" w:bidi="zh-CN"/>
      </w:rPr>
    </w:lvl>
    <w:lvl w:ilvl="3" w:tentative="0">
      <w:start w:val="0"/>
      <w:numFmt w:val="bullet"/>
      <w:lvlText w:val="•"/>
      <w:lvlJc w:val="left"/>
      <w:pPr>
        <w:ind w:left="1918" w:hanging="660"/>
      </w:pPr>
      <w:rPr>
        <w:rFonts w:hint="default"/>
        <w:lang w:val="zh-CN" w:eastAsia="zh-CN" w:bidi="zh-CN"/>
      </w:rPr>
    </w:lvl>
    <w:lvl w:ilvl="4" w:tentative="0">
      <w:start w:val="0"/>
      <w:numFmt w:val="bullet"/>
      <w:lvlText w:val="•"/>
      <w:lvlJc w:val="left"/>
      <w:pPr>
        <w:ind w:left="3196" w:hanging="660"/>
      </w:pPr>
      <w:rPr>
        <w:rFonts w:hint="default"/>
        <w:lang w:val="zh-CN" w:eastAsia="zh-CN" w:bidi="zh-CN"/>
      </w:rPr>
    </w:lvl>
    <w:lvl w:ilvl="5" w:tentative="0">
      <w:start w:val="0"/>
      <w:numFmt w:val="bullet"/>
      <w:lvlText w:val="•"/>
      <w:lvlJc w:val="left"/>
      <w:pPr>
        <w:ind w:left="4474" w:hanging="660"/>
      </w:pPr>
      <w:rPr>
        <w:rFonts w:hint="default"/>
        <w:lang w:val="zh-CN" w:eastAsia="zh-CN" w:bidi="zh-CN"/>
      </w:rPr>
    </w:lvl>
    <w:lvl w:ilvl="6" w:tentative="0">
      <w:start w:val="0"/>
      <w:numFmt w:val="bullet"/>
      <w:lvlText w:val="•"/>
      <w:lvlJc w:val="left"/>
      <w:pPr>
        <w:ind w:left="5753" w:hanging="660"/>
      </w:pPr>
      <w:rPr>
        <w:rFonts w:hint="default"/>
        <w:lang w:val="zh-CN" w:eastAsia="zh-CN" w:bidi="zh-CN"/>
      </w:rPr>
    </w:lvl>
    <w:lvl w:ilvl="7" w:tentative="0">
      <w:start w:val="0"/>
      <w:numFmt w:val="bullet"/>
      <w:lvlText w:val="•"/>
      <w:lvlJc w:val="left"/>
      <w:pPr>
        <w:ind w:left="7031" w:hanging="660"/>
      </w:pPr>
      <w:rPr>
        <w:rFonts w:hint="default"/>
        <w:lang w:val="zh-CN" w:eastAsia="zh-CN" w:bidi="zh-CN"/>
      </w:rPr>
    </w:lvl>
    <w:lvl w:ilvl="8" w:tentative="0">
      <w:start w:val="0"/>
      <w:numFmt w:val="bullet"/>
      <w:lvlText w:val="•"/>
      <w:lvlJc w:val="left"/>
      <w:pPr>
        <w:ind w:left="8309" w:hanging="660"/>
      </w:pPr>
      <w:rPr>
        <w:rFonts w:hint="default"/>
        <w:lang w:val="zh-CN" w:eastAsia="zh-CN" w:bidi="zh-CN"/>
      </w:rPr>
    </w:lvl>
  </w:abstractNum>
  <w:abstractNum w:abstractNumId="2">
    <w:nsid w:val="DB1CDBE4"/>
    <w:multiLevelType w:val="multilevel"/>
    <w:tmpl w:val="DB1CDBE4"/>
    <w:lvl w:ilvl="0" w:tentative="0">
      <w:start w:val="2"/>
      <w:numFmt w:val="decimal"/>
      <w:lvlText w:val="%1）"/>
      <w:lvlJc w:val="left"/>
      <w:pPr>
        <w:ind w:left="220" w:hanging="361"/>
        <w:jc w:val="left"/>
      </w:pPr>
      <w:rPr>
        <w:rFonts w:hint="default" w:ascii="宋体" w:hAnsi="宋体" w:eastAsia="宋体" w:cs="宋体"/>
        <w:spacing w:val="-32"/>
        <w:w w:val="100"/>
        <w:sz w:val="22"/>
        <w:szCs w:val="22"/>
        <w:lang w:val="zh-CN" w:eastAsia="zh-CN" w:bidi="zh-CN"/>
      </w:rPr>
    </w:lvl>
    <w:lvl w:ilvl="1" w:tentative="0">
      <w:start w:val="1"/>
      <w:numFmt w:val="decimal"/>
      <w:lvlText w:val="%1.%2"/>
      <w:lvlJc w:val="left"/>
      <w:pPr>
        <w:ind w:left="1083" w:hanging="423"/>
        <w:jc w:val="left"/>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tabs>
          <w:tab w:val="left" w:pos="420"/>
        </w:tabs>
        <w:ind w:left="1041" w:hanging="601"/>
        <w:jc w:val="left"/>
      </w:pPr>
      <w:rPr>
        <w:rFonts w:hint="default" w:ascii="宋体" w:hAnsi="宋体" w:eastAsia="宋体" w:cs="宋体"/>
        <w:w w:val="100"/>
        <w:sz w:val="22"/>
        <w:szCs w:val="22"/>
        <w:lang w:val="zh-CN" w:eastAsia="zh-CN" w:bidi="zh-CN"/>
      </w:rPr>
    </w:lvl>
    <w:lvl w:ilvl="3" w:tentative="0">
      <w:start w:val="0"/>
      <w:numFmt w:val="bullet"/>
      <w:lvlText w:val="•"/>
      <w:lvlJc w:val="left"/>
      <w:pPr>
        <w:ind w:left="820" w:hanging="601"/>
      </w:pPr>
      <w:rPr>
        <w:rFonts w:hint="default"/>
        <w:lang w:val="zh-CN" w:eastAsia="zh-CN" w:bidi="zh-CN"/>
      </w:rPr>
    </w:lvl>
    <w:lvl w:ilvl="4" w:tentative="0">
      <w:start w:val="0"/>
      <w:numFmt w:val="bullet"/>
      <w:lvlText w:val="•"/>
      <w:lvlJc w:val="left"/>
      <w:pPr>
        <w:ind w:left="1080" w:hanging="601"/>
      </w:pPr>
      <w:rPr>
        <w:rFonts w:hint="default"/>
        <w:lang w:val="zh-CN" w:eastAsia="zh-CN" w:bidi="zh-CN"/>
      </w:rPr>
    </w:lvl>
    <w:lvl w:ilvl="5" w:tentative="0">
      <w:start w:val="0"/>
      <w:numFmt w:val="bullet"/>
      <w:lvlText w:val="•"/>
      <w:lvlJc w:val="left"/>
      <w:pPr>
        <w:ind w:left="2711" w:hanging="601"/>
      </w:pPr>
      <w:rPr>
        <w:rFonts w:hint="default"/>
        <w:lang w:val="zh-CN" w:eastAsia="zh-CN" w:bidi="zh-CN"/>
      </w:rPr>
    </w:lvl>
    <w:lvl w:ilvl="6" w:tentative="0">
      <w:start w:val="0"/>
      <w:numFmt w:val="bullet"/>
      <w:lvlText w:val="•"/>
      <w:lvlJc w:val="left"/>
      <w:pPr>
        <w:ind w:left="4342" w:hanging="601"/>
      </w:pPr>
      <w:rPr>
        <w:rFonts w:hint="default"/>
        <w:lang w:val="zh-CN" w:eastAsia="zh-CN" w:bidi="zh-CN"/>
      </w:rPr>
    </w:lvl>
    <w:lvl w:ilvl="7" w:tentative="0">
      <w:start w:val="0"/>
      <w:numFmt w:val="bullet"/>
      <w:lvlText w:val="•"/>
      <w:lvlJc w:val="left"/>
      <w:pPr>
        <w:ind w:left="5973" w:hanging="601"/>
      </w:pPr>
      <w:rPr>
        <w:rFonts w:hint="default"/>
        <w:lang w:val="zh-CN" w:eastAsia="zh-CN" w:bidi="zh-CN"/>
      </w:rPr>
    </w:lvl>
    <w:lvl w:ilvl="8" w:tentative="0">
      <w:start w:val="0"/>
      <w:numFmt w:val="bullet"/>
      <w:lvlText w:val="•"/>
      <w:lvlJc w:val="left"/>
      <w:pPr>
        <w:ind w:left="7604" w:hanging="601"/>
      </w:pPr>
      <w:rPr>
        <w:rFonts w:hint="default"/>
        <w:lang w:val="zh-CN" w:eastAsia="zh-CN" w:bidi="zh-CN"/>
      </w:rPr>
    </w:lvl>
  </w:abstractNum>
  <w:abstractNum w:abstractNumId="3">
    <w:nsid w:val="EB35C256"/>
    <w:multiLevelType w:val="multilevel"/>
    <w:tmpl w:val="EB35C256"/>
    <w:lvl w:ilvl="0" w:tentative="0">
      <w:start w:val="4"/>
      <w:numFmt w:val="decimal"/>
      <w:lvlText w:val="%1"/>
      <w:lvlJc w:val="left"/>
      <w:pPr>
        <w:ind w:left="642" w:hanging="423"/>
        <w:jc w:val="left"/>
      </w:pPr>
      <w:rPr>
        <w:rFonts w:hint="default"/>
        <w:lang w:val="zh-CN" w:eastAsia="zh-CN" w:bidi="zh-CN"/>
      </w:rPr>
    </w:lvl>
    <w:lvl w:ilvl="1" w:tentative="0">
      <w:start w:val="1"/>
      <w:numFmt w:val="decimal"/>
      <w:lvlText w:val="%1.%2"/>
      <w:lvlJc w:val="left"/>
      <w:pPr>
        <w:ind w:left="642" w:hanging="423"/>
        <w:jc w:val="left"/>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tabs>
          <w:tab w:val="left" w:pos="420"/>
        </w:tabs>
        <w:ind w:left="1100" w:hanging="66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912" w:hanging="660"/>
      </w:pPr>
      <w:rPr>
        <w:rFonts w:hint="default"/>
        <w:lang w:val="zh-CN" w:eastAsia="zh-CN" w:bidi="zh-CN"/>
      </w:rPr>
    </w:lvl>
    <w:lvl w:ilvl="4" w:tentative="0">
      <w:start w:val="0"/>
      <w:numFmt w:val="bullet"/>
      <w:lvlText w:val="•"/>
      <w:lvlJc w:val="left"/>
      <w:pPr>
        <w:ind w:left="4048" w:hanging="660"/>
      </w:pPr>
      <w:rPr>
        <w:rFonts w:hint="default"/>
        <w:lang w:val="zh-CN" w:eastAsia="zh-CN" w:bidi="zh-CN"/>
      </w:rPr>
    </w:lvl>
    <w:lvl w:ilvl="5" w:tentative="0">
      <w:start w:val="0"/>
      <w:numFmt w:val="bullet"/>
      <w:lvlText w:val="•"/>
      <w:lvlJc w:val="left"/>
      <w:pPr>
        <w:ind w:left="5184" w:hanging="660"/>
      </w:pPr>
      <w:rPr>
        <w:rFonts w:hint="default"/>
        <w:lang w:val="zh-CN" w:eastAsia="zh-CN" w:bidi="zh-CN"/>
      </w:rPr>
    </w:lvl>
    <w:lvl w:ilvl="6" w:tentative="0">
      <w:start w:val="0"/>
      <w:numFmt w:val="bullet"/>
      <w:lvlText w:val="•"/>
      <w:lvlJc w:val="left"/>
      <w:pPr>
        <w:ind w:left="6321" w:hanging="660"/>
      </w:pPr>
      <w:rPr>
        <w:rFonts w:hint="default"/>
        <w:lang w:val="zh-CN" w:eastAsia="zh-CN" w:bidi="zh-CN"/>
      </w:rPr>
    </w:lvl>
    <w:lvl w:ilvl="7" w:tentative="0">
      <w:start w:val="0"/>
      <w:numFmt w:val="bullet"/>
      <w:lvlText w:val="•"/>
      <w:lvlJc w:val="left"/>
      <w:pPr>
        <w:ind w:left="7457" w:hanging="660"/>
      </w:pPr>
      <w:rPr>
        <w:rFonts w:hint="default"/>
        <w:lang w:val="zh-CN" w:eastAsia="zh-CN" w:bidi="zh-CN"/>
      </w:rPr>
    </w:lvl>
    <w:lvl w:ilvl="8" w:tentative="0">
      <w:start w:val="0"/>
      <w:numFmt w:val="bullet"/>
      <w:lvlText w:val="•"/>
      <w:lvlJc w:val="left"/>
      <w:pPr>
        <w:ind w:left="8593" w:hanging="660"/>
      </w:pPr>
      <w:rPr>
        <w:rFonts w:hint="default"/>
        <w:lang w:val="zh-CN" w:eastAsia="zh-CN" w:bidi="zh-CN"/>
      </w:rPr>
    </w:lvl>
  </w:abstractNum>
  <w:abstractNum w:abstractNumId="4">
    <w:nsid w:val="EBE77ED8"/>
    <w:multiLevelType w:val="multilevel"/>
    <w:tmpl w:val="EBE77ED8"/>
    <w:lvl w:ilvl="0" w:tentative="0">
      <w:start w:val="7"/>
      <w:numFmt w:val="decimal"/>
      <w:lvlText w:val="%1"/>
      <w:lvlJc w:val="left"/>
      <w:pPr>
        <w:ind w:left="642" w:hanging="423"/>
        <w:jc w:val="left"/>
      </w:pPr>
      <w:rPr>
        <w:rFonts w:hint="default"/>
        <w:lang w:val="zh-CN" w:eastAsia="zh-CN" w:bidi="zh-CN"/>
      </w:rPr>
    </w:lvl>
    <w:lvl w:ilvl="1" w:tentative="0">
      <w:start w:val="1"/>
      <w:numFmt w:val="decimal"/>
      <w:lvlText w:val="%1.%2"/>
      <w:lvlJc w:val="left"/>
      <w:pPr>
        <w:ind w:left="642" w:hanging="423"/>
        <w:jc w:val="left"/>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tabs>
          <w:tab w:val="left" w:pos="420"/>
        </w:tabs>
        <w:ind w:left="1101" w:hanging="66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254" w:hanging="660"/>
      </w:pPr>
      <w:rPr>
        <w:rFonts w:hint="default"/>
        <w:lang w:val="zh-CN" w:eastAsia="zh-CN" w:bidi="zh-CN"/>
      </w:rPr>
    </w:lvl>
    <w:lvl w:ilvl="4" w:tentative="0">
      <w:start w:val="0"/>
      <w:numFmt w:val="bullet"/>
      <w:lvlText w:val="•"/>
      <w:lvlJc w:val="left"/>
      <w:pPr>
        <w:ind w:left="4342" w:hanging="660"/>
      </w:pPr>
      <w:rPr>
        <w:rFonts w:hint="default"/>
        <w:lang w:val="zh-CN" w:eastAsia="zh-CN" w:bidi="zh-CN"/>
      </w:rPr>
    </w:lvl>
    <w:lvl w:ilvl="5" w:tentative="0">
      <w:start w:val="0"/>
      <w:numFmt w:val="bullet"/>
      <w:lvlText w:val="•"/>
      <w:lvlJc w:val="left"/>
      <w:pPr>
        <w:ind w:left="5429" w:hanging="660"/>
      </w:pPr>
      <w:rPr>
        <w:rFonts w:hint="default"/>
        <w:lang w:val="zh-CN" w:eastAsia="zh-CN" w:bidi="zh-CN"/>
      </w:rPr>
    </w:lvl>
    <w:lvl w:ilvl="6" w:tentative="0">
      <w:start w:val="0"/>
      <w:numFmt w:val="bullet"/>
      <w:lvlText w:val="•"/>
      <w:lvlJc w:val="left"/>
      <w:pPr>
        <w:ind w:left="6516" w:hanging="660"/>
      </w:pPr>
      <w:rPr>
        <w:rFonts w:hint="default"/>
        <w:lang w:val="zh-CN" w:eastAsia="zh-CN" w:bidi="zh-CN"/>
      </w:rPr>
    </w:lvl>
    <w:lvl w:ilvl="7" w:tentative="0">
      <w:start w:val="0"/>
      <w:numFmt w:val="bullet"/>
      <w:lvlText w:val="•"/>
      <w:lvlJc w:val="left"/>
      <w:pPr>
        <w:ind w:left="7604" w:hanging="660"/>
      </w:pPr>
      <w:rPr>
        <w:rFonts w:hint="default"/>
        <w:lang w:val="zh-CN" w:eastAsia="zh-CN" w:bidi="zh-CN"/>
      </w:rPr>
    </w:lvl>
    <w:lvl w:ilvl="8" w:tentative="0">
      <w:start w:val="0"/>
      <w:numFmt w:val="bullet"/>
      <w:lvlText w:val="•"/>
      <w:lvlJc w:val="left"/>
      <w:pPr>
        <w:ind w:left="8691" w:hanging="660"/>
      </w:pPr>
      <w:rPr>
        <w:rFonts w:hint="default"/>
        <w:lang w:val="zh-CN" w:eastAsia="zh-CN" w:bidi="zh-CN"/>
      </w:rPr>
    </w:lvl>
  </w:abstractNum>
  <w:abstractNum w:abstractNumId="5">
    <w:nsid w:val="40FB1ACB"/>
    <w:multiLevelType w:val="multilevel"/>
    <w:tmpl w:val="40FB1ACB"/>
    <w:lvl w:ilvl="0" w:tentative="0">
      <w:start w:val="1"/>
      <w:numFmt w:val="decimal"/>
      <w:pStyle w:val="4"/>
      <w:lvlText w:val="%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46A08BB8"/>
    <w:multiLevelType w:val="multilevel"/>
    <w:tmpl w:val="46A08BB8"/>
    <w:lvl w:ilvl="0" w:tentative="0">
      <w:start w:val="1"/>
      <w:numFmt w:val="decimal"/>
      <w:lvlText w:val="%1"/>
      <w:lvlJc w:val="left"/>
      <w:pPr>
        <w:ind w:left="1120" w:hanging="420"/>
        <w:jc w:val="left"/>
      </w:pPr>
      <w:rPr>
        <w:rFonts w:hint="default"/>
        <w:lang w:val="zh-CN" w:eastAsia="zh-CN" w:bidi="zh-CN"/>
      </w:rPr>
    </w:lvl>
    <w:lvl w:ilvl="1" w:tentative="0">
      <w:start w:val="1"/>
      <w:numFmt w:val="decimal"/>
      <w:lvlText w:val="%1.%2"/>
      <w:lvlJc w:val="left"/>
      <w:pPr>
        <w:ind w:left="1120" w:hanging="420"/>
        <w:jc w:val="right"/>
      </w:pPr>
      <w:rPr>
        <w:rFonts w:hint="default" w:ascii="宋体" w:hAnsi="宋体" w:eastAsia="宋体" w:cs="宋体"/>
        <w:w w:val="100"/>
        <w:sz w:val="24"/>
        <w:szCs w:val="24"/>
        <w:lang w:val="zh-CN" w:eastAsia="zh-CN" w:bidi="zh-CN"/>
      </w:rPr>
    </w:lvl>
    <w:lvl w:ilvl="2" w:tentative="0">
      <w:start w:val="0"/>
      <w:numFmt w:val="bullet"/>
      <w:lvlText w:val="•"/>
      <w:lvlJc w:val="left"/>
      <w:pPr>
        <w:ind w:left="3069" w:hanging="420"/>
      </w:pPr>
      <w:rPr>
        <w:rFonts w:hint="default"/>
        <w:lang w:val="zh-CN" w:eastAsia="zh-CN" w:bidi="zh-CN"/>
      </w:rPr>
    </w:lvl>
    <w:lvl w:ilvl="3" w:tentative="0">
      <w:start w:val="0"/>
      <w:numFmt w:val="bullet"/>
      <w:lvlText w:val="•"/>
      <w:lvlJc w:val="left"/>
      <w:pPr>
        <w:ind w:left="4043" w:hanging="420"/>
      </w:pPr>
      <w:rPr>
        <w:rFonts w:hint="default"/>
        <w:lang w:val="zh-CN" w:eastAsia="zh-CN" w:bidi="zh-CN"/>
      </w:rPr>
    </w:lvl>
    <w:lvl w:ilvl="4" w:tentative="0">
      <w:start w:val="0"/>
      <w:numFmt w:val="bullet"/>
      <w:lvlText w:val="•"/>
      <w:lvlJc w:val="left"/>
      <w:pPr>
        <w:ind w:left="5018" w:hanging="420"/>
      </w:pPr>
      <w:rPr>
        <w:rFonts w:hint="default"/>
        <w:lang w:val="zh-CN" w:eastAsia="zh-CN" w:bidi="zh-CN"/>
      </w:rPr>
    </w:lvl>
    <w:lvl w:ilvl="5" w:tentative="0">
      <w:start w:val="0"/>
      <w:numFmt w:val="bullet"/>
      <w:lvlText w:val="•"/>
      <w:lvlJc w:val="left"/>
      <w:pPr>
        <w:ind w:left="5993" w:hanging="420"/>
      </w:pPr>
      <w:rPr>
        <w:rFonts w:hint="default"/>
        <w:lang w:val="zh-CN" w:eastAsia="zh-CN" w:bidi="zh-CN"/>
      </w:rPr>
    </w:lvl>
    <w:lvl w:ilvl="6" w:tentative="0">
      <w:start w:val="0"/>
      <w:numFmt w:val="bullet"/>
      <w:lvlText w:val="•"/>
      <w:lvlJc w:val="left"/>
      <w:pPr>
        <w:ind w:left="6967" w:hanging="420"/>
      </w:pPr>
      <w:rPr>
        <w:rFonts w:hint="default"/>
        <w:lang w:val="zh-CN" w:eastAsia="zh-CN" w:bidi="zh-CN"/>
      </w:rPr>
    </w:lvl>
    <w:lvl w:ilvl="7" w:tentative="0">
      <w:start w:val="0"/>
      <w:numFmt w:val="bullet"/>
      <w:lvlText w:val="•"/>
      <w:lvlJc w:val="left"/>
      <w:pPr>
        <w:ind w:left="7942" w:hanging="420"/>
      </w:pPr>
      <w:rPr>
        <w:rFonts w:hint="default"/>
        <w:lang w:val="zh-CN" w:eastAsia="zh-CN" w:bidi="zh-CN"/>
      </w:rPr>
    </w:lvl>
    <w:lvl w:ilvl="8" w:tentative="0">
      <w:start w:val="0"/>
      <w:numFmt w:val="bullet"/>
      <w:lvlText w:val="•"/>
      <w:lvlJc w:val="left"/>
      <w:pPr>
        <w:ind w:left="8916" w:hanging="420"/>
      </w:pPr>
      <w:rPr>
        <w:rFonts w:hint="default"/>
        <w:lang w:val="zh-CN" w:eastAsia="zh-CN" w:bidi="zh-CN"/>
      </w:rPr>
    </w:lvl>
  </w:abstractNum>
  <w:abstractNum w:abstractNumId="7">
    <w:nsid w:val="4C902F63"/>
    <w:multiLevelType w:val="multilevel"/>
    <w:tmpl w:val="4C902F63"/>
    <w:lvl w:ilvl="0" w:tentative="0">
      <w:start w:val="6"/>
      <w:numFmt w:val="decimal"/>
      <w:lvlText w:val="%1"/>
      <w:lvlJc w:val="left"/>
      <w:pPr>
        <w:ind w:left="642" w:hanging="423"/>
        <w:jc w:val="left"/>
      </w:pPr>
      <w:rPr>
        <w:rFonts w:hint="default"/>
        <w:lang w:val="zh-CN" w:eastAsia="zh-CN" w:bidi="zh-CN"/>
      </w:rPr>
    </w:lvl>
    <w:lvl w:ilvl="1" w:tentative="0">
      <w:start w:val="1"/>
      <w:numFmt w:val="decimal"/>
      <w:lvlText w:val="%1.%2"/>
      <w:lvlJc w:val="left"/>
      <w:pPr>
        <w:ind w:left="642" w:hanging="423"/>
        <w:jc w:val="left"/>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tabs>
          <w:tab w:val="left" w:pos="420"/>
        </w:tabs>
        <w:ind w:left="1100" w:hanging="66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285" w:hanging="660"/>
      </w:pPr>
      <w:rPr>
        <w:rFonts w:hint="default"/>
        <w:lang w:val="zh-CN" w:eastAsia="zh-CN" w:bidi="zh-CN"/>
      </w:rPr>
    </w:lvl>
    <w:lvl w:ilvl="4" w:tentative="0">
      <w:start w:val="0"/>
      <w:numFmt w:val="bullet"/>
      <w:lvlText w:val="•"/>
      <w:lvlJc w:val="left"/>
      <w:pPr>
        <w:ind w:left="4368" w:hanging="660"/>
      </w:pPr>
      <w:rPr>
        <w:rFonts w:hint="default"/>
        <w:lang w:val="zh-CN" w:eastAsia="zh-CN" w:bidi="zh-CN"/>
      </w:rPr>
    </w:lvl>
    <w:lvl w:ilvl="5" w:tentative="0">
      <w:start w:val="0"/>
      <w:numFmt w:val="bullet"/>
      <w:lvlText w:val="•"/>
      <w:lvlJc w:val="left"/>
      <w:pPr>
        <w:ind w:left="5451" w:hanging="660"/>
      </w:pPr>
      <w:rPr>
        <w:rFonts w:hint="default"/>
        <w:lang w:val="zh-CN" w:eastAsia="zh-CN" w:bidi="zh-CN"/>
      </w:rPr>
    </w:lvl>
    <w:lvl w:ilvl="6" w:tentative="0">
      <w:start w:val="0"/>
      <w:numFmt w:val="bullet"/>
      <w:lvlText w:val="•"/>
      <w:lvlJc w:val="left"/>
      <w:pPr>
        <w:ind w:left="6534" w:hanging="660"/>
      </w:pPr>
      <w:rPr>
        <w:rFonts w:hint="default"/>
        <w:lang w:val="zh-CN" w:eastAsia="zh-CN" w:bidi="zh-CN"/>
      </w:rPr>
    </w:lvl>
    <w:lvl w:ilvl="7" w:tentative="0">
      <w:start w:val="0"/>
      <w:numFmt w:val="bullet"/>
      <w:lvlText w:val="•"/>
      <w:lvlJc w:val="left"/>
      <w:pPr>
        <w:ind w:left="7617" w:hanging="660"/>
      </w:pPr>
      <w:rPr>
        <w:rFonts w:hint="default"/>
        <w:lang w:val="zh-CN" w:eastAsia="zh-CN" w:bidi="zh-CN"/>
      </w:rPr>
    </w:lvl>
    <w:lvl w:ilvl="8" w:tentative="0">
      <w:start w:val="0"/>
      <w:numFmt w:val="bullet"/>
      <w:lvlText w:val="•"/>
      <w:lvlJc w:val="left"/>
      <w:pPr>
        <w:ind w:left="8700" w:hanging="660"/>
      </w:pPr>
      <w:rPr>
        <w:rFonts w:hint="default"/>
        <w:lang w:val="zh-CN" w:eastAsia="zh-CN" w:bidi="zh-CN"/>
      </w:rPr>
    </w:lvl>
  </w:abstractNum>
  <w:abstractNum w:abstractNumId="8">
    <w:nsid w:val="704C568D"/>
    <w:multiLevelType w:val="multilevel"/>
    <w:tmpl w:val="704C568D"/>
    <w:lvl w:ilvl="0" w:tentative="0">
      <w:start w:val="1"/>
      <w:numFmt w:val="decimal"/>
      <w:lvlText w:val="（%1）"/>
      <w:lvlJc w:val="left"/>
      <w:pPr>
        <w:tabs>
          <w:tab w:val="left" w:pos="420"/>
        </w:tabs>
        <w:ind w:left="1482"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457" w:hanging="601"/>
      </w:pPr>
      <w:rPr>
        <w:rFonts w:hint="default"/>
        <w:lang w:val="zh-CN" w:eastAsia="zh-CN" w:bidi="zh-CN"/>
      </w:rPr>
    </w:lvl>
    <w:lvl w:ilvl="2" w:tentative="0">
      <w:start w:val="0"/>
      <w:numFmt w:val="bullet"/>
      <w:lvlText w:val="•"/>
      <w:lvlJc w:val="left"/>
      <w:pPr>
        <w:ind w:left="3442" w:hanging="601"/>
      </w:pPr>
      <w:rPr>
        <w:rFonts w:hint="default"/>
        <w:lang w:val="zh-CN" w:eastAsia="zh-CN" w:bidi="zh-CN"/>
      </w:rPr>
    </w:lvl>
    <w:lvl w:ilvl="3" w:tentative="0">
      <w:start w:val="0"/>
      <w:numFmt w:val="bullet"/>
      <w:lvlText w:val="•"/>
      <w:lvlJc w:val="left"/>
      <w:pPr>
        <w:ind w:left="4426" w:hanging="601"/>
      </w:pPr>
      <w:rPr>
        <w:rFonts w:hint="default"/>
        <w:lang w:val="zh-CN" w:eastAsia="zh-CN" w:bidi="zh-CN"/>
      </w:rPr>
    </w:lvl>
    <w:lvl w:ilvl="4" w:tentative="0">
      <w:start w:val="0"/>
      <w:numFmt w:val="bullet"/>
      <w:lvlText w:val="•"/>
      <w:lvlJc w:val="left"/>
      <w:pPr>
        <w:ind w:left="5411" w:hanging="601"/>
      </w:pPr>
      <w:rPr>
        <w:rFonts w:hint="default"/>
        <w:lang w:val="zh-CN" w:eastAsia="zh-CN" w:bidi="zh-CN"/>
      </w:rPr>
    </w:lvl>
    <w:lvl w:ilvl="5" w:tentative="0">
      <w:start w:val="0"/>
      <w:numFmt w:val="bullet"/>
      <w:lvlText w:val="•"/>
      <w:lvlJc w:val="left"/>
      <w:pPr>
        <w:ind w:left="6396" w:hanging="601"/>
      </w:pPr>
      <w:rPr>
        <w:rFonts w:hint="default"/>
        <w:lang w:val="zh-CN" w:eastAsia="zh-CN" w:bidi="zh-CN"/>
      </w:rPr>
    </w:lvl>
    <w:lvl w:ilvl="6" w:tentative="0">
      <w:start w:val="0"/>
      <w:numFmt w:val="bullet"/>
      <w:lvlText w:val="•"/>
      <w:lvlJc w:val="left"/>
      <w:pPr>
        <w:ind w:left="7380" w:hanging="601"/>
      </w:pPr>
      <w:rPr>
        <w:rFonts w:hint="default"/>
        <w:lang w:val="zh-CN" w:eastAsia="zh-CN" w:bidi="zh-CN"/>
      </w:rPr>
    </w:lvl>
    <w:lvl w:ilvl="7" w:tentative="0">
      <w:start w:val="0"/>
      <w:numFmt w:val="bullet"/>
      <w:lvlText w:val="•"/>
      <w:lvlJc w:val="left"/>
      <w:pPr>
        <w:ind w:left="8365" w:hanging="601"/>
      </w:pPr>
      <w:rPr>
        <w:rFonts w:hint="default"/>
        <w:lang w:val="zh-CN" w:eastAsia="zh-CN" w:bidi="zh-CN"/>
      </w:rPr>
    </w:lvl>
    <w:lvl w:ilvl="8" w:tentative="0">
      <w:start w:val="0"/>
      <w:numFmt w:val="bullet"/>
      <w:lvlText w:val="•"/>
      <w:lvlJc w:val="left"/>
      <w:pPr>
        <w:ind w:left="9349" w:hanging="601"/>
      </w:pPr>
      <w:rPr>
        <w:rFonts w:hint="default"/>
        <w:lang w:val="zh-CN" w:eastAsia="zh-CN" w:bidi="zh-CN"/>
      </w:rPr>
    </w:lvl>
  </w:abstractNum>
  <w:abstractNum w:abstractNumId="9">
    <w:nsid w:val="7E8F04B3"/>
    <w:multiLevelType w:val="multilevel"/>
    <w:tmpl w:val="7E8F04B3"/>
    <w:lvl w:ilvl="0" w:tentative="0">
      <w:start w:val="0"/>
      <w:numFmt w:val="decimal"/>
      <w:lvlText w:val=""/>
      <w:lvlJc w:val="left"/>
      <w:pPr>
        <w:tabs>
          <w:tab w:val="left" w:pos="0"/>
        </w:tabs>
      </w:pPr>
      <w:rPr>
        <w:rFonts w:cs="Times New Roman"/>
      </w:rPr>
    </w:lvl>
    <w:lvl w:ilvl="1" w:tentative="0">
      <w:start w:val="0"/>
      <w:numFmt w:val="decimal"/>
      <w:pStyle w:val="3"/>
      <w:lvlText w:val=""/>
      <w:lvlJc w:val="left"/>
      <w:pPr>
        <w:tabs>
          <w:tab w:val="left" w:pos="0"/>
        </w:tabs>
      </w:pPr>
      <w:rPr>
        <w:rFonts w:cs="Times New Roman"/>
      </w:rPr>
    </w:lvl>
    <w:lvl w:ilvl="2" w:tentative="0">
      <w:start w:val="0"/>
      <w:numFmt w:val="decimal"/>
      <w:lvlText w:val=""/>
      <w:lvlJc w:val="left"/>
      <w:pPr>
        <w:tabs>
          <w:tab w:val="left" w:pos="0"/>
        </w:tabs>
      </w:pPr>
      <w:rPr>
        <w:rFonts w:cs="Times New Roman"/>
      </w:rPr>
    </w:lvl>
    <w:lvl w:ilvl="3" w:tentative="0">
      <w:start w:val="0"/>
      <w:numFmt w:val="decimal"/>
      <w:lvlText w:val=""/>
      <w:lvlJc w:val="left"/>
      <w:pPr>
        <w:tabs>
          <w:tab w:val="left" w:pos="0"/>
        </w:tabs>
      </w:pPr>
      <w:rPr>
        <w:rFonts w:cs="Times New Roman"/>
      </w:rPr>
    </w:lvl>
    <w:lvl w:ilvl="4" w:tentative="0">
      <w:start w:val="0"/>
      <w:numFmt w:val="decimal"/>
      <w:lvlText w:val=""/>
      <w:lvlJc w:val="left"/>
      <w:pPr>
        <w:tabs>
          <w:tab w:val="left" w:pos="0"/>
        </w:tabs>
      </w:pPr>
      <w:rPr>
        <w:rFonts w:cs="Times New Roman"/>
      </w:rPr>
    </w:lvl>
    <w:lvl w:ilvl="5" w:tentative="0">
      <w:start w:val="0"/>
      <w:numFmt w:val="decimal"/>
      <w:lvlText w:val=""/>
      <w:lvlJc w:val="left"/>
      <w:pPr>
        <w:tabs>
          <w:tab w:val="left" w:pos="0"/>
        </w:tabs>
      </w:pPr>
      <w:rPr>
        <w:rFonts w:cs="Times New Roman"/>
      </w:rPr>
    </w:lvl>
    <w:lvl w:ilvl="6" w:tentative="0">
      <w:start w:val="0"/>
      <w:numFmt w:val="decimal"/>
      <w:lvlText w:val=""/>
      <w:lvlJc w:val="left"/>
      <w:pPr>
        <w:tabs>
          <w:tab w:val="left" w:pos="0"/>
        </w:tabs>
      </w:pPr>
      <w:rPr>
        <w:rFonts w:cs="Times New Roman"/>
      </w:rPr>
    </w:lvl>
    <w:lvl w:ilvl="7" w:tentative="0">
      <w:start w:val="0"/>
      <w:numFmt w:val="decimal"/>
      <w:lvlText w:val=""/>
      <w:lvlJc w:val="left"/>
      <w:pPr>
        <w:tabs>
          <w:tab w:val="left" w:pos="0"/>
        </w:tabs>
      </w:pPr>
      <w:rPr>
        <w:rFonts w:cs="Times New Roman"/>
      </w:rPr>
    </w:lvl>
    <w:lvl w:ilvl="8" w:tentative="0">
      <w:start w:val="0"/>
      <w:numFmt w:val="decimal"/>
      <w:lvlText w:val=""/>
      <w:lvlJc w:val="left"/>
      <w:pPr>
        <w:tabs>
          <w:tab w:val="left" w:pos="0"/>
        </w:tabs>
      </w:pPr>
      <w:rPr>
        <w:rFonts w:cs="Times New Roman"/>
      </w:rPr>
    </w:lvl>
  </w:abstractNum>
  <w:num w:numId="1">
    <w:abstractNumId w:val="9"/>
  </w:num>
  <w:num w:numId="2">
    <w:abstractNumId w:val="5"/>
  </w:num>
  <w:num w:numId="3">
    <w:abstractNumId w:val="6"/>
  </w:num>
  <w:num w:numId="4">
    <w:abstractNumId w:val="8"/>
  </w:num>
  <w:num w:numId="5">
    <w:abstractNumId w:val="2"/>
  </w:num>
  <w:num w:numId="6">
    <w:abstractNumId w:val="3"/>
  </w:num>
  <w:num w:numId="7">
    <w:abstractNumId w:val="1"/>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yNjM1NmJmY2RlYzg2MzAyMTE0ZmNmM2VmNjg5Y2UifQ=="/>
  </w:docVars>
  <w:rsids>
    <w:rsidRoot w:val="2C9025C3"/>
    <w:rsid w:val="0168187F"/>
    <w:rsid w:val="027754FB"/>
    <w:rsid w:val="028D22D7"/>
    <w:rsid w:val="050C3CC6"/>
    <w:rsid w:val="05C704E5"/>
    <w:rsid w:val="07027CB2"/>
    <w:rsid w:val="07AF7E3A"/>
    <w:rsid w:val="07F97C28"/>
    <w:rsid w:val="094A6938"/>
    <w:rsid w:val="09587221"/>
    <w:rsid w:val="097C34E6"/>
    <w:rsid w:val="0A206DCD"/>
    <w:rsid w:val="0A636CB9"/>
    <w:rsid w:val="0AA22432"/>
    <w:rsid w:val="0AD277F7"/>
    <w:rsid w:val="0ADF651D"/>
    <w:rsid w:val="0BBA4C68"/>
    <w:rsid w:val="0C2F4286"/>
    <w:rsid w:val="0E777501"/>
    <w:rsid w:val="0EF45FEF"/>
    <w:rsid w:val="100101D5"/>
    <w:rsid w:val="11223FAF"/>
    <w:rsid w:val="11235494"/>
    <w:rsid w:val="114E0F75"/>
    <w:rsid w:val="125241B1"/>
    <w:rsid w:val="13433851"/>
    <w:rsid w:val="15321946"/>
    <w:rsid w:val="15E76F5D"/>
    <w:rsid w:val="16465E7A"/>
    <w:rsid w:val="16CD7CC1"/>
    <w:rsid w:val="1755065F"/>
    <w:rsid w:val="17C35408"/>
    <w:rsid w:val="190E2495"/>
    <w:rsid w:val="1ABA6FD3"/>
    <w:rsid w:val="1AC01B76"/>
    <w:rsid w:val="1C0D0B9C"/>
    <w:rsid w:val="1FF10949"/>
    <w:rsid w:val="20B578F7"/>
    <w:rsid w:val="21501BF0"/>
    <w:rsid w:val="22737F8A"/>
    <w:rsid w:val="22F369D5"/>
    <w:rsid w:val="236C49D9"/>
    <w:rsid w:val="24A67A27"/>
    <w:rsid w:val="250815F1"/>
    <w:rsid w:val="258D7B7C"/>
    <w:rsid w:val="26DF78A8"/>
    <w:rsid w:val="26E543C0"/>
    <w:rsid w:val="2711135F"/>
    <w:rsid w:val="276A5F64"/>
    <w:rsid w:val="27BF42AD"/>
    <w:rsid w:val="28AE0D1D"/>
    <w:rsid w:val="28C121CF"/>
    <w:rsid w:val="297A191C"/>
    <w:rsid w:val="297D3822"/>
    <w:rsid w:val="297E1536"/>
    <w:rsid w:val="299C349F"/>
    <w:rsid w:val="29E0129D"/>
    <w:rsid w:val="2AA02238"/>
    <w:rsid w:val="2C9025C3"/>
    <w:rsid w:val="2D8562DF"/>
    <w:rsid w:val="2EDC122E"/>
    <w:rsid w:val="314655BF"/>
    <w:rsid w:val="325113BA"/>
    <w:rsid w:val="334D5230"/>
    <w:rsid w:val="34551DDB"/>
    <w:rsid w:val="35D83815"/>
    <w:rsid w:val="35F9642A"/>
    <w:rsid w:val="3635559B"/>
    <w:rsid w:val="36846DC5"/>
    <w:rsid w:val="36853887"/>
    <w:rsid w:val="369C67E3"/>
    <w:rsid w:val="36E51695"/>
    <w:rsid w:val="372E14F8"/>
    <w:rsid w:val="37423394"/>
    <w:rsid w:val="389B749B"/>
    <w:rsid w:val="39294342"/>
    <w:rsid w:val="39842625"/>
    <w:rsid w:val="39BE663C"/>
    <w:rsid w:val="3BED7436"/>
    <w:rsid w:val="3BF35BEA"/>
    <w:rsid w:val="3C8C0DEF"/>
    <w:rsid w:val="401977DF"/>
    <w:rsid w:val="41036525"/>
    <w:rsid w:val="415D4C1F"/>
    <w:rsid w:val="42470693"/>
    <w:rsid w:val="42C700D1"/>
    <w:rsid w:val="42E24CD9"/>
    <w:rsid w:val="43371358"/>
    <w:rsid w:val="437752A8"/>
    <w:rsid w:val="43853160"/>
    <w:rsid w:val="45F844FF"/>
    <w:rsid w:val="46CC0F9C"/>
    <w:rsid w:val="47176886"/>
    <w:rsid w:val="47223834"/>
    <w:rsid w:val="47DC2CB9"/>
    <w:rsid w:val="483A05AD"/>
    <w:rsid w:val="48A83CB2"/>
    <w:rsid w:val="48CC3C09"/>
    <w:rsid w:val="49E577A2"/>
    <w:rsid w:val="4A993A56"/>
    <w:rsid w:val="4B2C14AC"/>
    <w:rsid w:val="4C364436"/>
    <w:rsid w:val="4C900F09"/>
    <w:rsid w:val="4CC4400D"/>
    <w:rsid w:val="4CD237BB"/>
    <w:rsid w:val="4DB655B2"/>
    <w:rsid w:val="4E2B0E69"/>
    <w:rsid w:val="4F280FCE"/>
    <w:rsid w:val="4F5E3932"/>
    <w:rsid w:val="4FC43323"/>
    <w:rsid w:val="517A4DF5"/>
    <w:rsid w:val="53066104"/>
    <w:rsid w:val="569C6729"/>
    <w:rsid w:val="5737107E"/>
    <w:rsid w:val="58CA27EE"/>
    <w:rsid w:val="590442D0"/>
    <w:rsid w:val="59F0424B"/>
    <w:rsid w:val="5A7354DD"/>
    <w:rsid w:val="5AFA3C1C"/>
    <w:rsid w:val="5BC11579"/>
    <w:rsid w:val="5C590E31"/>
    <w:rsid w:val="5C67313B"/>
    <w:rsid w:val="5CD223FA"/>
    <w:rsid w:val="5F906089"/>
    <w:rsid w:val="60F95908"/>
    <w:rsid w:val="610C0AC7"/>
    <w:rsid w:val="62AD6E5E"/>
    <w:rsid w:val="630540BC"/>
    <w:rsid w:val="63D43DD5"/>
    <w:rsid w:val="64CC7545"/>
    <w:rsid w:val="65B07880"/>
    <w:rsid w:val="6605159B"/>
    <w:rsid w:val="6703383A"/>
    <w:rsid w:val="671309C0"/>
    <w:rsid w:val="673450C9"/>
    <w:rsid w:val="678161BB"/>
    <w:rsid w:val="685D3F6A"/>
    <w:rsid w:val="6A1B6824"/>
    <w:rsid w:val="6A7875D7"/>
    <w:rsid w:val="6B86571E"/>
    <w:rsid w:val="6BB65DBE"/>
    <w:rsid w:val="6BC263AE"/>
    <w:rsid w:val="6D6913A6"/>
    <w:rsid w:val="7073128B"/>
    <w:rsid w:val="7121425C"/>
    <w:rsid w:val="713A4B61"/>
    <w:rsid w:val="716A5681"/>
    <w:rsid w:val="72531F1A"/>
    <w:rsid w:val="73064DFF"/>
    <w:rsid w:val="737F391E"/>
    <w:rsid w:val="73DD3D1A"/>
    <w:rsid w:val="744D717B"/>
    <w:rsid w:val="746F5E93"/>
    <w:rsid w:val="74A32F2B"/>
    <w:rsid w:val="755E113C"/>
    <w:rsid w:val="75651DC8"/>
    <w:rsid w:val="758F784A"/>
    <w:rsid w:val="7678411E"/>
    <w:rsid w:val="780962C6"/>
    <w:rsid w:val="79087A0E"/>
    <w:rsid w:val="794B58A6"/>
    <w:rsid w:val="7AA37E55"/>
    <w:rsid w:val="7ABB63DB"/>
    <w:rsid w:val="7AFB4065"/>
    <w:rsid w:val="7B096151"/>
    <w:rsid w:val="7B1E74DC"/>
    <w:rsid w:val="7C391D91"/>
    <w:rsid w:val="7C6F7FEF"/>
    <w:rsid w:val="7E935599"/>
    <w:rsid w:val="7F951CF6"/>
    <w:rsid w:val="7FDD5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nhideWhenUsed="0" w:uiPriority="1" w:semiHidden="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28"/>
      <w:outlineLvl w:val="0"/>
    </w:pPr>
    <w:rPr>
      <w:b/>
      <w:bCs/>
      <w:sz w:val="52"/>
      <w:szCs w:val="52"/>
    </w:rPr>
  </w:style>
  <w:style w:type="paragraph" w:styleId="3">
    <w:name w:val="heading 2"/>
    <w:basedOn w:val="1"/>
    <w:next w:val="1"/>
    <w:qFormat/>
    <w:uiPriority w:val="99"/>
    <w:pPr>
      <w:keepNext/>
      <w:keepLines/>
      <w:numPr>
        <w:ilvl w:val="1"/>
        <w:numId w:val="1"/>
      </w:numPr>
      <w:spacing w:before="260" w:after="260" w:line="415"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numPr>
        <w:ilvl w:val="0"/>
        <w:numId w:val="2"/>
      </w:numPr>
      <w:adjustRightInd w:val="0"/>
      <w:snapToGrid w:val="0"/>
      <w:spacing w:before="120" w:after="120"/>
      <w:ind w:firstLine="0" w:firstLineChars="0"/>
      <w:outlineLvl w:val="2"/>
    </w:pPr>
    <w:rPr>
      <w:rFonts w:ascii="楷体_GB2312" w:eastAsia="楷体_GB2312"/>
      <w:b/>
      <w:bCs/>
      <w:szCs w:val="28"/>
    </w:rPr>
  </w:style>
  <w:style w:type="paragraph" w:styleId="5">
    <w:name w:val="heading 4"/>
    <w:basedOn w:val="1"/>
    <w:next w:val="1"/>
    <w:qFormat/>
    <w:uiPriority w:val="1"/>
    <w:pPr>
      <w:spacing w:before="1"/>
      <w:ind w:right="680"/>
      <w:jc w:val="center"/>
      <w:outlineLvl w:val="3"/>
    </w:pPr>
    <w:rPr>
      <w:sz w:val="44"/>
      <w:szCs w:val="44"/>
    </w:rPr>
  </w:style>
  <w:style w:type="paragraph" w:styleId="6">
    <w:name w:val="heading 5"/>
    <w:basedOn w:val="1"/>
    <w:next w:val="1"/>
    <w:qFormat/>
    <w:uiPriority w:val="1"/>
    <w:pPr>
      <w:spacing w:before="16"/>
      <w:ind w:right="763"/>
      <w:jc w:val="center"/>
      <w:outlineLvl w:val="4"/>
    </w:pPr>
    <w:rPr>
      <w:sz w:val="40"/>
      <w:szCs w:val="40"/>
    </w:rPr>
  </w:style>
  <w:style w:type="paragraph" w:styleId="7">
    <w:name w:val="heading 8"/>
    <w:basedOn w:val="1"/>
    <w:next w:val="1"/>
    <w:qFormat/>
    <w:uiPriority w:val="1"/>
    <w:pPr>
      <w:spacing w:before="30"/>
      <w:ind w:left="282"/>
      <w:jc w:val="center"/>
      <w:outlineLvl w:val="7"/>
    </w:pPr>
    <w:rPr>
      <w:b/>
      <w:bCs/>
      <w:sz w:val="32"/>
      <w:szCs w:val="32"/>
    </w:rPr>
  </w:style>
  <w:style w:type="paragraph" w:styleId="8">
    <w:name w:val="heading 9"/>
    <w:basedOn w:val="1"/>
    <w:next w:val="1"/>
    <w:qFormat/>
    <w:uiPriority w:val="1"/>
    <w:pPr>
      <w:spacing w:before="30"/>
      <w:ind w:right="984"/>
      <w:jc w:val="right"/>
      <w:outlineLvl w:val="8"/>
    </w:pPr>
    <w:rPr>
      <w:sz w:val="32"/>
      <w:szCs w:val="32"/>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9">
    <w:name w:val="table of authorities"/>
    <w:basedOn w:val="1"/>
    <w:next w:val="1"/>
    <w:unhideWhenUsed/>
    <w:qFormat/>
    <w:uiPriority w:val="99"/>
    <w:pPr>
      <w:keepNext w:val="0"/>
      <w:keepLines w:val="0"/>
      <w:widowControl w:val="0"/>
      <w:suppressLineNumbers w:val="0"/>
      <w:spacing w:before="0" w:beforeAutospacing="0" w:after="0" w:afterAutospacing="0"/>
      <w:ind w:left="420" w:leftChars="200" w:right="0"/>
      <w:jc w:val="both"/>
    </w:pPr>
    <w:rPr>
      <w:rFonts w:hint="default" w:ascii="Times New Roman" w:hAnsi="Times New Roman" w:eastAsia="宋体" w:cs="Times New Roman"/>
      <w:kern w:val="2"/>
      <w:sz w:val="21"/>
      <w:szCs w:val="24"/>
      <w:lang w:val="en-US" w:eastAsia="zh-CN" w:bidi="ar"/>
    </w:rPr>
  </w:style>
  <w:style w:type="paragraph" w:styleId="10">
    <w:name w:val="Normal Indent"/>
    <w:basedOn w:val="1"/>
    <w:next w:val="1"/>
    <w:qFormat/>
    <w:uiPriority w:val="0"/>
    <w:pPr>
      <w:spacing w:line="360" w:lineRule="auto"/>
      <w:ind w:firstLine="420" w:firstLineChars="200"/>
    </w:pPr>
    <w:rPr>
      <w:kern w:val="0"/>
      <w:sz w:val="24"/>
      <w:szCs w:val="24"/>
    </w:rPr>
  </w:style>
  <w:style w:type="paragraph" w:styleId="11">
    <w:name w:val="annotation text"/>
    <w:basedOn w:val="1"/>
    <w:qFormat/>
    <w:uiPriority w:val="0"/>
    <w:pPr>
      <w:jc w:val="left"/>
    </w:pPr>
  </w:style>
  <w:style w:type="paragraph" w:styleId="12">
    <w:name w:val="Salutation"/>
    <w:basedOn w:val="1"/>
    <w:next w:val="1"/>
    <w:qFormat/>
    <w:uiPriority w:val="0"/>
  </w:style>
  <w:style w:type="paragraph" w:styleId="13">
    <w:name w:val="Body Text 3"/>
    <w:basedOn w:val="1"/>
    <w:qFormat/>
    <w:uiPriority w:val="0"/>
    <w:pPr>
      <w:spacing w:after="120"/>
    </w:pPr>
    <w:rPr>
      <w:sz w:val="16"/>
      <w:szCs w:val="16"/>
    </w:rPr>
  </w:style>
  <w:style w:type="paragraph" w:styleId="14">
    <w:name w:val="Body Text"/>
    <w:basedOn w:val="1"/>
    <w:link w:val="74"/>
    <w:qFormat/>
    <w:uiPriority w:val="0"/>
    <w:rPr>
      <w:sz w:val="24"/>
      <w:szCs w:val="24"/>
    </w:rPr>
  </w:style>
  <w:style w:type="paragraph" w:styleId="15">
    <w:name w:val="Body Text Indent"/>
    <w:basedOn w:val="1"/>
    <w:link w:val="73"/>
    <w:qFormat/>
    <w:uiPriority w:val="0"/>
    <w:pPr>
      <w:spacing w:after="120"/>
      <w:ind w:left="420" w:leftChars="200"/>
    </w:pPr>
  </w:style>
  <w:style w:type="paragraph" w:styleId="16">
    <w:name w:val="Body Text Indent 2"/>
    <w:basedOn w:val="1"/>
    <w:qFormat/>
    <w:uiPriority w:val="0"/>
    <w:pPr>
      <w:spacing w:after="120" w:line="480" w:lineRule="auto"/>
      <w:ind w:left="420" w:leftChars="200"/>
    </w:p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Subtitle"/>
    <w:next w:val="1"/>
    <w:qFormat/>
    <w:uiPriority w:val="0"/>
    <w:pPr>
      <w:widowControl w:val="0"/>
      <w:spacing w:before="100" w:beforeAutospacing="1" w:after="100" w:afterAutospacing="1" w:line="312" w:lineRule="auto"/>
      <w:jc w:val="center"/>
      <w:outlineLvl w:val="1"/>
    </w:pPr>
    <w:rPr>
      <w:rFonts w:ascii="Cambria" w:hAnsi="Cambria" w:eastAsia="宋体" w:cs="Times New Roman"/>
      <w:b/>
      <w:bCs/>
      <w:kern w:val="28"/>
      <w:sz w:val="32"/>
      <w:szCs w:val="32"/>
      <w:lang w:val="en-US" w:eastAsia="zh-CN" w:bidi="ar-SA"/>
    </w:rPr>
  </w:style>
  <w:style w:type="paragraph" w:styleId="20">
    <w:name w:val="Normal (Web)"/>
    <w:basedOn w:val="1"/>
    <w:qFormat/>
    <w:uiPriority w:val="0"/>
    <w:pPr>
      <w:autoSpaceDE/>
      <w:autoSpaceDN/>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21">
    <w:name w:val="Body Text First Indent"/>
    <w:basedOn w:val="14"/>
    <w:qFormat/>
    <w:uiPriority w:val="0"/>
    <w:pPr>
      <w:spacing w:line="312" w:lineRule="auto"/>
      <w:ind w:firstLine="420"/>
    </w:pPr>
    <w:rPr>
      <w:rFonts w:ascii="Times New Roman" w:hAnsi="Times New Roman"/>
      <w:szCs w:val="24"/>
    </w:rPr>
  </w:style>
  <w:style w:type="paragraph" w:styleId="22">
    <w:name w:val="Body Text First Indent 2"/>
    <w:basedOn w:val="15"/>
    <w:link w:val="72"/>
    <w:qFormat/>
    <w:uiPriority w:val="0"/>
    <w:pPr>
      <w:ind w:firstLine="420"/>
    </w:pPr>
    <w:rPr>
      <w:sz w:val="21"/>
      <w:szCs w:val="24"/>
    </w:r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style>
  <w:style w:type="character" w:styleId="27">
    <w:name w:val="FollowedHyperlink"/>
    <w:basedOn w:val="25"/>
    <w:qFormat/>
    <w:uiPriority w:val="0"/>
    <w:rPr>
      <w:color w:val="5C5C5C"/>
      <w:u w:val="none"/>
    </w:rPr>
  </w:style>
  <w:style w:type="character" w:styleId="28">
    <w:name w:val="Emphasis"/>
    <w:basedOn w:val="25"/>
    <w:qFormat/>
    <w:uiPriority w:val="0"/>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basedOn w:val="25"/>
    <w:qFormat/>
    <w:uiPriority w:val="0"/>
    <w:rPr>
      <w:color w:val="5C5C5C"/>
      <w:u w:val="none"/>
    </w:rPr>
  </w:style>
  <w:style w:type="character" w:styleId="34">
    <w:name w:val="HTML Code"/>
    <w:basedOn w:val="25"/>
    <w:qFormat/>
    <w:uiPriority w:val="0"/>
    <w:rPr>
      <w:rFonts w:hint="default" w:ascii="monospace" w:hAnsi="monospace" w:eastAsia="monospace" w:cs="monospace"/>
      <w:sz w:val="20"/>
    </w:rPr>
  </w:style>
  <w:style w:type="character" w:styleId="35">
    <w:name w:val="HTML Cite"/>
    <w:basedOn w:val="25"/>
    <w:qFormat/>
    <w:uiPriority w:val="0"/>
  </w:style>
  <w:style w:type="character" w:styleId="36">
    <w:name w:val="HTML Keyboard"/>
    <w:basedOn w:val="25"/>
    <w:qFormat/>
    <w:uiPriority w:val="0"/>
    <w:rPr>
      <w:rFonts w:hint="default" w:ascii="monospace" w:hAnsi="monospace" w:eastAsia="monospace" w:cs="monospace"/>
      <w:sz w:val="20"/>
      <w:bdr w:val="single" w:color="D6D6D6" w:sz="6" w:space="0"/>
      <w:shd w:val="clear" w:fill="FFFFFF"/>
    </w:rPr>
  </w:style>
  <w:style w:type="character" w:styleId="37">
    <w:name w:val="HTML Sample"/>
    <w:basedOn w:val="25"/>
    <w:qFormat/>
    <w:uiPriority w:val="0"/>
    <w:rPr>
      <w:rFonts w:ascii="monospace" w:hAnsi="monospace" w:eastAsia="monospace" w:cs="monospace"/>
    </w:rPr>
  </w:style>
  <w:style w:type="paragraph" w:customStyle="1" w:styleId="38">
    <w:name w:val="样式 左 行距: 最小值 28 磅"/>
    <w:basedOn w:val="1"/>
    <w:qFormat/>
    <w:uiPriority w:val="99"/>
    <w:pPr>
      <w:shd w:val="clear" w:color="auto" w:fill="FFFFFF"/>
      <w:spacing w:line="360" w:lineRule="atLeast"/>
      <w:jc w:val="left"/>
    </w:pPr>
    <w:rPr>
      <w:sz w:val="32"/>
      <w:szCs w:val="32"/>
    </w:rPr>
  </w:style>
  <w:style w:type="paragraph" w:customStyle="1" w:styleId="39">
    <w:name w:val="标题 Char Char"/>
    <w:basedOn w:val="1"/>
    <w:qFormat/>
    <w:uiPriority w:val="0"/>
    <w:pPr>
      <w:spacing w:before="240" w:after="60"/>
      <w:jc w:val="center"/>
      <w:outlineLvl w:val="0"/>
    </w:pPr>
    <w:rPr>
      <w:rFonts w:ascii="Arial" w:hAnsi="Arial" w:cs="Times New Roman"/>
      <w:b/>
    </w:rPr>
  </w:style>
  <w:style w:type="paragraph" w:styleId="40">
    <w:name w:val="List Paragraph"/>
    <w:basedOn w:val="1"/>
    <w:qFormat/>
    <w:uiPriority w:val="1"/>
    <w:pPr>
      <w:ind w:left="220" w:hanging="601"/>
    </w:pPr>
  </w:style>
  <w:style w:type="paragraph" w:customStyle="1" w:styleId="41">
    <w:name w:val="Table Paragraph"/>
    <w:basedOn w:val="1"/>
    <w:qFormat/>
    <w:uiPriority w:val="1"/>
  </w:style>
  <w:style w:type="paragraph" w:customStyle="1" w:styleId="42">
    <w:name w:val="WPSOffice手动目录 1"/>
    <w:qFormat/>
    <w:uiPriority w:val="0"/>
    <w:pPr>
      <w:ind w:leftChars="0"/>
    </w:pPr>
    <w:rPr>
      <w:rFonts w:asciiTheme="minorHAnsi" w:hAnsiTheme="minorHAnsi" w:eastAsiaTheme="minorEastAsia" w:cstheme="minorBidi"/>
      <w:sz w:val="20"/>
      <w:szCs w:val="20"/>
    </w:rPr>
  </w:style>
  <w:style w:type="paragraph" w:customStyle="1" w:styleId="43">
    <w:name w:val="WPSOffice手动目录 2"/>
    <w:qFormat/>
    <w:uiPriority w:val="0"/>
    <w:pPr>
      <w:ind w:leftChars="200"/>
    </w:pPr>
    <w:rPr>
      <w:rFonts w:asciiTheme="minorHAnsi" w:hAnsiTheme="minorHAnsi" w:eastAsiaTheme="minorEastAsia" w:cstheme="minorBidi"/>
      <w:sz w:val="20"/>
      <w:szCs w:val="20"/>
    </w:rPr>
  </w:style>
  <w:style w:type="character" w:customStyle="1" w:styleId="44">
    <w:name w:val="hover"/>
    <w:basedOn w:val="25"/>
    <w:qFormat/>
    <w:uiPriority w:val="0"/>
    <w:rPr>
      <w:color w:val="2590EB"/>
    </w:rPr>
  </w:style>
  <w:style w:type="character" w:customStyle="1" w:styleId="45">
    <w:name w:val="hover1"/>
    <w:basedOn w:val="25"/>
    <w:qFormat/>
    <w:uiPriority w:val="0"/>
  </w:style>
  <w:style w:type="character" w:customStyle="1" w:styleId="46">
    <w:name w:val="hover2"/>
    <w:basedOn w:val="25"/>
    <w:qFormat/>
    <w:uiPriority w:val="0"/>
    <w:rPr>
      <w:color w:val="2590EB"/>
      <w:shd w:val="clear" w:fill="E9F4FD"/>
    </w:rPr>
  </w:style>
  <w:style w:type="character" w:customStyle="1" w:styleId="47">
    <w:name w:val="hover3"/>
    <w:basedOn w:val="25"/>
    <w:qFormat/>
    <w:uiPriority w:val="0"/>
    <w:rPr>
      <w:color w:val="2590EB"/>
    </w:rPr>
  </w:style>
  <w:style w:type="paragraph" w:customStyle="1" w:styleId="48">
    <w:name w:val="cjk"/>
    <w:basedOn w:val="1"/>
    <w:qFormat/>
    <w:uiPriority w:val="99"/>
    <w:pPr>
      <w:widowControl/>
      <w:spacing w:line="480" w:lineRule="auto"/>
      <w:jc w:val="left"/>
    </w:pPr>
    <w:rPr>
      <w:rFonts w:ascii="宋体" w:hAnsi="宋体" w:cs="宋体"/>
      <w:kern w:val="0"/>
      <w:sz w:val="24"/>
      <w:szCs w:val="24"/>
    </w:rPr>
  </w:style>
  <w:style w:type="character" w:customStyle="1" w:styleId="49">
    <w:name w:val="times"/>
    <w:basedOn w:val="25"/>
    <w:qFormat/>
    <w:uiPriority w:val="0"/>
    <w:rPr>
      <w:color w:val="222222"/>
      <w:sz w:val="21"/>
      <w:szCs w:val="21"/>
    </w:rPr>
  </w:style>
  <w:style w:type="character" w:customStyle="1" w:styleId="50">
    <w:name w:val="name"/>
    <w:basedOn w:val="25"/>
    <w:qFormat/>
    <w:uiPriority w:val="0"/>
    <w:rPr>
      <w:color w:val="222222"/>
      <w:sz w:val="27"/>
      <w:szCs w:val="27"/>
    </w:rPr>
  </w:style>
  <w:style w:type="character" w:customStyle="1" w:styleId="51">
    <w:name w:val="name1"/>
    <w:basedOn w:val="25"/>
    <w:qFormat/>
    <w:uiPriority w:val="0"/>
    <w:rPr>
      <w:b/>
      <w:bCs/>
      <w:color w:val="046CCD"/>
    </w:rPr>
  </w:style>
  <w:style w:type="character" w:customStyle="1" w:styleId="52">
    <w:name w:val="smallfont"/>
    <w:basedOn w:val="25"/>
    <w:qFormat/>
    <w:uiPriority w:val="0"/>
  </w:style>
  <w:style w:type="character" w:customStyle="1" w:styleId="53">
    <w:name w:val="layui-laydate-preview"/>
    <w:basedOn w:val="25"/>
    <w:qFormat/>
    <w:uiPriority w:val="0"/>
  </w:style>
  <w:style w:type="character" w:customStyle="1" w:styleId="54">
    <w:name w:val="layui-this4"/>
    <w:basedOn w:val="25"/>
    <w:qFormat/>
    <w:uiPriority w:val="0"/>
    <w:rPr>
      <w:bdr w:val="single" w:color="EEEEEE" w:sz="6" w:space="0"/>
      <w:shd w:val="clear" w:fill="FFFFFF"/>
    </w:rPr>
  </w:style>
  <w:style w:type="character" w:customStyle="1" w:styleId="55">
    <w:name w:val="first-child1"/>
    <w:basedOn w:val="25"/>
    <w:qFormat/>
    <w:uiPriority w:val="0"/>
  </w:style>
  <w:style w:type="character" w:customStyle="1" w:styleId="56">
    <w:name w:val="zh"/>
    <w:basedOn w:val="25"/>
    <w:qFormat/>
    <w:uiPriority w:val="0"/>
  </w:style>
  <w:style w:type="character" w:customStyle="1" w:styleId="57">
    <w:name w:val="largefont2"/>
    <w:basedOn w:val="25"/>
    <w:qFormat/>
    <w:uiPriority w:val="0"/>
  </w:style>
  <w:style w:type="character" w:customStyle="1" w:styleId="58">
    <w:name w:val="medfont2"/>
    <w:basedOn w:val="25"/>
    <w:qFormat/>
    <w:uiPriority w:val="0"/>
  </w:style>
  <w:style w:type="character" w:customStyle="1" w:styleId="59">
    <w:name w:val="layui-laypage-curr"/>
    <w:basedOn w:val="25"/>
    <w:qFormat/>
    <w:uiPriority w:val="0"/>
  </w:style>
  <w:style w:type="character" w:customStyle="1" w:styleId="60">
    <w:name w:val="before"/>
    <w:basedOn w:val="25"/>
    <w:qFormat/>
    <w:uiPriority w:val="0"/>
  </w:style>
  <w:style w:type="character" w:customStyle="1" w:styleId="61">
    <w:name w:val="first-child"/>
    <w:basedOn w:val="25"/>
    <w:qFormat/>
    <w:uiPriority w:val="0"/>
  </w:style>
  <w:style w:type="character" w:customStyle="1" w:styleId="62">
    <w:name w:val="smallfont2"/>
    <w:basedOn w:val="25"/>
    <w:qFormat/>
    <w:uiPriority w:val="0"/>
  </w:style>
  <w:style w:type="character" w:customStyle="1" w:styleId="63">
    <w:name w:val="layui-this"/>
    <w:basedOn w:val="25"/>
    <w:qFormat/>
    <w:uiPriority w:val="0"/>
    <w:rPr>
      <w:bdr w:val="single" w:color="EEEEEE" w:sz="6" w:space="0"/>
      <w:shd w:val="clear" w:fill="FFFFFF"/>
    </w:rPr>
  </w:style>
  <w:style w:type="character" w:customStyle="1" w:styleId="64">
    <w:name w:val="hover16"/>
    <w:basedOn w:val="25"/>
    <w:qFormat/>
    <w:uiPriority w:val="0"/>
    <w:rPr>
      <w:color w:val="5FB878"/>
    </w:rPr>
  </w:style>
  <w:style w:type="character" w:customStyle="1" w:styleId="65">
    <w:name w:val="hover17"/>
    <w:basedOn w:val="25"/>
    <w:qFormat/>
    <w:uiPriority w:val="0"/>
    <w:rPr>
      <w:color w:val="5FB878"/>
    </w:rPr>
  </w:style>
  <w:style w:type="character" w:customStyle="1" w:styleId="66">
    <w:name w:val="hover18"/>
    <w:basedOn w:val="25"/>
    <w:qFormat/>
    <w:uiPriority w:val="0"/>
    <w:rPr>
      <w:color w:val="FFFFFF"/>
    </w:rPr>
  </w:style>
  <w:style w:type="character" w:customStyle="1" w:styleId="67">
    <w:name w:val="medfont"/>
    <w:basedOn w:val="25"/>
    <w:qFormat/>
    <w:uiPriority w:val="0"/>
  </w:style>
  <w:style w:type="character" w:customStyle="1" w:styleId="68">
    <w:name w:val="largefont"/>
    <w:basedOn w:val="25"/>
    <w:qFormat/>
    <w:uiPriority w:val="0"/>
  </w:style>
  <w:style w:type="character" w:customStyle="1" w:styleId="69">
    <w:name w:val="layui-this3"/>
    <w:basedOn w:val="25"/>
    <w:qFormat/>
    <w:uiPriority w:val="0"/>
    <w:rPr>
      <w:bdr w:val="single" w:color="EEEEEE" w:sz="6" w:space="0"/>
      <w:shd w:val="clear" w:fill="FFFFFF"/>
    </w:rPr>
  </w:style>
  <w:style w:type="character" w:customStyle="1" w:styleId="70">
    <w:name w:val="hover15"/>
    <w:basedOn w:val="25"/>
    <w:qFormat/>
    <w:uiPriority w:val="0"/>
    <w:rPr>
      <w:color w:val="FFFFFF"/>
    </w:rPr>
  </w:style>
  <w:style w:type="character" w:customStyle="1" w:styleId="71">
    <w:name w:val="hover4"/>
    <w:basedOn w:val="25"/>
    <w:qFormat/>
    <w:uiPriority w:val="0"/>
    <w:rPr>
      <w:color w:val="2590EB"/>
      <w:shd w:val="clear" w:fill="E9F4FD"/>
    </w:rPr>
  </w:style>
  <w:style w:type="character" w:customStyle="1" w:styleId="72">
    <w:name w:val="正文首行缩进 2 Char"/>
    <w:basedOn w:val="73"/>
    <w:link w:val="22"/>
    <w:qFormat/>
    <w:uiPriority w:val="0"/>
    <w:rPr>
      <w:kern w:val="2"/>
      <w:sz w:val="21"/>
      <w:szCs w:val="22"/>
    </w:rPr>
  </w:style>
  <w:style w:type="character" w:customStyle="1" w:styleId="73">
    <w:name w:val="正文文本缩进 Char"/>
    <w:basedOn w:val="25"/>
    <w:link w:val="15"/>
    <w:qFormat/>
    <w:uiPriority w:val="0"/>
    <w:rPr>
      <w:kern w:val="2"/>
      <w:sz w:val="21"/>
      <w:szCs w:val="22"/>
    </w:rPr>
  </w:style>
  <w:style w:type="character" w:customStyle="1" w:styleId="74">
    <w:name w:val="正文文本 Char"/>
    <w:basedOn w:val="25"/>
    <w:link w:val="14"/>
    <w:qFormat/>
    <w:uiPriority w:val="0"/>
    <w:rPr>
      <w:kern w:val="2"/>
      <w:sz w:val="21"/>
      <w:szCs w:val="22"/>
    </w:rPr>
  </w:style>
  <w:style w:type="paragraph" w:customStyle="1" w:styleId="75">
    <w:name w:val="List Paragraph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5948</Words>
  <Characters>6169</Characters>
  <Lines>0</Lines>
  <Paragraphs>0</Paragraphs>
  <TotalTime>1</TotalTime>
  <ScaleCrop>false</ScaleCrop>
  <LinksUpToDate>false</LinksUpToDate>
  <CharactersWithSpaces>6220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Administrator</cp:lastModifiedBy>
  <cp:lastPrinted>2025-02-10T01:47:00Z</cp:lastPrinted>
  <dcterms:modified xsi:type="dcterms:W3CDTF">2026-04-02T02:02:58Z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728073A983DE4F5D860BF43B74F6E3BC_13</vt:lpwstr>
  </property>
  <property fmtid="{D5CDD505-2E9C-101B-9397-08002B2CF9AE}" pid="4" name="KSOTemplateDocerSaveRecord">
    <vt:lpwstr>eyJoZGlkIjoiNzY4NTdhNmEzM2EzNTMxYzEwMDg3ZDRmNjA1ZjhhMGQiLCJ1c2VySWQiOiI3MDkyMjA4NTYifQ==</vt:lpwstr>
  </property>
</Properties>
</file>