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7"/>
        <w:widowControl/>
        <w:shd w:val="clear" w:color="auto" w:fill="FFFFFF"/>
        <w:spacing w:beforeAutospacing="0" w:afterAutospacing="0"/>
        <w:jc w:val="center"/>
        <w:rPr>
          <w:rFonts w:ascii="楷体" w:hAnsi="楷体" w:eastAsia="楷体" w:cs="楷体"/>
          <w:b/>
          <w:bCs/>
          <w:color w:val="4A4A4A"/>
          <w:sz w:val="30"/>
          <w:szCs w:val="30"/>
          <w:shd w:val="clear" w:color="auto" w:fill="FFFFFF"/>
        </w:rPr>
      </w:pPr>
      <w:r>
        <w:rPr>
          <w:rFonts w:hint="eastAsia" w:ascii="楷体" w:hAnsi="楷体" w:eastAsia="楷体" w:cs="楷体"/>
          <w:b/>
          <w:bCs/>
          <w:color w:val="4A4A4A"/>
          <w:sz w:val="30"/>
          <w:szCs w:val="30"/>
          <w:shd w:val="clear" w:color="auto" w:fill="FFFFFF"/>
        </w:rPr>
        <w:t>中国交通物资有限公司西藏分公司</w:t>
      </w:r>
    </w:p>
    <w:p>
      <w:pPr>
        <w:pStyle w:val="7"/>
        <w:widowControl/>
        <w:shd w:val="clear" w:color="auto" w:fill="FFFFFF"/>
        <w:spacing w:beforeAutospacing="0" w:afterAutospacing="0"/>
        <w:jc w:val="center"/>
        <w:rPr>
          <w:rFonts w:ascii="楷体" w:hAnsi="楷体" w:eastAsia="楷体" w:cs="楷体"/>
          <w:b/>
          <w:bCs/>
          <w:color w:val="4A4A4A"/>
          <w:sz w:val="30"/>
          <w:szCs w:val="30"/>
        </w:rPr>
      </w:pPr>
      <w:r>
        <w:rPr>
          <w:rFonts w:hint="eastAsia" w:ascii="楷体" w:hAnsi="楷体" w:eastAsia="楷体" w:cs="楷体"/>
          <w:b/>
          <w:bCs/>
          <w:color w:val="4A4A4A"/>
          <w:sz w:val="30"/>
          <w:szCs w:val="30"/>
          <w:shd w:val="clear" w:color="auto" w:fill="FFFFFF"/>
        </w:rPr>
        <w:t>钢板物资公开询价采购公告</w:t>
      </w:r>
    </w:p>
    <w:p>
      <w:pPr>
        <w:pStyle w:val="7"/>
        <w:widowControl/>
        <w:numPr>
          <w:ilvl w:val="0"/>
          <w:numId w:val="1"/>
        </w:numPr>
        <w:shd w:val="clear" w:color="auto" w:fill="FFFFFF"/>
        <w:spacing w:beforeAutospacing="0" w:afterAutospacing="0"/>
        <w:rPr>
          <w:rFonts w:ascii="仿宋" w:hAnsi="仿宋" w:eastAsia="仿宋" w:cs="仿宋"/>
          <w:b/>
          <w:bCs/>
          <w:color w:val="4A4A4A"/>
          <w:sz w:val="30"/>
          <w:szCs w:val="30"/>
          <w:shd w:val="clear" w:color="auto" w:fill="FFFFFF"/>
        </w:rPr>
      </w:pPr>
      <w:r>
        <w:rPr>
          <w:rFonts w:hint="eastAsia" w:ascii="仿宋" w:hAnsi="仿宋" w:eastAsia="仿宋" w:cs="仿宋"/>
          <w:b/>
          <w:bCs/>
          <w:color w:val="4A4A4A"/>
          <w:sz w:val="30"/>
          <w:szCs w:val="30"/>
          <w:shd w:val="clear" w:color="auto" w:fill="FFFFFF"/>
        </w:rPr>
        <w:t>项目基本情况</w:t>
      </w:r>
    </w:p>
    <w:p>
      <w:pPr>
        <w:spacing w:before="156" w:beforeLines="50" w:after="156" w:afterLines="50" w:line="360" w:lineRule="auto"/>
        <w:ind w:firstLine="561"/>
        <w:rPr>
          <w:rFonts w:ascii="仿宋" w:hAnsi="仿宋" w:eastAsia="仿宋" w:cs="仿宋"/>
          <w:sz w:val="30"/>
          <w:szCs w:val="30"/>
        </w:rPr>
      </w:pPr>
      <w:r>
        <w:rPr>
          <w:rFonts w:hint="eastAsia" w:ascii="仿宋" w:hAnsi="仿宋" w:eastAsia="仿宋" w:cs="仿宋"/>
          <w:color w:val="4A4A4A"/>
          <w:sz w:val="30"/>
          <w:szCs w:val="30"/>
          <w:shd w:val="clear" w:color="auto" w:fill="FFFFFF"/>
        </w:rPr>
        <w:t>中国交通物资有限公司（以下简称：物资公司）</w:t>
      </w:r>
      <w:r>
        <w:rPr>
          <w:rFonts w:hint="eastAsia" w:ascii="仿宋" w:hAnsi="仿宋" w:eastAsia="仿宋" w:cs="仿宋"/>
          <w:color w:val="4A4A4A"/>
          <w:sz w:val="30"/>
          <w:szCs w:val="30"/>
          <w:u w:val="single"/>
          <w:shd w:val="clear" w:color="auto" w:fill="FFFFFF"/>
        </w:rPr>
        <w:t xml:space="preserve"> 钢板 </w:t>
      </w:r>
      <w:r>
        <w:rPr>
          <w:rFonts w:hint="eastAsia" w:ascii="仿宋" w:hAnsi="仿宋" w:eastAsia="仿宋" w:cs="仿宋"/>
          <w:color w:val="4A4A4A"/>
          <w:sz w:val="30"/>
          <w:szCs w:val="30"/>
          <w:shd w:val="clear" w:color="auto" w:fill="FFFFFF"/>
        </w:rPr>
        <w:t>采购已具备招标</w:t>
      </w:r>
      <w:r>
        <w:rPr>
          <w:rFonts w:hint="eastAsia" w:ascii="仿宋" w:hAnsi="仿宋" w:eastAsia="仿宋" w:cs="仿宋"/>
          <w:color w:val="4A4A4A"/>
          <w:sz w:val="30"/>
          <w:szCs w:val="30"/>
          <w:u w:val="single"/>
          <w:shd w:val="clear" w:color="auto" w:fill="FFFFFF"/>
        </w:rPr>
        <w:t xml:space="preserve"> 询价 </w:t>
      </w:r>
      <w:r>
        <w:rPr>
          <w:rFonts w:hint="eastAsia" w:ascii="仿宋" w:hAnsi="仿宋" w:eastAsia="仿宋" w:cs="仿宋"/>
          <w:color w:val="4A4A4A"/>
          <w:sz w:val="30"/>
          <w:szCs w:val="30"/>
          <w:shd w:val="clear" w:color="auto" w:fill="FFFFFF"/>
        </w:rPr>
        <w:t>条件，根据物资公司物资采购管理规定，决定对所需材料进行</w:t>
      </w:r>
      <w:r>
        <w:rPr>
          <w:rFonts w:hint="eastAsia" w:ascii="仿宋" w:hAnsi="仿宋" w:eastAsia="仿宋" w:cs="仿宋"/>
          <w:color w:val="4A4A4A"/>
          <w:sz w:val="30"/>
          <w:szCs w:val="30"/>
          <w:u w:val="single"/>
          <w:shd w:val="clear" w:color="auto" w:fill="FFFFFF"/>
        </w:rPr>
        <w:t xml:space="preserve"> 公开询价 </w:t>
      </w:r>
      <w:r>
        <w:rPr>
          <w:rFonts w:hint="eastAsia" w:ascii="仿宋" w:hAnsi="仿宋" w:eastAsia="仿宋" w:cs="仿宋"/>
          <w:color w:val="4A4A4A"/>
          <w:sz w:val="30"/>
          <w:szCs w:val="30"/>
          <w:shd w:val="clear" w:color="auto" w:fill="FFFFFF"/>
        </w:rPr>
        <w:t>，本次采购组织方为：中国交通物资有限公司西藏分公司。</w:t>
      </w:r>
    </w:p>
    <w:p>
      <w:pPr>
        <w:pStyle w:val="7"/>
        <w:widowControl/>
        <w:shd w:val="clear" w:color="auto" w:fill="FFFFFF"/>
        <w:spacing w:beforeAutospacing="0" w:afterAutospacing="0"/>
        <w:rPr>
          <w:rFonts w:ascii="仿宋" w:hAnsi="仿宋" w:eastAsia="仿宋" w:cs="仿宋"/>
          <w:b/>
          <w:bCs/>
          <w:color w:val="4A4A4A"/>
          <w:sz w:val="30"/>
          <w:szCs w:val="30"/>
        </w:rPr>
      </w:pPr>
      <w:r>
        <w:rPr>
          <w:rFonts w:hint="eastAsia" w:ascii="仿宋" w:hAnsi="仿宋" w:eastAsia="仿宋" w:cs="仿宋"/>
          <w:b/>
          <w:bCs/>
          <w:color w:val="4A4A4A"/>
          <w:sz w:val="30"/>
          <w:szCs w:val="30"/>
          <w:shd w:val="clear" w:color="auto" w:fill="FFFFFF"/>
        </w:rPr>
        <w:t>二、物资数量、交货周期及交货地点</w:t>
      </w:r>
    </w:p>
    <w:tbl>
      <w:tblPr>
        <w:tblStyle w:val="8"/>
        <w:tblW w:w="8802" w:type="dxa"/>
        <w:jc w:val="center"/>
        <w:tblLayout w:type="fixed"/>
        <w:tblCellMar>
          <w:top w:w="0" w:type="dxa"/>
          <w:left w:w="108" w:type="dxa"/>
          <w:bottom w:w="0" w:type="dxa"/>
          <w:right w:w="108" w:type="dxa"/>
        </w:tblCellMar>
      </w:tblPr>
      <w:tblGrid>
        <w:gridCol w:w="710"/>
        <w:gridCol w:w="1383"/>
        <w:gridCol w:w="1452"/>
        <w:gridCol w:w="708"/>
        <w:gridCol w:w="1089"/>
        <w:gridCol w:w="803"/>
        <w:gridCol w:w="1216"/>
        <w:gridCol w:w="1441"/>
      </w:tblGrid>
      <w:tr>
        <w:tblPrEx>
          <w:tblCellMar>
            <w:top w:w="0" w:type="dxa"/>
            <w:left w:w="108" w:type="dxa"/>
            <w:bottom w:w="0" w:type="dxa"/>
            <w:right w:w="108" w:type="dxa"/>
          </w:tblCellMar>
        </w:tblPrEx>
        <w:trPr>
          <w:trHeight w:val="520" w:hRule="atLeast"/>
          <w:jc w:val="center"/>
        </w:trPr>
        <w:tc>
          <w:tcPr>
            <w:tcW w:w="710" w:type="dxa"/>
            <w:tcBorders>
              <w:top w:val="single" w:color="000000" w:sz="8" w:space="0"/>
              <w:left w:val="single" w:color="000000" w:sz="8"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20"/>
                <w:szCs w:val="20"/>
              </w:rPr>
            </w:pPr>
            <w:r>
              <w:rPr>
                <w:rFonts w:ascii="仿宋" w:hAnsi="仿宋" w:eastAsia="仿宋" w:cs="仿宋"/>
                <w:color w:val="000000"/>
                <w:sz w:val="20"/>
                <w:szCs w:val="20"/>
              </w:rPr>
              <w:t>序号</w:t>
            </w:r>
          </w:p>
        </w:tc>
        <w:tc>
          <w:tcPr>
            <w:tcW w:w="1383" w:type="dxa"/>
            <w:tcBorders>
              <w:top w:val="single" w:color="000000" w:sz="8"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20"/>
                <w:szCs w:val="20"/>
              </w:rPr>
            </w:pPr>
            <w:r>
              <w:rPr>
                <w:rFonts w:ascii="仿宋" w:hAnsi="仿宋" w:eastAsia="仿宋" w:cs="仿宋"/>
                <w:color w:val="000000"/>
                <w:sz w:val="20"/>
                <w:szCs w:val="20"/>
              </w:rPr>
              <w:t>物资名称</w:t>
            </w:r>
          </w:p>
        </w:tc>
        <w:tc>
          <w:tcPr>
            <w:tcW w:w="1452" w:type="dxa"/>
            <w:tcBorders>
              <w:top w:val="single" w:color="000000" w:sz="8"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20"/>
                <w:szCs w:val="20"/>
              </w:rPr>
            </w:pPr>
            <w:r>
              <w:rPr>
                <w:rFonts w:ascii="仿宋" w:hAnsi="仿宋" w:eastAsia="仿宋" w:cs="仿宋"/>
                <w:color w:val="000000"/>
                <w:sz w:val="20"/>
                <w:szCs w:val="20"/>
              </w:rPr>
              <w:t>规格型号</w:t>
            </w:r>
          </w:p>
        </w:tc>
        <w:tc>
          <w:tcPr>
            <w:tcW w:w="708" w:type="dxa"/>
            <w:tcBorders>
              <w:top w:val="single" w:color="000000" w:sz="8"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20"/>
                <w:szCs w:val="20"/>
              </w:rPr>
            </w:pPr>
            <w:r>
              <w:rPr>
                <w:rFonts w:ascii="仿宋" w:hAnsi="仿宋" w:eastAsia="仿宋" w:cs="仿宋"/>
                <w:color w:val="000000"/>
                <w:sz w:val="20"/>
                <w:szCs w:val="20"/>
              </w:rPr>
              <w:t>计量</w:t>
            </w:r>
          </w:p>
        </w:tc>
        <w:tc>
          <w:tcPr>
            <w:tcW w:w="1089" w:type="dxa"/>
            <w:tcBorders>
              <w:top w:val="single" w:color="000000" w:sz="8"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20"/>
                <w:szCs w:val="20"/>
              </w:rPr>
            </w:pPr>
            <w:r>
              <w:rPr>
                <w:rFonts w:ascii="仿宋" w:hAnsi="仿宋" w:eastAsia="仿宋" w:cs="仿宋"/>
                <w:color w:val="000000"/>
                <w:sz w:val="20"/>
                <w:szCs w:val="20"/>
              </w:rPr>
              <w:t>发货指定品牌</w:t>
            </w:r>
          </w:p>
        </w:tc>
        <w:tc>
          <w:tcPr>
            <w:tcW w:w="803" w:type="dxa"/>
            <w:tcBorders>
              <w:top w:val="single" w:color="000000" w:sz="8"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20"/>
                <w:szCs w:val="20"/>
              </w:rPr>
            </w:pPr>
            <w:r>
              <w:rPr>
                <w:rFonts w:ascii="仿宋" w:hAnsi="仿宋" w:eastAsia="仿宋" w:cs="仿宋"/>
                <w:color w:val="000000"/>
                <w:sz w:val="20"/>
                <w:szCs w:val="20"/>
              </w:rPr>
              <w:t>计量单位</w:t>
            </w:r>
          </w:p>
        </w:tc>
        <w:tc>
          <w:tcPr>
            <w:tcW w:w="1216" w:type="dxa"/>
            <w:tcBorders>
              <w:top w:val="single" w:color="000000" w:sz="8"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20"/>
                <w:szCs w:val="20"/>
              </w:rPr>
            </w:pPr>
            <w:r>
              <w:rPr>
                <w:rFonts w:ascii="仿宋" w:hAnsi="仿宋" w:eastAsia="仿宋" w:cs="仿宋"/>
                <w:color w:val="000000"/>
                <w:sz w:val="20"/>
                <w:szCs w:val="20"/>
              </w:rPr>
              <w:t>暂估数量</w:t>
            </w:r>
          </w:p>
        </w:tc>
        <w:tc>
          <w:tcPr>
            <w:tcW w:w="1441" w:type="dxa"/>
            <w:tcBorders>
              <w:top w:val="single" w:color="000000" w:sz="8" w:space="0"/>
              <w:left w:val="single" w:color="000000" w:sz="4" w:space="0"/>
              <w:bottom w:val="single" w:color="000000" w:sz="4" w:space="0"/>
              <w:right w:val="single" w:color="000000" w:sz="8" w:space="0"/>
            </w:tcBorders>
            <w:shd w:val="clear" w:color="auto" w:fill="auto"/>
            <w:vAlign w:val="center"/>
          </w:tcPr>
          <w:p>
            <w:pPr>
              <w:widowControl/>
              <w:jc w:val="center"/>
              <w:textAlignment w:val="center"/>
              <w:rPr>
                <w:rFonts w:ascii="仿宋" w:hAnsi="仿宋" w:eastAsia="仿宋" w:cs="仿宋"/>
                <w:color w:val="000000"/>
                <w:sz w:val="20"/>
                <w:szCs w:val="20"/>
              </w:rPr>
            </w:pPr>
            <w:r>
              <w:rPr>
                <w:rFonts w:ascii="仿宋" w:hAnsi="仿宋" w:eastAsia="仿宋" w:cs="仿宋"/>
                <w:color w:val="000000"/>
                <w:sz w:val="20"/>
                <w:szCs w:val="20"/>
              </w:rPr>
              <w:t>卸货地点</w:t>
            </w:r>
          </w:p>
        </w:tc>
      </w:tr>
      <w:tr>
        <w:tblPrEx>
          <w:tblCellMar>
            <w:top w:w="0" w:type="dxa"/>
            <w:left w:w="108" w:type="dxa"/>
            <w:bottom w:w="0" w:type="dxa"/>
            <w:right w:w="108" w:type="dxa"/>
          </w:tblCellMar>
        </w:tblPrEx>
        <w:trPr>
          <w:trHeight w:val="556" w:hRule="atLeast"/>
          <w:jc w:val="center"/>
        </w:trPr>
        <w:tc>
          <w:tcPr>
            <w:tcW w:w="710" w:type="dxa"/>
            <w:tcBorders>
              <w:top w:val="single" w:color="000000" w:sz="4" w:space="0"/>
              <w:left w:val="single" w:color="000000" w:sz="8"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20"/>
                <w:szCs w:val="20"/>
              </w:rPr>
            </w:pPr>
            <w:r>
              <w:rPr>
                <w:rFonts w:hint="eastAsia"/>
                <w:color w:val="000000"/>
                <w:sz w:val="20"/>
                <w:szCs w:val="20"/>
              </w:rPr>
              <w:t>1</w:t>
            </w:r>
          </w:p>
        </w:tc>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ascii="宋体" w:hAnsi="宋体" w:eastAsia="宋体" w:cs="宋体"/>
                <w:kern w:val="0"/>
                <w:sz w:val="20"/>
                <w:szCs w:val="20"/>
              </w:rPr>
            </w:pPr>
            <w:r>
              <w:rPr>
                <w:rFonts w:hint="eastAsia"/>
                <w:sz w:val="20"/>
                <w:szCs w:val="20"/>
              </w:rPr>
              <w:t>钢板Q235B</w:t>
            </w:r>
          </w:p>
        </w:tc>
        <w:tc>
          <w:tcPr>
            <w:tcW w:w="14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ascii="宋体" w:hAnsi="宋体" w:eastAsia="宋体" w:cs="宋体"/>
                <w:color w:val="000000"/>
                <w:kern w:val="0"/>
                <w:sz w:val="20"/>
                <w:szCs w:val="20"/>
              </w:rPr>
            </w:pPr>
            <w:r>
              <w:rPr>
                <w:rFonts w:hint="eastAsia"/>
                <w:color w:val="000000"/>
                <w:sz w:val="20"/>
                <w:szCs w:val="20"/>
              </w:rPr>
              <w:t>14</w:t>
            </w:r>
            <w:r>
              <w:rPr>
                <w:rFonts w:hint="eastAsia"/>
                <w:color w:val="000000"/>
                <w:sz w:val="20"/>
                <w:szCs w:val="20"/>
                <w:lang w:val="en-US" w:eastAsia="zh-CN"/>
              </w:rPr>
              <w:t>mm*</w:t>
            </w:r>
            <w:r>
              <w:rPr>
                <w:rFonts w:hint="eastAsia"/>
                <w:color w:val="000000"/>
                <w:sz w:val="20"/>
                <w:szCs w:val="20"/>
              </w:rPr>
              <w:t>1.5m</w:t>
            </w: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仿宋" w:hAnsi="仿宋" w:eastAsia="仿宋" w:cs="仿宋"/>
                <w:color w:val="000000"/>
                <w:sz w:val="20"/>
                <w:szCs w:val="20"/>
              </w:rPr>
            </w:pPr>
            <w:r>
              <w:rPr>
                <w:rFonts w:hint="eastAsia"/>
                <w:color w:val="000000"/>
                <w:sz w:val="20"/>
                <w:szCs w:val="20"/>
              </w:rPr>
              <w:t>吨</w:t>
            </w:r>
          </w:p>
        </w:tc>
        <w:tc>
          <w:tcPr>
            <w:tcW w:w="10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仿宋" w:hAnsi="仿宋" w:eastAsia="仿宋" w:cs="仿宋"/>
                <w:color w:val="000000"/>
                <w:sz w:val="20"/>
                <w:szCs w:val="20"/>
              </w:rPr>
            </w:pPr>
            <w:r>
              <w:rPr>
                <w:rFonts w:hint="eastAsia" w:ascii="仿宋" w:hAnsi="仿宋" w:eastAsia="仿宋" w:cs="仿宋"/>
                <w:color w:val="000000"/>
                <w:sz w:val="20"/>
                <w:szCs w:val="20"/>
              </w:rPr>
              <w:t>国标</w:t>
            </w:r>
          </w:p>
        </w:tc>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仿宋" w:hAnsi="仿宋" w:eastAsia="仿宋" w:cs="仿宋"/>
                <w:color w:val="000000"/>
                <w:sz w:val="20"/>
                <w:szCs w:val="20"/>
              </w:rPr>
            </w:pPr>
            <w:r>
              <w:rPr>
                <w:rFonts w:hint="eastAsia" w:ascii="仿宋" w:hAnsi="仿宋" w:eastAsia="仿宋" w:cs="仿宋"/>
                <w:color w:val="000000"/>
                <w:sz w:val="20"/>
                <w:szCs w:val="20"/>
              </w:rPr>
              <w:t>吨</w:t>
            </w:r>
          </w:p>
        </w:tc>
        <w:tc>
          <w:tcPr>
            <w:tcW w:w="1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仿宋" w:hAnsi="仿宋" w:eastAsia="仿宋" w:cs="仿宋"/>
                <w:color w:val="000000"/>
                <w:sz w:val="20"/>
                <w:szCs w:val="20"/>
                <w:lang w:val="en-US" w:eastAsia="zh-CN"/>
              </w:rPr>
            </w:pPr>
            <w:r>
              <w:rPr>
                <w:rFonts w:hint="eastAsia" w:eastAsia="仿宋"/>
                <w:color w:val="000000"/>
                <w:sz w:val="20"/>
                <w:szCs w:val="20"/>
                <w:lang w:val="en-US" w:eastAsia="zh-CN"/>
              </w:rPr>
              <w:t>60</w:t>
            </w:r>
          </w:p>
        </w:tc>
        <w:tc>
          <w:tcPr>
            <w:tcW w:w="1441" w:type="dxa"/>
            <w:tcBorders>
              <w:top w:val="single" w:color="000000" w:sz="4" w:space="0"/>
              <w:left w:val="single" w:color="000000" w:sz="4" w:space="0"/>
              <w:right w:val="single" w:color="000000" w:sz="8" w:space="0"/>
            </w:tcBorders>
            <w:shd w:val="clear" w:color="auto" w:fill="auto"/>
            <w:vAlign w:val="center"/>
          </w:tcPr>
          <w:p>
            <w:pPr>
              <w:widowControl/>
              <w:jc w:val="center"/>
              <w:textAlignment w:val="center"/>
              <w:rPr>
                <w:rFonts w:ascii="仿宋" w:hAnsi="仿宋" w:eastAsia="仿宋" w:cs="仿宋"/>
                <w:color w:val="000000"/>
                <w:sz w:val="20"/>
                <w:szCs w:val="20"/>
              </w:rPr>
            </w:pPr>
            <w:r>
              <w:rPr>
                <w:rFonts w:hint="eastAsia" w:ascii="仿宋" w:hAnsi="仿宋" w:eastAsia="仿宋" w:cs="仿宋"/>
                <w:color w:val="000000"/>
                <w:sz w:val="20"/>
                <w:szCs w:val="20"/>
              </w:rPr>
              <w:t>四工区八宿县瓦达村</w:t>
            </w:r>
          </w:p>
        </w:tc>
      </w:tr>
      <w:tr>
        <w:tblPrEx>
          <w:tblCellMar>
            <w:top w:w="0" w:type="dxa"/>
            <w:left w:w="108" w:type="dxa"/>
            <w:bottom w:w="0" w:type="dxa"/>
            <w:right w:w="108" w:type="dxa"/>
          </w:tblCellMar>
        </w:tblPrEx>
        <w:trPr>
          <w:trHeight w:val="556" w:hRule="atLeast"/>
          <w:jc w:val="center"/>
        </w:trPr>
        <w:tc>
          <w:tcPr>
            <w:tcW w:w="710" w:type="dxa"/>
            <w:tcBorders>
              <w:top w:val="single" w:color="000000" w:sz="4" w:space="0"/>
              <w:left w:val="single" w:color="000000" w:sz="8" w:space="0"/>
              <w:bottom w:val="single" w:color="000000" w:sz="4" w:space="0"/>
              <w:right w:val="single" w:color="000000" w:sz="4" w:space="0"/>
            </w:tcBorders>
            <w:shd w:val="clear" w:color="auto" w:fill="auto"/>
            <w:vAlign w:val="center"/>
          </w:tcPr>
          <w:p>
            <w:pPr>
              <w:widowControl/>
              <w:jc w:val="center"/>
              <w:textAlignment w:val="center"/>
              <w:rPr>
                <w:rFonts w:hint="eastAsia" w:eastAsiaTheme="minorEastAsia"/>
                <w:color w:val="000000"/>
                <w:sz w:val="20"/>
                <w:szCs w:val="20"/>
                <w:lang w:val="en-US" w:eastAsia="zh-CN"/>
              </w:rPr>
            </w:pPr>
            <w:r>
              <w:rPr>
                <w:rFonts w:hint="eastAsia"/>
                <w:color w:val="000000"/>
                <w:sz w:val="20"/>
                <w:szCs w:val="20"/>
                <w:lang w:val="en-US" w:eastAsia="zh-CN"/>
              </w:rPr>
              <w:t>2</w:t>
            </w:r>
          </w:p>
        </w:tc>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sz w:val="20"/>
                <w:szCs w:val="20"/>
              </w:rPr>
            </w:pPr>
            <w:r>
              <w:rPr>
                <w:rFonts w:hint="eastAsia"/>
                <w:sz w:val="20"/>
                <w:szCs w:val="20"/>
              </w:rPr>
              <w:t>钢板Q235B</w:t>
            </w:r>
          </w:p>
        </w:tc>
        <w:tc>
          <w:tcPr>
            <w:tcW w:w="14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color w:val="000000"/>
                <w:sz w:val="20"/>
                <w:szCs w:val="20"/>
              </w:rPr>
            </w:pPr>
            <w:r>
              <w:rPr>
                <w:rFonts w:hint="eastAsia"/>
                <w:color w:val="000000"/>
                <w:sz w:val="20"/>
                <w:szCs w:val="20"/>
              </w:rPr>
              <w:t>1</w:t>
            </w:r>
            <w:r>
              <w:rPr>
                <w:rFonts w:hint="eastAsia"/>
                <w:color w:val="000000"/>
                <w:sz w:val="20"/>
                <w:szCs w:val="20"/>
                <w:lang w:val="en-US" w:eastAsia="zh-CN"/>
              </w:rPr>
              <w:t>0mm*</w:t>
            </w:r>
            <w:r>
              <w:rPr>
                <w:rFonts w:hint="eastAsia"/>
                <w:color w:val="000000"/>
                <w:sz w:val="20"/>
                <w:szCs w:val="20"/>
              </w:rPr>
              <w:t>1.5m</w:t>
            </w: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eastAsiaTheme="minorEastAsia"/>
                <w:color w:val="000000"/>
                <w:sz w:val="20"/>
                <w:szCs w:val="20"/>
                <w:lang w:val="en-US" w:eastAsia="zh-CN"/>
              </w:rPr>
            </w:pPr>
            <w:r>
              <w:rPr>
                <w:rFonts w:hint="eastAsia"/>
                <w:color w:val="000000"/>
                <w:sz w:val="20"/>
                <w:szCs w:val="20"/>
                <w:lang w:val="en-US" w:eastAsia="zh-CN"/>
              </w:rPr>
              <w:t>吨</w:t>
            </w:r>
          </w:p>
        </w:tc>
        <w:tc>
          <w:tcPr>
            <w:tcW w:w="10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仿宋" w:hAnsi="仿宋" w:eastAsia="仿宋" w:cs="仿宋"/>
                <w:color w:val="000000"/>
                <w:sz w:val="20"/>
                <w:szCs w:val="20"/>
                <w:lang w:val="en-US" w:eastAsia="zh-CN"/>
              </w:rPr>
            </w:pPr>
            <w:r>
              <w:rPr>
                <w:rFonts w:hint="eastAsia" w:ascii="仿宋" w:hAnsi="仿宋" w:eastAsia="仿宋" w:cs="仿宋"/>
                <w:color w:val="000000"/>
                <w:sz w:val="20"/>
                <w:szCs w:val="20"/>
                <w:lang w:val="en-US" w:eastAsia="zh-CN"/>
              </w:rPr>
              <w:t>国标</w:t>
            </w:r>
          </w:p>
        </w:tc>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仿宋" w:hAnsi="仿宋" w:eastAsia="仿宋" w:cs="仿宋"/>
                <w:color w:val="000000"/>
                <w:sz w:val="20"/>
                <w:szCs w:val="20"/>
                <w:lang w:val="en-US" w:eastAsia="zh-CN"/>
              </w:rPr>
            </w:pPr>
            <w:r>
              <w:rPr>
                <w:rFonts w:hint="eastAsia" w:ascii="仿宋" w:hAnsi="仿宋" w:eastAsia="仿宋" w:cs="仿宋"/>
                <w:color w:val="000000"/>
                <w:sz w:val="20"/>
                <w:szCs w:val="20"/>
                <w:lang w:val="en-US" w:eastAsia="zh-CN"/>
              </w:rPr>
              <w:t>吨</w:t>
            </w:r>
          </w:p>
        </w:tc>
        <w:tc>
          <w:tcPr>
            <w:tcW w:w="1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eastAsiaTheme="minorEastAsia"/>
                <w:color w:val="000000"/>
                <w:sz w:val="20"/>
                <w:szCs w:val="20"/>
                <w:lang w:val="en-US" w:eastAsia="zh-CN"/>
              </w:rPr>
            </w:pPr>
            <w:r>
              <w:rPr>
                <w:rFonts w:hint="eastAsia"/>
                <w:color w:val="000000"/>
                <w:sz w:val="20"/>
                <w:szCs w:val="20"/>
                <w:lang w:val="en-US" w:eastAsia="zh-CN"/>
              </w:rPr>
              <w:t>70</w:t>
            </w:r>
          </w:p>
        </w:tc>
        <w:tc>
          <w:tcPr>
            <w:tcW w:w="1441" w:type="dxa"/>
            <w:tcBorders>
              <w:top w:val="single" w:color="000000" w:sz="4" w:space="0"/>
              <w:left w:val="single" w:color="000000" w:sz="4" w:space="0"/>
              <w:right w:val="single" w:color="000000" w:sz="8" w:space="0"/>
            </w:tcBorders>
            <w:shd w:val="clear" w:color="auto" w:fill="auto"/>
            <w:vAlign w:val="center"/>
          </w:tcPr>
          <w:p>
            <w:pPr>
              <w:widowControl/>
              <w:jc w:val="both"/>
              <w:textAlignment w:val="center"/>
              <w:rPr>
                <w:rFonts w:hint="default" w:ascii="仿宋" w:hAnsi="仿宋" w:eastAsia="仿宋" w:cs="仿宋"/>
                <w:color w:val="000000"/>
                <w:sz w:val="20"/>
                <w:szCs w:val="20"/>
                <w:lang w:val="en-US" w:eastAsia="zh-CN"/>
              </w:rPr>
            </w:pPr>
            <w:r>
              <w:rPr>
                <w:rFonts w:hint="eastAsia" w:ascii="仿宋" w:hAnsi="仿宋" w:eastAsia="仿宋" w:cs="仿宋"/>
                <w:color w:val="000000"/>
                <w:sz w:val="20"/>
                <w:szCs w:val="20"/>
                <w:lang w:val="en-US" w:eastAsia="zh-CN"/>
              </w:rPr>
              <w:t>二工区</w:t>
            </w:r>
            <w:r>
              <w:rPr>
                <w:rFonts w:hint="eastAsia" w:ascii="仿宋" w:hAnsi="仿宋" w:eastAsia="仿宋" w:cs="仿宋"/>
                <w:color w:val="000000"/>
                <w:sz w:val="20"/>
                <w:szCs w:val="20"/>
              </w:rPr>
              <w:t>八宿县怒江大峡谷</w:t>
            </w:r>
          </w:p>
        </w:tc>
      </w:tr>
      <w:tr>
        <w:tblPrEx>
          <w:tblCellMar>
            <w:top w:w="0" w:type="dxa"/>
            <w:left w:w="108" w:type="dxa"/>
            <w:bottom w:w="0" w:type="dxa"/>
            <w:right w:w="108" w:type="dxa"/>
          </w:tblCellMar>
        </w:tblPrEx>
        <w:trPr>
          <w:trHeight w:val="556" w:hRule="atLeast"/>
          <w:jc w:val="center"/>
        </w:trPr>
        <w:tc>
          <w:tcPr>
            <w:tcW w:w="710" w:type="dxa"/>
            <w:tcBorders>
              <w:top w:val="single" w:color="000000" w:sz="4" w:space="0"/>
              <w:left w:val="single" w:color="000000" w:sz="8" w:space="0"/>
              <w:bottom w:val="single" w:color="000000" w:sz="4" w:space="0"/>
              <w:right w:val="single" w:color="000000" w:sz="4" w:space="0"/>
            </w:tcBorders>
            <w:shd w:val="clear" w:color="auto" w:fill="auto"/>
            <w:vAlign w:val="center"/>
          </w:tcPr>
          <w:p>
            <w:pPr>
              <w:widowControl/>
              <w:jc w:val="center"/>
              <w:textAlignment w:val="center"/>
              <w:rPr>
                <w:rFonts w:hint="default" w:asciiTheme="minorHAnsi" w:hAnsiTheme="minorHAnsi" w:eastAsiaTheme="minorEastAsia" w:cstheme="minorBidi"/>
                <w:color w:val="000000"/>
                <w:kern w:val="2"/>
                <w:sz w:val="20"/>
                <w:szCs w:val="20"/>
                <w:lang w:val="en-US" w:eastAsia="zh-CN" w:bidi="ar-SA"/>
              </w:rPr>
            </w:pPr>
            <w:r>
              <w:rPr>
                <w:rFonts w:hint="eastAsia" w:cstheme="minorBidi"/>
                <w:color w:val="000000"/>
                <w:kern w:val="2"/>
                <w:sz w:val="20"/>
                <w:szCs w:val="20"/>
                <w:lang w:val="en-US" w:eastAsia="zh-CN" w:bidi="ar-SA"/>
              </w:rPr>
              <w:t>3</w:t>
            </w:r>
          </w:p>
        </w:tc>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Theme="minorHAnsi" w:hAnsiTheme="minorHAnsi" w:eastAsiaTheme="minorEastAsia" w:cstheme="minorBidi"/>
                <w:kern w:val="2"/>
                <w:sz w:val="20"/>
                <w:szCs w:val="20"/>
                <w:lang w:val="en-US" w:eastAsia="zh-CN" w:bidi="ar-SA"/>
              </w:rPr>
            </w:pPr>
            <w:r>
              <w:rPr>
                <w:rFonts w:hint="eastAsia"/>
                <w:sz w:val="20"/>
                <w:szCs w:val="20"/>
              </w:rPr>
              <w:t>钢板Q235B</w:t>
            </w:r>
          </w:p>
        </w:tc>
        <w:tc>
          <w:tcPr>
            <w:tcW w:w="14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Theme="minorHAnsi" w:hAnsiTheme="minorHAnsi" w:eastAsiaTheme="minorEastAsia" w:cstheme="minorBidi"/>
                <w:color w:val="000000"/>
                <w:kern w:val="2"/>
                <w:sz w:val="20"/>
                <w:szCs w:val="20"/>
                <w:lang w:val="en-US" w:eastAsia="zh-CN" w:bidi="ar-SA"/>
              </w:rPr>
            </w:pPr>
            <w:r>
              <w:rPr>
                <w:rFonts w:hint="eastAsia"/>
                <w:color w:val="000000"/>
                <w:sz w:val="20"/>
                <w:szCs w:val="20"/>
              </w:rPr>
              <w:t>1</w:t>
            </w:r>
            <w:r>
              <w:rPr>
                <w:rFonts w:hint="eastAsia"/>
                <w:color w:val="000000"/>
                <w:sz w:val="20"/>
                <w:szCs w:val="20"/>
                <w:lang w:val="en-US" w:eastAsia="zh-CN"/>
              </w:rPr>
              <w:t>0mm*</w:t>
            </w:r>
            <w:r>
              <w:rPr>
                <w:rFonts w:hint="eastAsia"/>
                <w:color w:val="000000"/>
                <w:sz w:val="20"/>
                <w:szCs w:val="20"/>
              </w:rPr>
              <w:t>1.5m</w:t>
            </w: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Theme="minorHAnsi" w:hAnsiTheme="minorHAnsi" w:eastAsiaTheme="minorEastAsia" w:cstheme="minorBidi"/>
                <w:color w:val="000000"/>
                <w:kern w:val="2"/>
                <w:sz w:val="20"/>
                <w:szCs w:val="20"/>
                <w:lang w:val="en-US" w:eastAsia="zh-CN" w:bidi="ar-SA"/>
              </w:rPr>
            </w:pPr>
            <w:r>
              <w:rPr>
                <w:rFonts w:hint="eastAsia"/>
                <w:color w:val="000000"/>
                <w:sz w:val="20"/>
                <w:szCs w:val="20"/>
                <w:lang w:val="en-US" w:eastAsia="zh-CN"/>
              </w:rPr>
              <w:t>吨</w:t>
            </w:r>
          </w:p>
        </w:tc>
        <w:tc>
          <w:tcPr>
            <w:tcW w:w="10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仿宋" w:hAnsi="仿宋" w:eastAsia="仿宋" w:cs="仿宋"/>
                <w:color w:val="000000"/>
                <w:kern w:val="2"/>
                <w:sz w:val="20"/>
                <w:szCs w:val="20"/>
                <w:lang w:val="en-US" w:eastAsia="zh-CN" w:bidi="ar-SA"/>
              </w:rPr>
            </w:pPr>
            <w:r>
              <w:rPr>
                <w:rFonts w:hint="eastAsia" w:ascii="仿宋" w:hAnsi="仿宋" w:eastAsia="仿宋" w:cs="仿宋"/>
                <w:color w:val="000000"/>
                <w:sz w:val="20"/>
                <w:szCs w:val="20"/>
                <w:lang w:val="en-US" w:eastAsia="zh-CN"/>
              </w:rPr>
              <w:t>国标</w:t>
            </w:r>
          </w:p>
        </w:tc>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仿宋" w:hAnsi="仿宋" w:eastAsia="仿宋" w:cs="仿宋"/>
                <w:color w:val="000000"/>
                <w:kern w:val="2"/>
                <w:sz w:val="20"/>
                <w:szCs w:val="20"/>
                <w:lang w:val="en-US" w:eastAsia="zh-CN" w:bidi="ar-SA"/>
              </w:rPr>
            </w:pPr>
            <w:r>
              <w:rPr>
                <w:rFonts w:hint="eastAsia" w:ascii="仿宋" w:hAnsi="仿宋" w:eastAsia="仿宋" w:cs="仿宋"/>
                <w:color w:val="000000"/>
                <w:sz w:val="20"/>
                <w:szCs w:val="20"/>
                <w:lang w:val="en-US" w:eastAsia="zh-CN"/>
              </w:rPr>
              <w:t>吨</w:t>
            </w:r>
          </w:p>
        </w:tc>
        <w:tc>
          <w:tcPr>
            <w:tcW w:w="1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Theme="minorHAnsi" w:hAnsiTheme="minorHAnsi" w:eastAsiaTheme="minorEastAsia" w:cstheme="minorBidi"/>
                <w:color w:val="000000"/>
                <w:kern w:val="2"/>
                <w:sz w:val="20"/>
                <w:szCs w:val="20"/>
                <w:lang w:val="en-US" w:eastAsia="zh-CN" w:bidi="ar-SA"/>
              </w:rPr>
            </w:pPr>
            <w:r>
              <w:rPr>
                <w:rFonts w:hint="eastAsia"/>
                <w:color w:val="000000"/>
                <w:sz w:val="20"/>
                <w:szCs w:val="20"/>
                <w:lang w:val="en-US" w:eastAsia="zh-CN"/>
              </w:rPr>
              <w:t>20</w:t>
            </w:r>
          </w:p>
        </w:tc>
        <w:tc>
          <w:tcPr>
            <w:tcW w:w="1441" w:type="dxa"/>
            <w:tcBorders>
              <w:top w:val="single" w:color="000000" w:sz="4" w:space="0"/>
              <w:left w:val="single" w:color="000000" w:sz="4" w:space="0"/>
              <w:right w:val="single" w:color="000000" w:sz="8" w:space="0"/>
            </w:tcBorders>
            <w:shd w:val="clear" w:color="auto" w:fill="auto"/>
            <w:vAlign w:val="center"/>
          </w:tcPr>
          <w:p>
            <w:pPr>
              <w:widowControl/>
              <w:jc w:val="both"/>
              <w:textAlignment w:val="center"/>
              <w:rPr>
                <w:rFonts w:hint="eastAsia" w:ascii="仿宋" w:hAnsi="仿宋" w:eastAsia="仿宋" w:cs="仿宋"/>
                <w:color w:val="000000"/>
                <w:sz w:val="20"/>
                <w:szCs w:val="20"/>
                <w:lang w:val="en-US" w:eastAsia="zh-CN"/>
              </w:rPr>
            </w:pPr>
            <w:r>
              <w:rPr>
                <w:rFonts w:hint="eastAsia"/>
                <w:color w:val="000000"/>
                <w:sz w:val="20"/>
                <w:szCs w:val="20"/>
              </w:rPr>
              <w:t>六工区察隅县竹瓦根镇</w:t>
            </w:r>
          </w:p>
        </w:tc>
      </w:tr>
      <w:tr>
        <w:tblPrEx>
          <w:tblCellMar>
            <w:top w:w="0" w:type="dxa"/>
            <w:left w:w="108" w:type="dxa"/>
            <w:bottom w:w="0" w:type="dxa"/>
            <w:right w:w="108" w:type="dxa"/>
          </w:tblCellMar>
        </w:tblPrEx>
        <w:trPr>
          <w:trHeight w:val="509" w:hRule="atLeast"/>
          <w:jc w:val="center"/>
        </w:trPr>
        <w:tc>
          <w:tcPr>
            <w:tcW w:w="710" w:type="dxa"/>
            <w:tcBorders>
              <w:top w:val="single" w:color="000000" w:sz="4" w:space="0"/>
              <w:left w:val="single" w:color="000000" w:sz="8"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sz w:val="20"/>
                <w:szCs w:val="20"/>
                <w:lang w:val="en-US" w:eastAsia="zh-CN"/>
              </w:rPr>
            </w:pPr>
            <w:r>
              <w:rPr>
                <w:rFonts w:hint="eastAsia" w:ascii="仿宋" w:hAnsi="仿宋" w:eastAsia="仿宋" w:cs="仿宋"/>
                <w:color w:val="000000"/>
                <w:sz w:val="20"/>
                <w:szCs w:val="20"/>
                <w:lang w:val="en-US" w:eastAsia="zh-CN"/>
              </w:rPr>
              <w:t>4</w:t>
            </w:r>
          </w:p>
        </w:tc>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仿宋" w:hAnsi="仿宋" w:eastAsia="仿宋" w:cs="仿宋"/>
                <w:color w:val="000000"/>
                <w:sz w:val="20"/>
                <w:szCs w:val="20"/>
              </w:rPr>
            </w:pPr>
            <w:r>
              <w:rPr>
                <w:rFonts w:hint="eastAsia"/>
                <w:sz w:val="20"/>
                <w:szCs w:val="20"/>
              </w:rPr>
              <w:t>钢板Q235B</w:t>
            </w:r>
          </w:p>
        </w:tc>
        <w:tc>
          <w:tcPr>
            <w:tcW w:w="14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ascii="宋体" w:hAnsi="宋体" w:eastAsia="宋体" w:cs="宋体"/>
                <w:color w:val="000000"/>
                <w:kern w:val="0"/>
                <w:sz w:val="20"/>
                <w:szCs w:val="20"/>
              </w:rPr>
            </w:pPr>
            <w:r>
              <w:rPr>
                <w:rFonts w:hint="eastAsia"/>
                <w:color w:val="000000"/>
                <w:sz w:val="20"/>
                <w:szCs w:val="20"/>
              </w:rPr>
              <w:t>14</w:t>
            </w:r>
            <w:r>
              <w:rPr>
                <w:rFonts w:hint="eastAsia"/>
                <w:color w:val="000000"/>
                <w:sz w:val="20"/>
                <w:szCs w:val="20"/>
                <w:lang w:val="en-US" w:eastAsia="zh-CN"/>
              </w:rPr>
              <w:t>mm*</w:t>
            </w:r>
            <w:r>
              <w:rPr>
                <w:rFonts w:hint="eastAsia"/>
                <w:color w:val="000000"/>
                <w:sz w:val="20"/>
                <w:szCs w:val="20"/>
              </w:rPr>
              <w:t>1.5m</w:t>
            </w: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仿宋" w:hAnsi="仿宋" w:eastAsia="仿宋" w:cs="仿宋"/>
                <w:color w:val="000000"/>
                <w:sz w:val="20"/>
                <w:szCs w:val="20"/>
              </w:rPr>
            </w:pPr>
            <w:r>
              <w:rPr>
                <w:rFonts w:hint="eastAsia"/>
                <w:color w:val="000000"/>
                <w:sz w:val="20"/>
                <w:szCs w:val="20"/>
              </w:rPr>
              <w:t>吨</w:t>
            </w:r>
          </w:p>
        </w:tc>
        <w:tc>
          <w:tcPr>
            <w:tcW w:w="10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仿宋" w:hAnsi="仿宋" w:eastAsia="仿宋" w:cs="仿宋"/>
                <w:color w:val="000000"/>
                <w:sz w:val="20"/>
                <w:szCs w:val="20"/>
              </w:rPr>
            </w:pPr>
            <w:r>
              <w:rPr>
                <w:rFonts w:hint="eastAsia" w:ascii="仿宋" w:hAnsi="仿宋" w:eastAsia="仿宋" w:cs="仿宋"/>
                <w:color w:val="000000"/>
                <w:sz w:val="20"/>
                <w:szCs w:val="20"/>
              </w:rPr>
              <w:t>国标</w:t>
            </w:r>
          </w:p>
        </w:tc>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仿宋" w:hAnsi="仿宋" w:eastAsia="仿宋" w:cs="仿宋"/>
                <w:color w:val="000000"/>
                <w:sz w:val="20"/>
                <w:szCs w:val="20"/>
              </w:rPr>
            </w:pPr>
            <w:r>
              <w:rPr>
                <w:rFonts w:hint="eastAsia" w:ascii="仿宋" w:hAnsi="仿宋" w:eastAsia="仿宋" w:cs="仿宋"/>
                <w:color w:val="000000"/>
                <w:sz w:val="20"/>
                <w:szCs w:val="20"/>
              </w:rPr>
              <w:t>吨</w:t>
            </w:r>
          </w:p>
        </w:tc>
        <w:tc>
          <w:tcPr>
            <w:tcW w:w="1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仿宋" w:hAnsi="仿宋" w:eastAsia="仿宋" w:cs="仿宋"/>
                <w:color w:val="000000"/>
                <w:sz w:val="20"/>
                <w:szCs w:val="20"/>
                <w:lang w:val="en-US" w:eastAsia="zh-CN"/>
              </w:rPr>
            </w:pPr>
            <w:r>
              <w:rPr>
                <w:rFonts w:hint="eastAsia" w:ascii="仿宋" w:hAnsi="仿宋" w:eastAsia="仿宋" w:cs="仿宋"/>
                <w:color w:val="000000"/>
                <w:sz w:val="20"/>
                <w:szCs w:val="20"/>
                <w:lang w:val="en-US" w:eastAsia="zh-CN"/>
              </w:rPr>
              <w:t>40</w:t>
            </w:r>
          </w:p>
        </w:tc>
        <w:tc>
          <w:tcPr>
            <w:tcW w:w="1441" w:type="dxa"/>
            <w:tcBorders>
              <w:top w:val="single" w:color="000000" w:sz="4" w:space="0"/>
              <w:left w:val="single" w:color="000000" w:sz="4" w:space="0"/>
              <w:right w:val="single" w:color="000000" w:sz="8" w:space="0"/>
            </w:tcBorders>
            <w:shd w:val="clear" w:color="auto" w:fill="auto"/>
            <w:vAlign w:val="center"/>
          </w:tcPr>
          <w:p>
            <w:pPr>
              <w:widowControl/>
              <w:jc w:val="center"/>
              <w:rPr>
                <w:rFonts w:ascii="宋体" w:hAnsi="宋体" w:eastAsia="宋体" w:cs="宋体"/>
                <w:color w:val="000000"/>
                <w:kern w:val="0"/>
                <w:sz w:val="20"/>
                <w:szCs w:val="20"/>
              </w:rPr>
            </w:pPr>
            <w:r>
              <w:rPr>
                <w:rFonts w:hint="eastAsia"/>
                <w:color w:val="000000"/>
                <w:sz w:val="20"/>
                <w:szCs w:val="20"/>
              </w:rPr>
              <w:t>六工区察隅县竹瓦根镇</w:t>
            </w:r>
          </w:p>
        </w:tc>
      </w:tr>
      <w:tr>
        <w:tblPrEx>
          <w:tblCellMar>
            <w:top w:w="0" w:type="dxa"/>
            <w:left w:w="108" w:type="dxa"/>
            <w:bottom w:w="0" w:type="dxa"/>
            <w:right w:w="108" w:type="dxa"/>
          </w:tblCellMar>
        </w:tblPrEx>
        <w:trPr>
          <w:trHeight w:val="492" w:hRule="atLeast"/>
          <w:jc w:val="center"/>
        </w:trPr>
        <w:tc>
          <w:tcPr>
            <w:tcW w:w="2093" w:type="dxa"/>
            <w:gridSpan w:val="2"/>
            <w:tcBorders>
              <w:top w:val="single" w:color="000000" w:sz="4" w:space="0"/>
              <w:left w:val="single" w:color="000000" w:sz="8" w:space="0"/>
              <w:bottom w:val="single" w:color="000000" w:sz="8" w:space="0"/>
              <w:right w:val="single" w:color="000000" w:sz="4" w:space="0"/>
            </w:tcBorders>
            <w:shd w:val="clear" w:color="auto" w:fill="auto"/>
            <w:vAlign w:val="center"/>
          </w:tcPr>
          <w:p>
            <w:pPr>
              <w:widowControl/>
              <w:jc w:val="center"/>
              <w:textAlignment w:val="center"/>
              <w:rPr>
                <w:rFonts w:ascii="仿宋" w:hAnsi="仿宋" w:eastAsia="仿宋" w:cs="仿宋"/>
                <w:color w:val="000000"/>
                <w:sz w:val="20"/>
                <w:szCs w:val="20"/>
              </w:rPr>
            </w:pPr>
            <w:r>
              <w:rPr>
                <w:rFonts w:ascii="仿宋" w:hAnsi="仿宋" w:eastAsia="仿宋" w:cs="仿宋"/>
                <w:color w:val="000000"/>
                <w:sz w:val="20"/>
                <w:szCs w:val="20"/>
              </w:rPr>
              <w:t>合计</w:t>
            </w:r>
          </w:p>
        </w:tc>
        <w:tc>
          <w:tcPr>
            <w:tcW w:w="1452" w:type="dxa"/>
            <w:tcBorders>
              <w:top w:val="single" w:color="000000" w:sz="4" w:space="0"/>
              <w:left w:val="single" w:color="000000" w:sz="4" w:space="0"/>
              <w:bottom w:val="single" w:color="000000" w:sz="8" w:space="0"/>
              <w:right w:val="single" w:color="000000" w:sz="4" w:space="0"/>
            </w:tcBorders>
            <w:shd w:val="clear" w:color="auto" w:fill="auto"/>
            <w:noWrap/>
            <w:vAlign w:val="center"/>
          </w:tcPr>
          <w:p>
            <w:pPr>
              <w:widowControl/>
              <w:jc w:val="center"/>
              <w:textAlignment w:val="center"/>
              <w:rPr>
                <w:rFonts w:ascii="仿宋" w:hAnsi="仿宋" w:eastAsia="仿宋" w:cs="仿宋"/>
                <w:color w:val="000000"/>
                <w:sz w:val="20"/>
                <w:szCs w:val="20"/>
              </w:rPr>
            </w:pPr>
          </w:p>
        </w:tc>
        <w:tc>
          <w:tcPr>
            <w:tcW w:w="708" w:type="dxa"/>
            <w:tcBorders>
              <w:top w:val="single" w:color="000000" w:sz="4" w:space="0"/>
              <w:left w:val="single" w:color="000000" w:sz="4" w:space="0"/>
              <w:bottom w:val="single" w:color="000000" w:sz="8" w:space="0"/>
              <w:right w:val="single" w:color="000000" w:sz="4" w:space="0"/>
            </w:tcBorders>
            <w:shd w:val="clear" w:color="auto" w:fill="auto"/>
            <w:noWrap/>
            <w:vAlign w:val="center"/>
          </w:tcPr>
          <w:p>
            <w:pPr>
              <w:widowControl/>
              <w:jc w:val="center"/>
              <w:textAlignment w:val="center"/>
              <w:rPr>
                <w:rFonts w:ascii="仿宋" w:hAnsi="仿宋" w:eastAsia="仿宋" w:cs="仿宋"/>
                <w:color w:val="000000"/>
                <w:sz w:val="20"/>
                <w:szCs w:val="20"/>
              </w:rPr>
            </w:pPr>
          </w:p>
        </w:tc>
        <w:tc>
          <w:tcPr>
            <w:tcW w:w="1089" w:type="dxa"/>
            <w:tcBorders>
              <w:top w:val="single" w:color="000000" w:sz="4" w:space="0"/>
              <w:left w:val="single" w:color="000000" w:sz="4" w:space="0"/>
              <w:bottom w:val="single" w:color="000000" w:sz="8" w:space="0"/>
              <w:right w:val="single" w:color="000000" w:sz="4" w:space="0"/>
            </w:tcBorders>
            <w:shd w:val="clear" w:color="auto" w:fill="auto"/>
            <w:noWrap/>
            <w:vAlign w:val="center"/>
          </w:tcPr>
          <w:p>
            <w:pPr>
              <w:widowControl/>
              <w:jc w:val="center"/>
              <w:textAlignment w:val="center"/>
              <w:rPr>
                <w:rFonts w:ascii="仿宋" w:hAnsi="仿宋" w:eastAsia="仿宋" w:cs="仿宋"/>
                <w:color w:val="000000"/>
                <w:sz w:val="20"/>
                <w:szCs w:val="20"/>
              </w:rPr>
            </w:pPr>
          </w:p>
        </w:tc>
        <w:tc>
          <w:tcPr>
            <w:tcW w:w="803" w:type="dxa"/>
            <w:tcBorders>
              <w:top w:val="single" w:color="000000" w:sz="4" w:space="0"/>
              <w:left w:val="single" w:color="000000" w:sz="4" w:space="0"/>
              <w:bottom w:val="single" w:color="000000" w:sz="8" w:space="0"/>
              <w:right w:val="single" w:color="000000" w:sz="4" w:space="0"/>
            </w:tcBorders>
            <w:shd w:val="clear" w:color="auto" w:fill="auto"/>
            <w:noWrap/>
            <w:vAlign w:val="center"/>
          </w:tcPr>
          <w:p>
            <w:pPr>
              <w:widowControl/>
              <w:jc w:val="center"/>
              <w:textAlignment w:val="center"/>
              <w:rPr>
                <w:rFonts w:ascii="仿宋" w:hAnsi="仿宋" w:eastAsia="仿宋" w:cs="仿宋"/>
                <w:color w:val="000000"/>
                <w:sz w:val="20"/>
                <w:szCs w:val="20"/>
              </w:rPr>
            </w:pPr>
          </w:p>
        </w:tc>
        <w:tc>
          <w:tcPr>
            <w:tcW w:w="1216" w:type="dxa"/>
            <w:tcBorders>
              <w:top w:val="single" w:color="000000" w:sz="4" w:space="0"/>
              <w:left w:val="single" w:color="000000" w:sz="4" w:space="0"/>
              <w:bottom w:val="single" w:color="000000" w:sz="8" w:space="0"/>
              <w:right w:val="single" w:color="000000" w:sz="4" w:space="0"/>
            </w:tcBorders>
            <w:shd w:val="clear" w:color="auto" w:fill="auto"/>
            <w:noWrap/>
            <w:vAlign w:val="center"/>
          </w:tcPr>
          <w:p>
            <w:pPr>
              <w:widowControl/>
              <w:jc w:val="center"/>
              <w:rPr>
                <w:rFonts w:hint="default" w:ascii="宋体" w:hAnsi="宋体" w:eastAsia="宋体" w:cs="宋体"/>
                <w:color w:val="000000"/>
                <w:kern w:val="0"/>
                <w:sz w:val="20"/>
                <w:szCs w:val="20"/>
                <w:lang w:val="en-US"/>
              </w:rPr>
            </w:pPr>
            <w:r>
              <w:rPr>
                <w:rFonts w:hint="eastAsia"/>
                <w:color w:val="000000"/>
                <w:sz w:val="20"/>
                <w:szCs w:val="20"/>
                <w:lang w:val="en-US" w:eastAsia="zh-CN"/>
              </w:rPr>
              <w:t>190.000</w:t>
            </w:r>
          </w:p>
        </w:tc>
        <w:tc>
          <w:tcPr>
            <w:tcW w:w="1441" w:type="dxa"/>
            <w:tcBorders>
              <w:top w:val="single" w:color="000000" w:sz="4" w:space="0"/>
              <w:left w:val="single" w:color="000000" w:sz="4" w:space="0"/>
              <w:bottom w:val="single" w:color="000000" w:sz="8" w:space="0"/>
              <w:right w:val="single" w:color="000000" w:sz="8" w:space="0"/>
            </w:tcBorders>
            <w:shd w:val="clear" w:color="auto" w:fill="auto"/>
            <w:noWrap/>
            <w:vAlign w:val="center"/>
          </w:tcPr>
          <w:p>
            <w:pPr>
              <w:widowControl/>
              <w:jc w:val="center"/>
              <w:textAlignment w:val="center"/>
              <w:rPr>
                <w:rFonts w:ascii="仿宋" w:hAnsi="仿宋" w:eastAsia="仿宋" w:cs="仿宋"/>
                <w:color w:val="000000"/>
                <w:sz w:val="20"/>
                <w:szCs w:val="20"/>
              </w:rPr>
            </w:pPr>
          </w:p>
        </w:tc>
      </w:tr>
    </w:tbl>
    <w:p>
      <w:pPr>
        <w:pStyle w:val="7"/>
        <w:widowControl/>
        <w:shd w:val="clear" w:color="auto" w:fill="FFFFFF"/>
        <w:spacing w:beforeAutospacing="0" w:afterAutospacing="0" w:line="195" w:lineRule="atLeast"/>
        <w:ind w:firstLine="480"/>
        <w:rPr>
          <w:rFonts w:ascii="仿宋" w:hAnsi="仿宋" w:eastAsia="仿宋" w:cs="仿宋"/>
          <w:color w:val="4A4A4A"/>
          <w:sz w:val="30"/>
          <w:szCs w:val="30"/>
          <w:shd w:val="clear" w:color="auto" w:fill="FFFFFF"/>
        </w:rPr>
      </w:pPr>
      <w:r>
        <w:rPr>
          <w:rFonts w:hint="eastAsia" w:ascii="仿宋" w:hAnsi="仿宋" w:eastAsia="仿宋" w:cs="仿宋"/>
          <w:color w:val="4A4A4A"/>
          <w:sz w:val="30"/>
          <w:szCs w:val="30"/>
          <w:shd w:val="clear" w:color="auto" w:fill="FFFFFF"/>
        </w:rPr>
        <w:t>（一）钢材物资采购共计</w:t>
      </w:r>
      <w:r>
        <w:rPr>
          <w:rFonts w:hint="eastAsia" w:ascii="仿宋" w:hAnsi="仿宋" w:eastAsia="仿宋" w:cs="仿宋"/>
          <w:color w:val="4A4A4A"/>
          <w:sz w:val="30"/>
          <w:szCs w:val="30"/>
          <w:shd w:val="clear" w:color="auto" w:fill="FFFFFF"/>
          <w:lang w:val="en-US" w:eastAsia="zh-CN"/>
        </w:rPr>
        <w:t>190.000</w:t>
      </w:r>
      <w:r>
        <w:rPr>
          <w:rFonts w:hint="eastAsia" w:ascii="仿宋" w:hAnsi="仿宋" w:eastAsia="仿宋" w:cs="仿宋"/>
          <w:color w:val="4A4A4A"/>
          <w:sz w:val="30"/>
          <w:szCs w:val="30"/>
          <w:shd w:val="clear" w:color="auto" w:fill="FFFFFF"/>
        </w:rPr>
        <w:t>吨，具体数量中标后以实际合同数量为准；</w:t>
      </w:r>
    </w:p>
    <w:p>
      <w:pPr>
        <w:pStyle w:val="7"/>
        <w:widowControl/>
        <w:shd w:val="clear" w:color="auto" w:fill="FFFFFF"/>
        <w:spacing w:beforeAutospacing="0" w:afterAutospacing="0" w:line="195" w:lineRule="atLeast"/>
        <w:ind w:firstLine="480"/>
        <w:rPr>
          <w:rFonts w:ascii="仿宋" w:hAnsi="仿宋" w:eastAsia="仿宋" w:cs="仿宋"/>
          <w:color w:val="4A4A4A"/>
          <w:sz w:val="30"/>
          <w:szCs w:val="30"/>
          <w:shd w:val="clear" w:color="auto" w:fill="FFFFFF"/>
        </w:rPr>
      </w:pPr>
      <w:r>
        <w:rPr>
          <w:rFonts w:hint="eastAsia" w:ascii="仿宋" w:hAnsi="仿宋" w:eastAsia="仿宋" w:cs="仿宋"/>
          <w:color w:val="4A4A4A"/>
          <w:sz w:val="30"/>
          <w:szCs w:val="30"/>
          <w:shd w:val="clear" w:color="auto" w:fill="FFFFFF"/>
        </w:rPr>
        <w:t>（二）交货周期：2024年</w:t>
      </w:r>
      <w:r>
        <w:rPr>
          <w:rFonts w:hint="eastAsia" w:ascii="仿宋" w:hAnsi="仿宋" w:eastAsia="仿宋" w:cs="仿宋"/>
          <w:color w:val="4A4A4A"/>
          <w:sz w:val="30"/>
          <w:szCs w:val="30"/>
          <w:shd w:val="clear" w:color="auto" w:fill="FFFFFF"/>
          <w:lang w:val="en-US" w:eastAsia="zh-CN"/>
        </w:rPr>
        <w:t>12</w:t>
      </w:r>
      <w:r>
        <w:rPr>
          <w:rFonts w:hint="eastAsia" w:ascii="仿宋" w:hAnsi="仿宋" w:eastAsia="仿宋" w:cs="仿宋"/>
          <w:color w:val="4A4A4A"/>
          <w:sz w:val="30"/>
          <w:szCs w:val="30"/>
          <w:shd w:val="clear" w:color="auto" w:fill="FFFFFF"/>
        </w:rPr>
        <w:t>月前陆续交付完毕。</w:t>
      </w:r>
    </w:p>
    <w:p>
      <w:pPr>
        <w:pStyle w:val="7"/>
        <w:widowControl/>
        <w:shd w:val="clear" w:color="auto" w:fill="FFFFFF"/>
        <w:spacing w:line="195" w:lineRule="atLeast"/>
        <w:ind w:firstLine="480"/>
        <w:rPr>
          <w:rFonts w:ascii="仿宋" w:hAnsi="仿宋" w:eastAsia="仿宋" w:cs="仿宋"/>
          <w:color w:val="000000"/>
          <w:sz w:val="30"/>
          <w:szCs w:val="30"/>
        </w:rPr>
      </w:pPr>
      <w:r>
        <w:rPr>
          <w:rFonts w:hint="eastAsia" w:ascii="仿宋" w:hAnsi="仿宋" w:eastAsia="仿宋" w:cs="仿宋"/>
          <w:color w:val="4A4A4A"/>
          <w:sz w:val="30"/>
          <w:szCs w:val="30"/>
          <w:shd w:val="clear" w:color="auto" w:fill="FFFFFF"/>
        </w:rPr>
        <w:t>（三）交付地点：四工区八宿县瓦达村、</w:t>
      </w:r>
      <w:r>
        <w:rPr>
          <w:rFonts w:hint="eastAsia" w:ascii="仿宋" w:hAnsi="仿宋" w:eastAsia="仿宋" w:cs="仿宋"/>
          <w:color w:val="4A4A4A"/>
          <w:sz w:val="30"/>
          <w:szCs w:val="30"/>
          <w:shd w:val="clear" w:color="auto" w:fill="FFFFFF"/>
          <w:lang w:val="en-US" w:eastAsia="zh-CN"/>
        </w:rPr>
        <w:t>二工区</w:t>
      </w:r>
      <w:r>
        <w:rPr>
          <w:rFonts w:hint="eastAsia" w:ascii="仿宋" w:hAnsi="仿宋" w:eastAsia="仿宋" w:cs="仿宋"/>
          <w:color w:val="4A4A4A"/>
          <w:sz w:val="30"/>
          <w:szCs w:val="30"/>
          <w:shd w:val="clear" w:color="auto" w:fill="FFFFFF"/>
        </w:rPr>
        <w:t>八宿县怒江大峡谷</w:t>
      </w:r>
      <w:r>
        <w:rPr>
          <w:rFonts w:hint="eastAsia" w:ascii="仿宋" w:hAnsi="仿宋" w:eastAsia="仿宋" w:cs="仿宋"/>
          <w:color w:val="4A4A4A"/>
          <w:sz w:val="30"/>
          <w:szCs w:val="30"/>
          <w:shd w:val="clear" w:color="auto" w:fill="FFFFFF"/>
          <w:lang w:eastAsia="zh-CN"/>
        </w:rPr>
        <w:t>、</w:t>
      </w:r>
      <w:r>
        <w:rPr>
          <w:rFonts w:hint="eastAsia" w:ascii="仿宋" w:hAnsi="仿宋" w:eastAsia="仿宋" w:cs="仿宋"/>
          <w:color w:val="4A4A4A"/>
          <w:sz w:val="30"/>
          <w:szCs w:val="30"/>
          <w:shd w:val="clear" w:color="auto" w:fill="FFFFFF"/>
        </w:rPr>
        <w:t>六工区察隅县竹瓦根镇</w:t>
      </w:r>
      <w:r>
        <w:rPr>
          <w:rFonts w:hint="eastAsia" w:ascii="仿宋" w:hAnsi="仿宋" w:eastAsia="仿宋" w:cs="仿宋"/>
          <w:color w:val="000000"/>
          <w:sz w:val="30"/>
          <w:szCs w:val="30"/>
        </w:rPr>
        <w:t>。</w:t>
      </w:r>
    </w:p>
    <w:p>
      <w:pPr>
        <w:pStyle w:val="7"/>
        <w:widowControl/>
        <w:shd w:val="clear" w:color="auto" w:fill="FFFFFF"/>
        <w:spacing w:beforeAutospacing="0" w:afterAutospacing="0" w:line="195" w:lineRule="atLeast"/>
        <w:rPr>
          <w:rFonts w:ascii="仿宋" w:hAnsi="仿宋" w:eastAsia="仿宋" w:cs="仿宋"/>
          <w:b/>
          <w:bCs/>
          <w:color w:val="4A4A4A"/>
          <w:sz w:val="30"/>
          <w:szCs w:val="30"/>
        </w:rPr>
      </w:pPr>
      <w:r>
        <w:rPr>
          <w:rFonts w:hint="eastAsia" w:ascii="仿宋" w:hAnsi="仿宋" w:eastAsia="仿宋" w:cs="仿宋"/>
          <w:b/>
          <w:bCs/>
          <w:color w:val="4A4A4A"/>
          <w:sz w:val="30"/>
          <w:szCs w:val="30"/>
          <w:shd w:val="clear" w:color="auto" w:fill="FFFFFF"/>
        </w:rPr>
        <w:t>三、竞价资格条件</w:t>
      </w:r>
    </w:p>
    <w:p>
      <w:pPr>
        <w:pStyle w:val="7"/>
        <w:widowControl/>
        <w:shd w:val="clear" w:color="auto" w:fill="FFFFFF"/>
        <w:spacing w:beforeAutospacing="0" w:afterAutospacing="0" w:line="195" w:lineRule="atLeast"/>
        <w:ind w:firstLine="480"/>
        <w:rPr>
          <w:rFonts w:ascii="仿宋" w:hAnsi="仿宋" w:eastAsia="仿宋" w:cs="仿宋"/>
          <w:color w:val="4A4A4A"/>
          <w:sz w:val="30"/>
          <w:szCs w:val="30"/>
          <w:shd w:val="clear" w:color="auto" w:fill="FFFFFF"/>
        </w:rPr>
      </w:pPr>
      <w:r>
        <w:rPr>
          <w:rFonts w:hint="eastAsia" w:ascii="仿宋" w:hAnsi="仿宋" w:eastAsia="仿宋" w:cs="仿宋"/>
          <w:color w:val="4A4A4A"/>
          <w:sz w:val="30"/>
          <w:szCs w:val="30"/>
          <w:shd w:val="clear" w:color="auto" w:fill="FFFFFF"/>
        </w:rPr>
        <w:t>（一）营业范围要求</w:t>
      </w:r>
    </w:p>
    <w:p>
      <w:pPr>
        <w:pStyle w:val="7"/>
        <w:widowControl/>
        <w:shd w:val="clear" w:color="auto" w:fill="FFFFFF"/>
        <w:spacing w:beforeAutospacing="0" w:afterAutospacing="0" w:line="195" w:lineRule="atLeast"/>
        <w:ind w:firstLine="480"/>
        <w:rPr>
          <w:rFonts w:ascii="仿宋" w:hAnsi="仿宋" w:eastAsia="仿宋" w:cs="仿宋"/>
          <w:color w:val="4A4A4A"/>
          <w:sz w:val="30"/>
          <w:szCs w:val="30"/>
          <w:shd w:val="clear" w:color="auto" w:fill="FFFFFF"/>
        </w:rPr>
      </w:pPr>
      <w:r>
        <w:rPr>
          <w:rFonts w:hint="eastAsia" w:ascii="仿宋" w:hAnsi="仿宋" w:eastAsia="仿宋" w:cs="仿宋"/>
          <w:color w:val="4A4A4A"/>
          <w:sz w:val="30"/>
          <w:szCs w:val="30"/>
          <w:shd w:val="clear" w:color="auto" w:fill="FFFFFF"/>
        </w:rPr>
        <w:t>本次招标要求竞价单位须具备（1）法人资格，能独立承担民事责任；（2）具有良好的商业信誉和财务会计制度；（3）具有履行合同所必需的设备和专业技术能力；（4）环境管理、职业健康及安全管理实施情况及绩效说明（拥有14001\45001体系证书可免于提供）；（5）近三年发生如生产安全事故，环保事故、分包商员工职业健康问题等被有关部门进行行政处罚或有异常信用记录的，应提供书面分析改进报告。（未如实陈述者，我司有权取消中标资格及其他处罚措施。)资质，类似相关成功业绩，并具有与本招标项目相应的供货能力。近3年内有类似相关成功有效业绩1例以上；(有效业绩的定义：①合同为同类型相关项目；②须提供该业绩合同的复印件（包括但不限于合同首页、双方盖章页、总金额页）；③须提供该业绩合同的项目验收证明（如：业主证明或完工证明、验收报告等）或该业绩合同的所有收款凭证，以证明除验收、质保外其他阶段付款均已支付，（该业绩合同的项目验收证明或该业绩合同的所有收款凭证可二选一提供）；④所有证明文件在必要时需提供纸质原件备查。</w:t>
      </w:r>
    </w:p>
    <w:p>
      <w:pPr>
        <w:pStyle w:val="7"/>
        <w:widowControl/>
        <w:shd w:val="clear" w:color="auto" w:fill="FFFFFF"/>
        <w:spacing w:beforeAutospacing="0" w:afterAutospacing="0" w:line="195" w:lineRule="atLeast"/>
        <w:ind w:firstLine="480"/>
        <w:rPr>
          <w:rFonts w:ascii="仿宋" w:hAnsi="仿宋" w:eastAsia="仿宋" w:cs="仿宋"/>
          <w:color w:val="4A4A4A"/>
          <w:sz w:val="30"/>
          <w:szCs w:val="30"/>
          <w:shd w:val="clear" w:color="auto" w:fill="FFFFFF"/>
        </w:rPr>
      </w:pPr>
      <w:r>
        <w:rPr>
          <w:rFonts w:hint="eastAsia" w:ascii="仿宋" w:hAnsi="仿宋" w:eastAsia="仿宋" w:cs="仿宋"/>
          <w:color w:val="4A4A4A"/>
          <w:sz w:val="30"/>
          <w:szCs w:val="30"/>
          <w:shd w:val="clear" w:color="auto" w:fill="FFFFFF"/>
        </w:rPr>
        <w:t>（二）不得参加竞价的情况</w:t>
      </w:r>
    </w:p>
    <w:p>
      <w:pPr>
        <w:pStyle w:val="7"/>
        <w:widowControl/>
        <w:shd w:val="clear" w:color="auto" w:fill="FFFFFF"/>
        <w:spacing w:beforeAutospacing="0" w:afterAutospacing="0" w:line="195" w:lineRule="atLeast"/>
        <w:ind w:firstLine="600" w:firstLineChars="200"/>
        <w:rPr>
          <w:rFonts w:ascii="仿宋" w:hAnsi="仿宋" w:eastAsia="仿宋" w:cs="仿宋"/>
          <w:color w:val="4A4A4A"/>
          <w:sz w:val="30"/>
          <w:szCs w:val="30"/>
          <w:shd w:val="clear" w:color="auto" w:fill="FFFFFF"/>
        </w:rPr>
      </w:pPr>
      <w:r>
        <w:rPr>
          <w:rFonts w:hint="eastAsia" w:ascii="仿宋" w:hAnsi="仿宋" w:eastAsia="仿宋" w:cs="仿宋"/>
          <w:color w:val="4A4A4A"/>
          <w:sz w:val="30"/>
          <w:szCs w:val="30"/>
          <w:shd w:val="clear" w:color="auto" w:fill="FFFFFF"/>
        </w:rPr>
        <w:t>未取得法律法规定经营许可，擅自从事经营范围以外业务的;使用失效、伪造、变造、被注销等无效的经营许可证件的;被中国交建所属各单位纳入黑名单的；过往三年内被国家相关机构（工商、税务）处罚的；企业或企业法人被列入失信执行人、违法案件当事人、违法失信行为记录名单的；以及其他无法满足合约条款的。</w:t>
      </w:r>
    </w:p>
    <w:p>
      <w:pPr>
        <w:pStyle w:val="7"/>
        <w:widowControl/>
        <w:numPr>
          <w:ilvl w:val="0"/>
          <w:numId w:val="2"/>
        </w:numPr>
        <w:shd w:val="clear" w:color="auto" w:fill="FFFFFF"/>
        <w:spacing w:beforeAutospacing="0" w:afterAutospacing="0" w:line="195" w:lineRule="atLeast"/>
        <w:rPr>
          <w:rFonts w:ascii="仿宋" w:hAnsi="仿宋" w:eastAsia="仿宋" w:cs="仿宋"/>
          <w:b/>
          <w:bCs/>
          <w:color w:val="4A4A4A"/>
          <w:sz w:val="30"/>
          <w:szCs w:val="30"/>
          <w:shd w:val="clear" w:color="auto" w:fill="FFFFFF"/>
        </w:rPr>
      </w:pPr>
      <w:r>
        <w:rPr>
          <w:rFonts w:hint="eastAsia" w:ascii="仿宋" w:hAnsi="仿宋" w:eastAsia="仿宋" w:cs="仿宋"/>
          <w:b/>
          <w:bCs/>
          <w:color w:val="4A4A4A"/>
          <w:sz w:val="30"/>
          <w:szCs w:val="30"/>
          <w:shd w:val="clear" w:color="auto" w:fill="FFFFFF"/>
        </w:rPr>
        <w:t>询价时间及定价方式</w:t>
      </w:r>
    </w:p>
    <w:p>
      <w:pPr>
        <w:pStyle w:val="7"/>
        <w:widowControl/>
        <w:numPr>
          <w:ilvl w:val="0"/>
          <w:numId w:val="3"/>
        </w:numPr>
        <w:shd w:val="clear" w:color="auto" w:fill="FFFFFF"/>
        <w:spacing w:beforeAutospacing="0" w:afterAutospacing="0" w:line="195" w:lineRule="atLeast"/>
        <w:rPr>
          <w:rFonts w:ascii="仿宋" w:hAnsi="仿宋" w:eastAsia="仿宋" w:cs="仿宋"/>
          <w:color w:val="4A4A4A"/>
          <w:sz w:val="30"/>
          <w:szCs w:val="30"/>
          <w:shd w:val="clear" w:color="auto" w:fill="FFFFFF"/>
        </w:rPr>
      </w:pPr>
      <w:r>
        <w:rPr>
          <w:rFonts w:hint="eastAsia" w:ascii="仿宋" w:hAnsi="仿宋" w:eastAsia="仿宋" w:cs="仿宋"/>
          <w:color w:val="4A4A4A"/>
          <w:sz w:val="30"/>
          <w:szCs w:val="30"/>
          <w:shd w:val="clear" w:color="auto" w:fill="FFFFFF"/>
        </w:rPr>
        <w:t>询价时间</w:t>
      </w:r>
    </w:p>
    <w:p>
      <w:pPr>
        <w:pStyle w:val="7"/>
        <w:widowControl/>
        <w:shd w:val="clear" w:color="auto" w:fill="FFFFFF"/>
        <w:spacing w:beforeAutospacing="0" w:afterAutospacing="0" w:line="195" w:lineRule="atLeast"/>
        <w:rPr>
          <w:rFonts w:ascii="仿宋" w:hAnsi="仿宋" w:eastAsia="仿宋" w:cs="仿宋"/>
          <w:color w:val="4A4A4A"/>
          <w:sz w:val="30"/>
          <w:szCs w:val="30"/>
          <w:shd w:val="clear" w:color="auto" w:fill="FFFFFF"/>
        </w:rPr>
      </w:pPr>
      <w:r>
        <w:rPr>
          <w:rFonts w:hint="eastAsia" w:ascii="仿宋" w:hAnsi="仿宋" w:eastAsia="仿宋" w:cs="仿宋"/>
          <w:color w:val="4A4A4A"/>
          <w:sz w:val="30"/>
          <w:szCs w:val="30"/>
          <w:shd w:val="clear" w:color="auto" w:fill="FFFFFF"/>
        </w:rPr>
        <w:t xml:space="preserve">   询价报名开始及结束时间：2024年0</w:t>
      </w:r>
      <w:r>
        <w:rPr>
          <w:rFonts w:hint="eastAsia" w:ascii="仿宋" w:hAnsi="仿宋" w:eastAsia="仿宋" w:cs="仿宋"/>
          <w:color w:val="4A4A4A"/>
          <w:sz w:val="30"/>
          <w:szCs w:val="30"/>
          <w:shd w:val="clear" w:color="auto" w:fill="FFFFFF"/>
          <w:lang w:val="en-US" w:eastAsia="zh-CN"/>
        </w:rPr>
        <w:t>8</w:t>
      </w:r>
      <w:r>
        <w:rPr>
          <w:rFonts w:hint="eastAsia" w:ascii="仿宋" w:hAnsi="仿宋" w:eastAsia="仿宋" w:cs="仿宋"/>
          <w:color w:val="4A4A4A"/>
          <w:sz w:val="30"/>
          <w:szCs w:val="30"/>
          <w:shd w:val="clear" w:color="auto" w:fill="FFFFFF"/>
        </w:rPr>
        <w:t>月</w:t>
      </w:r>
      <w:r>
        <w:rPr>
          <w:rFonts w:hint="eastAsia" w:ascii="仿宋" w:hAnsi="仿宋" w:eastAsia="仿宋" w:cs="仿宋"/>
          <w:color w:val="4A4A4A"/>
          <w:sz w:val="30"/>
          <w:szCs w:val="30"/>
          <w:shd w:val="clear" w:color="auto" w:fill="FFFFFF"/>
          <w:lang w:val="en-US" w:eastAsia="zh-CN"/>
        </w:rPr>
        <w:t>28</w:t>
      </w:r>
      <w:r>
        <w:rPr>
          <w:rFonts w:hint="eastAsia" w:ascii="仿宋" w:hAnsi="仿宋" w:eastAsia="仿宋" w:cs="仿宋"/>
          <w:color w:val="4A4A4A"/>
          <w:sz w:val="30"/>
          <w:szCs w:val="30"/>
          <w:shd w:val="clear" w:color="auto" w:fill="FFFFFF"/>
        </w:rPr>
        <w:t>日</w:t>
      </w:r>
      <w:r>
        <w:rPr>
          <w:rFonts w:hint="eastAsia" w:ascii="仿宋" w:hAnsi="仿宋" w:eastAsia="仿宋" w:cs="仿宋"/>
          <w:color w:val="4A4A4A"/>
          <w:sz w:val="30"/>
          <w:szCs w:val="30"/>
          <w:shd w:val="clear" w:color="auto" w:fill="FFFFFF"/>
          <w:lang w:val="en-US" w:eastAsia="zh-CN"/>
        </w:rPr>
        <w:t>10</w:t>
      </w:r>
      <w:r>
        <w:rPr>
          <w:rFonts w:hint="eastAsia" w:ascii="仿宋" w:hAnsi="仿宋" w:eastAsia="仿宋" w:cs="仿宋"/>
          <w:color w:val="4A4A4A"/>
          <w:sz w:val="30"/>
          <w:szCs w:val="30"/>
          <w:shd w:val="clear" w:color="auto" w:fill="FFFFFF"/>
        </w:rPr>
        <w:t>时00分至2024年0</w:t>
      </w:r>
      <w:r>
        <w:rPr>
          <w:rFonts w:hint="eastAsia" w:ascii="仿宋" w:hAnsi="仿宋" w:eastAsia="仿宋" w:cs="仿宋"/>
          <w:color w:val="4A4A4A"/>
          <w:sz w:val="30"/>
          <w:szCs w:val="30"/>
          <w:shd w:val="clear" w:color="auto" w:fill="FFFFFF"/>
          <w:lang w:val="en-US" w:eastAsia="zh-CN"/>
        </w:rPr>
        <w:t>8</w:t>
      </w:r>
      <w:r>
        <w:rPr>
          <w:rFonts w:hint="eastAsia" w:ascii="仿宋" w:hAnsi="仿宋" w:eastAsia="仿宋" w:cs="仿宋"/>
          <w:color w:val="4A4A4A"/>
          <w:sz w:val="30"/>
          <w:szCs w:val="30"/>
          <w:shd w:val="clear" w:color="auto" w:fill="FFFFFF"/>
        </w:rPr>
        <w:t>月</w:t>
      </w:r>
      <w:r>
        <w:rPr>
          <w:rFonts w:hint="eastAsia" w:ascii="仿宋" w:hAnsi="仿宋" w:eastAsia="仿宋" w:cs="仿宋"/>
          <w:color w:val="4A4A4A"/>
          <w:sz w:val="30"/>
          <w:szCs w:val="30"/>
          <w:shd w:val="clear" w:color="auto" w:fill="FFFFFF"/>
          <w:lang w:val="en-US" w:eastAsia="zh-CN"/>
        </w:rPr>
        <w:t>31</w:t>
      </w:r>
      <w:r>
        <w:rPr>
          <w:rFonts w:hint="eastAsia" w:ascii="仿宋" w:hAnsi="仿宋" w:eastAsia="仿宋" w:cs="仿宋"/>
          <w:color w:val="4A4A4A"/>
          <w:sz w:val="30"/>
          <w:szCs w:val="30"/>
          <w:shd w:val="clear" w:color="auto" w:fill="FFFFFF"/>
        </w:rPr>
        <w:t>日</w:t>
      </w:r>
      <w:r>
        <w:rPr>
          <w:rFonts w:hint="eastAsia" w:ascii="仿宋" w:hAnsi="仿宋" w:eastAsia="仿宋" w:cs="仿宋"/>
          <w:color w:val="4A4A4A"/>
          <w:sz w:val="30"/>
          <w:szCs w:val="30"/>
          <w:shd w:val="clear" w:color="auto" w:fill="FFFFFF"/>
          <w:lang w:val="en-US" w:eastAsia="zh-CN"/>
        </w:rPr>
        <w:t>1</w:t>
      </w:r>
      <w:bookmarkStart w:id="0" w:name="_GoBack"/>
      <w:bookmarkEnd w:id="0"/>
      <w:r>
        <w:rPr>
          <w:rFonts w:hint="eastAsia" w:ascii="仿宋" w:hAnsi="仿宋" w:eastAsia="仿宋" w:cs="仿宋"/>
          <w:color w:val="4A4A4A"/>
          <w:sz w:val="30"/>
          <w:szCs w:val="30"/>
          <w:shd w:val="clear" w:color="auto" w:fill="FFFFFF"/>
          <w:lang w:val="en-US" w:eastAsia="zh-CN"/>
        </w:rPr>
        <w:t>0</w:t>
      </w:r>
      <w:r>
        <w:rPr>
          <w:rFonts w:hint="eastAsia" w:ascii="仿宋" w:hAnsi="仿宋" w:eastAsia="仿宋" w:cs="仿宋"/>
          <w:color w:val="4A4A4A"/>
          <w:sz w:val="30"/>
          <w:szCs w:val="30"/>
          <w:shd w:val="clear" w:color="auto" w:fill="FFFFFF"/>
        </w:rPr>
        <w:t>时00分止；</w:t>
      </w:r>
    </w:p>
    <w:p>
      <w:pPr>
        <w:pStyle w:val="7"/>
        <w:widowControl/>
        <w:shd w:val="clear" w:color="auto" w:fill="FFFFFF"/>
        <w:spacing w:beforeAutospacing="0" w:afterAutospacing="0" w:line="195" w:lineRule="atLeast"/>
        <w:ind w:firstLine="300" w:firstLineChars="100"/>
        <w:rPr>
          <w:rFonts w:ascii="仿宋" w:hAnsi="仿宋" w:eastAsia="仿宋" w:cs="仿宋"/>
          <w:color w:val="4A4A4A"/>
          <w:sz w:val="30"/>
          <w:szCs w:val="30"/>
          <w:shd w:val="clear" w:color="auto" w:fill="FFFFFF"/>
        </w:rPr>
      </w:pPr>
      <w:r>
        <w:rPr>
          <w:rFonts w:hint="eastAsia" w:ascii="仿宋" w:hAnsi="仿宋" w:eastAsia="仿宋" w:cs="仿宋"/>
          <w:color w:val="4A4A4A"/>
          <w:sz w:val="30"/>
          <w:szCs w:val="30"/>
          <w:shd w:val="clear" w:color="auto" w:fill="FFFFFF"/>
        </w:rPr>
        <w:t>询价报价开始及结束时间：2024年0</w:t>
      </w:r>
      <w:r>
        <w:rPr>
          <w:rFonts w:hint="eastAsia" w:ascii="仿宋" w:hAnsi="仿宋" w:eastAsia="仿宋" w:cs="仿宋"/>
          <w:color w:val="4A4A4A"/>
          <w:sz w:val="30"/>
          <w:szCs w:val="30"/>
          <w:shd w:val="clear" w:color="auto" w:fill="FFFFFF"/>
          <w:lang w:val="en-US" w:eastAsia="zh-CN"/>
        </w:rPr>
        <w:t>8月31</w:t>
      </w:r>
      <w:r>
        <w:rPr>
          <w:rFonts w:hint="eastAsia" w:ascii="仿宋" w:hAnsi="仿宋" w:eastAsia="仿宋" w:cs="仿宋"/>
          <w:color w:val="4A4A4A"/>
          <w:sz w:val="30"/>
          <w:szCs w:val="30"/>
          <w:shd w:val="clear" w:color="auto" w:fill="FFFFFF"/>
        </w:rPr>
        <w:t>日</w:t>
      </w:r>
      <w:r>
        <w:rPr>
          <w:rFonts w:hint="eastAsia" w:ascii="仿宋" w:hAnsi="仿宋" w:eastAsia="仿宋" w:cs="仿宋"/>
          <w:color w:val="4A4A4A"/>
          <w:sz w:val="30"/>
          <w:szCs w:val="30"/>
          <w:shd w:val="clear" w:color="auto" w:fill="FFFFFF"/>
          <w:lang w:val="en-US" w:eastAsia="zh-CN"/>
        </w:rPr>
        <w:t>10</w:t>
      </w:r>
      <w:r>
        <w:rPr>
          <w:rFonts w:hint="eastAsia" w:ascii="仿宋" w:hAnsi="仿宋" w:eastAsia="仿宋" w:cs="仿宋"/>
          <w:color w:val="4A4A4A"/>
          <w:sz w:val="30"/>
          <w:szCs w:val="30"/>
          <w:shd w:val="clear" w:color="auto" w:fill="FFFFFF"/>
        </w:rPr>
        <w:t>时10分至2024年0</w:t>
      </w:r>
      <w:r>
        <w:rPr>
          <w:rFonts w:hint="eastAsia" w:ascii="仿宋" w:hAnsi="仿宋" w:eastAsia="仿宋" w:cs="仿宋"/>
          <w:color w:val="4A4A4A"/>
          <w:sz w:val="30"/>
          <w:szCs w:val="30"/>
          <w:shd w:val="clear" w:color="auto" w:fill="FFFFFF"/>
          <w:lang w:val="en-US" w:eastAsia="zh-CN"/>
        </w:rPr>
        <w:t>9</w:t>
      </w:r>
      <w:r>
        <w:rPr>
          <w:rFonts w:hint="eastAsia" w:ascii="仿宋" w:hAnsi="仿宋" w:eastAsia="仿宋" w:cs="仿宋"/>
          <w:color w:val="4A4A4A"/>
          <w:sz w:val="30"/>
          <w:szCs w:val="30"/>
          <w:shd w:val="clear" w:color="auto" w:fill="FFFFFF"/>
        </w:rPr>
        <w:t>月</w:t>
      </w:r>
      <w:r>
        <w:rPr>
          <w:rFonts w:hint="eastAsia" w:ascii="仿宋" w:hAnsi="仿宋" w:eastAsia="仿宋" w:cs="仿宋"/>
          <w:color w:val="4A4A4A"/>
          <w:sz w:val="30"/>
          <w:szCs w:val="30"/>
          <w:shd w:val="clear" w:color="auto" w:fill="FFFFFF"/>
          <w:lang w:val="en-US" w:eastAsia="zh-CN"/>
        </w:rPr>
        <w:t>01</w:t>
      </w:r>
      <w:r>
        <w:rPr>
          <w:rFonts w:hint="eastAsia" w:ascii="仿宋" w:hAnsi="仿宋" w:eastAsia="仿宋" w:cs="仿宋"/>
          <w:color w:val="4A4A4A"/>
          <w:sz w:val="30"/>
          <w:szCs w:val="30"/>
          <w:shd w:val="clear" w:color="auto" w:fill="FFFFFF"/>
        </w:rPr>
        <w:t>日</w:t>
      </w:r>
      <w:r>
        <w:rPr>
          <w:rFonts w:hint="eastAsia" w:ascii="仿宋" w:hAnsi="仿宋" w:eastAsia="仿宋" w:cs="仿宋"/>
          <w:color w:val="4A4A4A"/>
          <w:sz w:val="30"/>
          <w:szCs w:val="30"/>
          <w:shd w:val="clear" w:color="auto" w:fill="FFFFFF"/>
          <w:lang w:val="en-US" w:eastAsia="zh-CN"/>
        </w:rPr>
        <w:t>10</w:t>
      </w:r>
      <w:r>
        <w:rPr>
          <w:rFonts w:hint="eastAsia" w:ascii="仿宋" w:hAnsi="仿宋" w:eastAsia="仿宋" w:cs="仿宋"/>
          <w:color w:val="4A4A4A"/>
          <w:sz w:val="30"/>
          <w:szCs w:val="30"/>
          <w:shd w:val="clear" w:color="auto" w:fill="FFFFFF"/>
        </w:rPr>
        <w:t>时10分止；</w:t>
      </w:r>
    </w:p>
    <w:p>
      <w:pPr>
        <w:pStyle w:val="7"/>
        <w:widowControl/>
        <w:shd w:val="clear" w:color="auto" w:fill="FFFFFF"/>
        <w:spacing w:beforeAutospacing="0" w:afterAutospacing="0" w:line="195" w:lineRule="atLeast"/>
        <w:rPr>
          <w:rFonts w:ascii="仿宋" w:hAnsi="仿宋" w:eastAsia="仿宋" w:cs="仿宋"/>
          <w:color w:val="4A4A4A"/>
          <w:sz w:val="30"/>
          <w:szCs w:val="30"/>
          <w:shd w:val="clear" w:color="auto" w:fill="FFFFFF"/>
        </w:rPr>
      </w:pPr>
      <w:r>
        <w:rPr>
          <w:rFonts w:hint="eastAsia" w:ascii="仿宋" w:hAnsi="仿宋" w:eastAsia="仿宋" w:cs="仿宋"/>
          <w:color w:val="4A4A4A"/>
          <w:sz w:val="30"/>
          <w:szCs w:val="30"/>
          <w:shd w:val="clear" w:color="auto" w:fill="FFFFFF"/>
        </w:rPr>
        <w:t>（二）定价方式</w:t>
      </w:r>
    </w:p>
    <w:p>
      <w:pPr>
        <w:pStyle w:val="7"/>
        <w:widowControl/>
        <w:shd w:val="clear" w:color="auto" w:fill="FFFFFF"/>
        <w:spacing w:line="195" w:lineRule="atLeast"/>
        <w:ind w:firstLine="600" w:firstLineChars="200"/>
        <w:rPr>
          <w:rFonts w:ascii="仿宋" w:hAnsi="仿宋" w:eastAsia="仿宋" w:cs="仿宋"/>
          <w:color w:val="4A4A4A"/>
          <w:sz w:val="30"/>
          <w:szCs w:val="30"/>
        </w:rPr>
      </w:pPr>
      <w:r>
        <w:rPr>
          <w:rFonts w:hint="eastAsia" w:ascii="仿宋" w:hAnsi="仿宋" w:eastAsia="仿宋" w:cs="仿宋"/>
          <w:color w:val="4A4A4A"/>
          <w:sz w:val="30"/>
          <w:szCs w:val="30"/>
        </w:rPr>
        <w:t>1、发货日兰州市场建筑钢材价格行情首次公布的“包钢”（不参考备注栏价格，逢节假日，以节日前的最后一个工作日）对应规格、型号及材质的网价为结算出厂单价+综合费用；1</w:t>
      </w:r>
      <w:r>
        <w:rPr>
          <w:rFonts w:hint="eastAsia" w:ascii="仿宋" w:hAnsi="仿宋" w:eastAsia="仿宋" w:cs="仿宋"/>
          <w:color w:val="4A4A4A"/>
          <w:sz w:val="30"/>
          <w:szCs w:val="30"/>
          <w:lang w:val="en-US" w:eastAsia="zh-CN"/>
        </w:rPr>
        <w:t>0mm规格以</w:t>
      </w:r>
      <w:r>
        <w:rPr>
          <w:rFonts w:hint="eastAsia" w:ascii="仿宋" w:hAnsi="仿宋" w:eastAsia="仿宋" w:cs="仿宋"/>
          <w:color w:val="4A4A4A"/>
          <w:sz w:val="30"/>
          <w:szCs w:val="30"/>
        </w:rPr>
        <w:t>发货日兰州市场建筑钢材价格行情首次公布的“</w:t>
      </w:r>
      <w:r>
        <w:rPr>
          <w:rFonts w:hint="eastAsia" w:ascii="仿宋" w:hAnsi="仿宋" w:eastAsia="仿宋" w:cs="仿宋"/>
          <w:color w:val="4A4A4A"/>
          <w:sz w:val="30"/>
          <w:szCs w:val="30"/>
          <w:lang w:val="en-US" w:eastAsia="zh-CN"/>
        </w:rPr>
        <w:t>八</w:t>
      </w:r>
      <w:r>
        <w:rPr>
          <w:rFonts w:hint="eastAsia" w:ascii="仿宋" w:hAnsi="仿宋" w:eastAsia="仿宋" w:cs="仿宋"/>
          <w:color w:val="4A4A4A"/>
          <w:sz w:val="30"/>
          <w:szCs w:val="30"/>
        </w:rPr>
        <w:t>钢”（不参考备注栏价格，逢节假日，以节日前的最后一个工作日）对应规格、型号及材质的网价为结算出厂单价+综合费用。</w:t>
      </w:r>
    </w:p>
    <w:p>
      <w:pPr>
        <w:pStyle w:val="7"/>
        <w:widowControl/>
        <w:shd w:val="clear" w:color="auto" w:fill="FFFFFF"/>
        <w:spacing w:beforeAutospacing="0" w:afterAutospacing="0" w:line="195" w:lineRule="atLeast"/>
        <w:ind w:firstLine="600" w:firstLineChars="200"/>
        <w:rPr>
          <w:rFonts w:ascii="仿宋" w:hAnsi="仿宋" w:eastAsia="仿宋" w:cs="仿宋"/>
          <w:color w:val="4A4A4A"/>
          <w:sz w:val="30"/>
          <w:szCs w:val="30"/>
        </w:rPr>
      </w:pPr>
      <w:r>
        <w:rPr>
          <w:rFonts w:hint="eastAsia" w:ascii="仿宋" w:hAnsi="仿宋" w:eastAsia="仿宋" w:cs="仿宋"/>
          <w:color w:val="4A4A4A"/>
          <w:sz w:val="30"/>
          <w:szCs w:val="30"/>
        </w:rPr>
        <w:t>2、以上综合费用在合同执行期间保持不变。</w:t>
      </w:r>
    </w:p>
    <w:p>
      <w:pPr>
        <w:pStyle w:val="7"/>
        <w:widowControl/>
        <w:numPr>
          <w:ilvl w:val="0"/>
          <w:numId w:val="2"/>
        </w:numPr>
        <w:shd w:val="clear" w:color="auto" w:fill="FFFFFF"/>
        <w:spacing w:beforeAutospacing="0" w:afterAutospacing="0" w:line="195" w:lineRule="atLeast"/>
        <w:rPr>
          <w:rFonts w:ascii="仿宋" w:hAnsi="仿宋" w:eastAsia="仿宋" w:cs="仿宋"/>
          <w:b/>
          <w:bCs/>
          <w:color w:val="4A4A4A"/>
          <w:sz w:val="30"/>
          <w:szCs w:val="30"/>
          <w:shd w:val="clear" w:color="auto" w:fill="FFFFFF"/>
        </w:rPr>
      </w:pPr>
      <w:r>
        <w:rPr>
          <w:rFonts w:hint="eastAsia" w:ascii="仿宋" w:hAnsi="仿宋" w:eastAsia="仿宋" w:cs="仿宋"/>
          <w:b/>
          <w:bCs/>
          <w:color w:val="4A4A4A"/>
          <w:sz w:val="30"/>
          <w:szCs w:val="30"/>
          <w:shd w:val="clear" w:color="auto" w:fill="FFFFFF"/>
        </w:rPr>
        <w:t>结算支付方式</w:t>
      </w:r>
    </w:p>
    <w:p>
      <w:pPr>
        <w:pStyle w:val="7"/>
        <w:widowControl/>
        <w:numPr>
          <w:ilvl w:val="0"/>
          <w:numId w:val="4"/>
        </w:numPr>
        <w:shd w:val="clear" w:color="auto" w:fill="FFFFFF"/>
        <w:spacing w:beforeAutospacing="0" w:afterAutospacing="0" w:line="195" w:lineRule="atLeast"/>
        <w:ind w:firstLine="600" w:firstLineChars="200"/>
        <w:rPr>
          <w:rFonts w:ascii="仿宋" w:hAnsi="仿宋" w:eastAsia="仿宋" w:cs="仿宋"/>
          <w:color w:val="4A4A4A"/>
          <w:sz w:val="30"/>
          <w:szCs w:val="30"/>
          <w:shd w:val="clear" w:color="auto" w:fill="FFFFFF"/>
        </w:rPr>
      </w:pPr>
      <w:r>
        <w:rPr>
          <w:rFonts w:hint="eastAsia" w:ascii="仿宋" w:hAnsi="仿宋" w:eastAsia="仿宋" w:cs="仿宋"/>
          <w:color w:val="4A4A4A"/>
          <w:sz w:val="30"/>
          <w:szCs w:val="30"/>
          <w:shd w:val="clear" w:color="auto" w:fill="FFFFFF"/>
        </w:rPr>
        <w:t>结算周期：按月度办理结算手续，上月15日至当月16日为单个供货期，供方应在每月16日前将上月度供货的交接签收单、发票等结算单据交于需方。</w:t>
      </w:r>
    </w:p>
    <w:p>
      <w:pPr>
        <w:pStyle w:val="7"/>
        <w:widowControl/>
        <w:shd w:val="clear" w:color="auto" w:fill="FFFFFF"/>
        <w:spacing w:beforeAutospacing="0" w:afterAutospacing="0" w:line="195" w:lineRule="atLeast"/>
        <w:ind w:firstLine="600" w:firstLineChars="200"/>
        <w:rPr>
          <w:rFonts w:ascii="仿宋" w:hAnsi="仿宋" w:eastAsia="仿宋" w:cs="仿宋"/>
          <w:color w:val="4A4A4A"/>
          <w:sz w:val="30"/>
          <w:szCs w:val="30"/>
          <w:shd w:val="clear" w:color="auto" w:fill="FFFFFF"/>
        </w:rPr>
      </w:pPr>
      <w:r>
        <w:rPr>
          <w:rFonts w:hint="eastAsia" w:ascii="仿宋" w:hAnsi="仿宋" w:eastAsia="仿宋" w:cs="仿宋"/>
          <w:color w:val="4A4A4A"/>
          <w:sz w:val="30"/>
          <w:szCs w:val="30"/>
          <w:shd w:val="clear" w:color="auto" w:fill="FFFFFF"/>
        </w:rPr>
        <w:t>支付周期：办理完成结算手续后30日内支付当期结算货款的100%，支付方式：</w:t>
      </w:r>
      <w:r>
        <w:rPr>
          <w:rFonts w:hint="eastAsia" w:ascii="仿宋" w:hAnsi="仿宋" w:eastAsia="仿宋" w:cs="仿宋"/>
          <w:color w:val="4A4A4A"/>
          <w:sz w:val="30"/>
          <w:szCs w:val="30"/>
          <w:shd w:val="clear" w:color="auto" w:fill="FFFFFF"/>
          <w:lang w:val="en-US" w:eastAsia="zh-CN"/>
        </w:rPr>
        <w:t>六</w:t>
      </w:r>
      <w:r>
        <w:rPr>
          <w:rFonts w:hint="eastAsia" w:ascii="仿宋" w:hAnsi="仿宋" w:eastAsia="仿宋" w:cs="仿宋"/>
          <w:color w:val="4A4A4A"/>
          <w:sz w:val="30"/>
          <w:szCs w:val="30"/>
          <w:shd w:val="clear" w:color="auto" w:fill="FFFFFF"/>
        </w:rPr>
        <w:t>个月期限内的承兑票据支付，票据所产生的贴息费用由供方承担，供方在报价时需将该类费用考虑在内。</w:t>
      </w:r>
    </w:p>
    <w:p>
      <w:pPr>
        <w:pStyle w:val="7"/>
        <w:widowControl/>
        <w:numPr>
          <w:ilvl w:val="0"/>
          <w:numId w:val="2"/>
        </w:numPr>
        <w:shd w:val="clear" w:color="auto" w:fill="FFFFFF"/>
        <w:spacing w:beforeAutospacing="0" w:afterAutospacing="0" w:line="195" w:lineRule="atLeast"/>
        <w:rPr>
          <w:rFonts w:ascii="仿宋" w:hAnsi="仿宋" w:eastAsia="仿宋" w:cs="仿宋"/>
          <w:b/>
          <w:bCs/>
          <w:color w:val="4A4A4A"/>
          <w:sz w:val="30"/>
          <w:szCs w:val="30"/>
          <w:shd w:val="clear" w:color="auto" w:fill="FFFFFF"/>
        </w:rPr>
      </w:pPr>
      <w:r>
        <w:rPr>
          <w:rFonts w:hint="eastAsia" w:ascii="仿宋" w:hAnsi="仿宋" w:eastAsia="仿宋" w:cs="仿宋"/>
          <w:b/>
          <w:bCs/>
          <w:color w:val="4A4A4A"/>
          <w:sz w:val="30"/>
          <w:szCs w:val="30"/>
          <w:shd w:val="clear" w:color="auto" w:fill="FFFFFF"/>
        </w:rPr>
        <w:t>评标原则</w:t>
      </w:r>
    </w:p>
    <w:p>
      <w:pPr>
        <w:pStyle w:val="7"/>
        <w:widowControl/>
        <w:shd w:val="clear" w:color="auto" w:fill="FFFFFF"/>
        <w:spacing w:beforeAutospacing="0" w:afterAutospacing="0" w:line="195" w:lineRule="atLeast"/>
        <w:ind w:firstLine="600" w:firstLineChars="200"/>
        <w:rPr>
          <w:rFonts w:ascii="仿宋" w:hAnsi="仿宋" w:eastAsia="仿宋" w:cs="仿宋"/>
          <w:color w:val="4A4A4A"/>
          <w:sz w:val="30"/>
          <w:szCs w:val="30"/>
          <w:shd w:val="clear" w:color="auto" w:fill="FFFFFF"/>
        </w:rPr>
      </w:pPr>
      <w:r>
        <w:rPr>
          <w:rFonts w:ascii="仿宋" w:hAnsi="仿宋" w:eastAsia="仿宋" w:cs="仿宋"/>
          <w:color w:val="4A4A4A"/>
          <w:sz w:val="30"/>
          <w:szCs w:val="30"/>
          <w:shd w:val="clear" w:color="auto" w:fill="FFFFFF"/>
        </w:rPr>
        <w:t>本次评标采用经评审的最低价</w:t>
      </w:r>
      <w:r>
        <w:rPr>
          <w:rFonts w:hint="eastAsia" w:ascii="仿宋" w:hAnsi="仿宋" w:eastAsia="仿宋" w:cs="仿宋"/>
          <w:color w:val="4A4A4A"/>
          <w:sz w:val="30"/>
          <w:szCs w:val="30"/>
          <w:shd w:val="clear" w:color="auto" w:fill="FFFFFF"/>
        </w:rPr>
        <w:t>定标</w:t>
      </w:r>
      <w:r>
        <w:rPr>
          <w:rFonts w:ascii="仿宋" w:hAnsi="仿宋" w:eastAsia="仿宋" w:cs="仿宋"/>
          <w:color w:val="4A4A4A"/>
          <w:sz w:val="30"/>
          <w:szCs w:val="30"/>
          <w:shd w:val="clear" w:color="auto" w:fill="FFFFFF"/>
        </w:rPr>
        <w:t>法。评标小组对满足</w:t>
      </w:r>
      <w:r>
        <w:rPr>
          <w:rFonts w:hint="eastAsia" w:ascii="仿宋" w:hAnsi="仿宋" w:eastAsia="仿宋" w:cs="仿宋"/>
          <w:color w:val="4A4A4A"/>
          <w:sz w:val="30"/>
          <w:szCs w:val="30"/>
          <w:shd w:val="clear" w:color="auto" w:fill="FFFFFF"/>
        </w:rPr>
        <w:t>竞价</w:t>
      </w:r>
      <w:r>
        <w:rPr>
          <w:rFonts w:ascii="仿宋" w:hAnsi="仿宋" w:eastAsia="仿宋" w:cs="仿宋"/>
          <w:color w:val="4A4A4A"/>
          <w:sz w:val="30"/>
          <w:szCs w:val="30"/>
          <w:shd w:val="clear" w:color="auto" w:fill="FFFFFF"/>
        </w:rPr>
        <w:t>要求的</w:t>
      </w:r>
      <w:r>
        <w:rPr>
          <w:rFonts w:hint="eastAsia" w:ascii="仿宋" w:hAnsi="仿宋" w:eastAsia="仿宋" w:cs="仿宋"/>
          <w:color w:val="4A4A4A"/>
          <w:sz w:val="30"/>
          <w:szCs w:val="30"/>
          <w:shd w:val="clear" w:color="auto" w:fill="FFFFFF"/>
        </w:rPr>
        <w:t>报价</w:t>
      </w:r>
      <w:r>
        <w:rPr>
          <w:rFonts w:ascii="仿宋" w:hAnsi="仿宋" w:eastAsia="仿宋" w:cs="仿宋"/>
          <w:color w:val="4A4A4A"/>
          <w:sz w:val="30"/>
          <w:szCs w:val="30"/>
          <w:shd w:val="clear" w:color="auto" w:fill="FFFFFF"/>
        </w:rPr>
        <w:t>，按照经评审的</w:t>
      </w:r>
      <w:r>
        <w:rPr>
          <w:rFonts w:hint="eastAsia" w:ascii="仿宋" w:hAnsi="仿宋" w:eastAsia="仿宋" w:cs="仿宋"/>
          <w:color w:val="4A4A4A"/>
          <w:sz w:val="30"/>
          <w:szCs w:val="30"/>
          <w:shd w:val="clear" w:color="auto" w:fill="FFFFFF"/>
        </w:rPr>
        <w:t>报</w:t>
      </w:r>
      <w:r>
        <w:rPr>
          <w:rFonts w:ascii="仿宋" w:hAnsi="仿宋" w:eastAsia="仿宋" w:cs="仿宋"/>
          <w:color w:val="4A4A4A"/>
          <w:sz w:val="30"/>
          <w:szCs w:val="30"/>
          <w:shd w:val="clear" w:color="auto" w:fill="FFFFFF"/>
        </w:rPr>
        <w:t>价由低到高的顺序推荐</w:t>
      </w:r>
      <w:r>
        <w:rPr>
          <w:rFonts w:hint="eastAsia" w:ascii="仿宋" w:hAnsi="仿宋" w:eastAsia="仿宋" w:cs="仿宋"/>
          <w:color w:val="4A4A4A"/>
          <w:sz w:val="30"/>
          <w:szCs w:val="30"/>
          <w:u w:val="single"/>
          <w:shd w:val="clear" w:color="auto" w:fill="FFFFFF"/>
        </w:rPr>
        <w:t xml:space="preserve"> 1名 </w:t>
      </w:r>
      <w:r>
        <w:rPr>
          <w:rFonts w:ascii="仿宋" w:hAnsi="仿宋" w:eastAsia="仿宋" w:cs="仿宋"/>
          <w:color w:val="4A4A4A"/>
          <w:sz w:val="30"/>
          <w:szCs w:val="30"/>
          <w:shd w:val="clear" w:color="auto" w:fill="FFFFFF"/>
        </w:rPr>
        <w:t>中标候选人，但低于成本价的或超过招标人可以接受价格的除外。经评审的投标价相等时，最短交货期小的优先。</w:t>
      </w:r>
      <w:r>
        <w:rPr>
          <w:rFonts w:hint="eastAsia" w:ascii="仿宋" w:hAnsi="仿宋" w:eastAsia="仿宋" w:cs="仿宋"/>
          <w:color w:val="4A4A4A"/>
          <w:sz w:val="30"/>
          <w:szCs w:val="30"/>
          <w:shd w:val="clear" w:color="auto" w:fill="FFFFFF"/>
        </w:rPr>
        <w:t>中标单位如在后期因供货原因无法履约的，我公司将无条件与其解除合约关系，并将不履约单位名单公示，自公示期起24个月内不得参与物资公司组织的各种形式竞标。</w:t>
      </w:r>
    </w:p>
    <w:p>
      <w:pPr>
        <w:pStyle w:val="7"/>
        <w:widowControl/>
        <w:numPr>
          <w:ilvl w:val="0"/>
          <w:numId w:val="2"/>
        </w:numPr>
        <w:shd w:val="clear" w:color="auto" w:fill="FFFFFF"/>
        <w:spacing w:beforeAutospacing="0" w:afterAutospacing="0" w:line="195" w:lineRule="atLeast"/>
        <w:rPr>
          <w:rFonts w:ascii="仿宋" w:hAnsi="仿宋" w:eastAsia="仿宋" w:cs="仿宋"/>
          <w:b/>
          <w:bCs/>
          <w:color w:val="4A4A4A"/>
          <w:sz w:val="30"/>
          <w:szCs w:val="30"/>
          <w:shd w:val="clear" w:color="auto" w:fill="FFFFFF"/>
        </w:rPr>
      </w:pPr>
      <w:r>
        <w:rPr>
          <w:rFonts w:hint="eastAsia" w:ascii="仿宋" w:hAnsi="仿宋" w:eastAsia="仿宋" w:cs="仿宋"/>
          <w:b/>
          <w:bCs/>
          <w:color w:val="4A4A4A"/>
          <w:sz w:val="30"/>
          <w:szCs w:val="30"/>
          <w:shd w:val="clear" w:color="auto" w:fill="FFFFFF"/>
        </w:rPr>
        <w:t>其他事项</w:t>
      </w:r>
    </w:p>
    <w:p>
      <w:pPr>
        <w:pStyle w:val="7"/>
        <w:widowControl/>
        <w:numPr>
          <w:ilvl w:val="0"/>
          <w:numId w:val="5"/>
        </w:numPr>
        <w:shd w:val="clear" w:color="auto" w:fill="FFFFFF"/>
        <w:spacing w:beforeAutospacing="0" w:afterAutospacing="0" w:line="195" w:lineRule="atLeast"/>
        <w:ind w:firstLine="600"/>
        <w:rPr>
          <w:rFonts w:ascii="仿宋" w:hAnsi="仿宋" w:eastAsia="仿宋" w:cs="仿宋"/>
          <w:color w:val="4A4A4A"/>
          <w:sz w:val="30"/>
          <w:szCs w:val="30"/>
          <w:shd w:val="clear" w:color="auto" w:fill="FFFFFF"/>
        </w:rPr>
      </w:pPr>
      <w:r>
        <w:rPr>
          <w:rFonts w:hint="eastAsia" w:ascii="仿宋" w:hAnsi="仿宋" w:eastAsia="仿宋" w:cs="仿宋"/>
          <w:color w:val="4A4A4A"/>
          <w:sz w:val="30"/>
          <w:szCs w:val="30"/>
          <w:shd w:val="clear" w:color="auto" w:fill="FFFFFF"/>
        </w:rPr>
        <w:t>每批次采购计划，物资公司将提前3天下达，供货单位接到计划后按照到货要求时间将货物运至指定区域，货物装车完毕后要求随车携带装货单据和凭证等材料，并将货物安全送达指定卸货地，运输期间货物如发生丢失、破损、变形或是车辆在运输途中发生颠簸和碰撞所造成损失均由供货单位自行承担，货物运输途中承运司机如发生道路交通安全事故，无论同等责任、次要责任、无责任其赔偿责任均由承运司机的雇佣单位承担，即物流公司承担，我公司不承担运输过程中的任何人员安全责任。</w:t>
      </w:r>
    </w:p>
    <w:p>
      <w:pPr>
        <w:pStyle w:val="7"/>
        <w:widowControl/>
        <w:numPr>
          <w:ilvl w:val="0"/>
          <w:numId w:val="5"/>
        </w:numPr>
        <w:shd w:val="clear" w:color="auto" w:fill="FFFFFF"/>
        <w:spacing w:beforeAutospacing="0" w:afterAutospacing="0" w:line="195" w:lineRule="atLeast"/>
        <w:ind w:firstLine="600"/>
        <w:rPr>
          <w:rFonts w:ascii="仿宋" w:hAnsi="仿宋" w:eastAsia="仿宋" w:cs="仿宋"/>
          <w:color w:val="4A4A4A"/>
          <w:sz w:val="30"/>
          <w:szCs w:val="30"/>
          <w:shd w:val="clear" w:color="auto" w:fill="FFFFFF"/>
        </w:rPr>
      </w:pPr>
      <w:r>
        <w:rPr>
          <w:rFonts w:hint="eastAsia" w:ascii="仿宋" w:hAnsi="仿宋" w:eastAsia="仿宋" w:cs="仿宋"/>
          <w:color w:val="4A4A4A"/>
          <w:sz w:val="30"/>
          <w:szCs w:val="30"/>
          <w:shd w:val="clear" w:color="auto" w:fill="FFFFFF"/>
        </w:rPr>
        <w:t>需方支付货款前，供方应向需方提供合法合规的13%增值税专用发票，并按合同约定内容和本期实际供货结算情况，准确填写发票项目；若供方未向需方提供合法合规的增值税专用发票，需方有权拒绝支付结算货款。</w:t>
      </w:r>
    </w:p>
    <w:p>
      <w:pPr>
        <w:pStyle w:val="7"/>
        <w:widowControl/>
        <w:numPr>
          <w:ilvl w:val="0"/>
          <w:numId w:val="5"/>
        </w:numPr>
        <w:shd w:val="clear" w:color="auto" w:fill="FFFFFF"/>
        <w:spacing w:beforeAutospacing="0" w:afterAutospacing="0" w:line="195" w:lineRule="atLeast"/>
        <w:ind w:firstLine="600"/>
        <w:rPr>
          <w:rFonts w:ascii="仿宋" w:hAnsi="仿宋" w:eastAsia="仿宋" w:cs="仿宋"/>
          <w:color w:val="4A4A4A"/>
          <w:sz w:val="30"/>
          <w:szCs w:val="30"/>
          <w:shd w:val="clear" w:color="auto" w:fill="FFFFFF"/>
        </w:rPr>
      </w:pPr>
      <w:r>
        <w:rPr>
          <w:rFonts w:hint="eastAsia" w:ascii="仿宋" w:hAnsi="仿宋" w:eastAsia="仿宋" w:cs="仿宋"/>
          <w:color w:val="4A4A4A"/>
          <w:sz w:val="30"/>
          <w:szCs w:val="30"/>
          <w:shd w:val="clear" w:color="auto" w:fill="FFFFFF"/>
        </w:rPr>
        <w:t>货物错运到达地或错交收货人，由供货单位无偿运抵原定地点并交给原定收货人，由此造成的一切损失由供货单位承担。</w:t>
      </w:r>
    </w:p>
    <w:p>
      <w:pPr>
        <w:pStyle w:val="7"/>
        <w:widowControl/>
        <w:numPr>
          <w:ilvl w:val="0"/>
          <w:numId w:val="5"/>
        </w:numPr>
        <w:shd w:val="clear" w:color="auto" w:fill="FFFFFF"/>
        <w:spacing w:beforeAutospacing="0" w:afterAutospacing="0" w:line="195" w:lineRule="atLeast"/>
        <w:ind w:firstLine="600"/>
        <w:rPr>
          <w:rFonts w:ascii="仿宋" w:hAnsi="仿宋" w:eastAsia="仿宋" w:cs="仿宋"/>
          <w:color w:val="4A4A4A"/>
          <w:sz w:val="30"/>
          <w:szCs w:val="30"/>
          <w:shd w:val="clear" w:color="auto" w:fill="FFFFFF"/>
        </w:rPr>
      </w:pPr>
      <w:r>
        <w:rPr>
          <w:rFonts w:hint="eastAsia" w:ascii="仿宋" w:hAnsi="仿宋" w:eastAsia="仿宋" w:cs="仿宋"/>
          <w:color w:val="4A4A4A"/>
          <w:sz w:val="30"/>
          <w:szCs w:val="30"/>
          <w:shd w:val="clear" w:color="auto" w:fill="FFFFFF"/>
        </w:rPr>
        <w:t>供货单位在道路安全事故给物资公司造成的损失，按原值赔偿；供货单位在交货前发生货物丢失，或与发货数量出现较大偏差的，按当期货物市场价格三倍赔偿物资公司。</w:t>
      </w:r>
    </w:p>
    <w:p>
      <w:pPr>
        <w:pStyle w:val="7"/>
        <w:widowControl/>
        <w:shd w:val="clear" w:color="auto" w:fill="FFFFFF"/>
        <w:spacing w:beforeAutospacing="0" w:afterAutospacing="0" w:line="195" w:lineRule="atLeast"/>
        <w:ind w:firstLine="600"/>
        <w:rPr>
          <w:rFonts w:ascii="仿宋" w:hAnsi="仿宋" w:eastAsia="仿宋" w:cs="仿宋"/>
          <w:color w:val="4A4A4A"/>
          <w:sz w:val="30"/>
          <w:szCs w:val="30"/>
          <w:shd w:val="clear" w:color="auto" w:fill="FFFFFF"/>
        </w:rPr>
      </w:pPr>
      <w:r>
        <w:rPr>
          <w:rFonts w:hint="eastAsia" w:ascii="仿宋" w:hAnsi="仿宋" w:eastAsia="仿宋" w:cs="仿宋"/>
          <w:color w:val="4A4A4A"/>
          <w:sz w:val="30"/>
          <w:szCs w:val="30"/>
          <w:shd w:val="clear" w:color="auto" w:fill="FFFFFF"/>
        </w:rPr>
        <w:t>5、公司非常欢迎各生产厂家和贸易单位积极踊跃参加竞价并承揽更多的物贸业务。请各单位根据服务项目类型，结合本公司在物贸领域的综合保障能力，制定合理的有竞争优势的价格和资源保供方案参加竞价，并承诺中标后严格按照合同履约，如出现中标未履约、服务品质不满足相关要求，公司将采取有力举措保护核心利益不受损失。同时，公司建立健全服务监督机制，畅通沟通交流渠道，公布公开24小时的监督服务电话，欢迎各单位反馈和提供建设性的意见和建议。</w:t>
      </w:r>
    </w:p>
    <w:p>
      <w:pPr>
        <w:pStyle w:val="7"/>
        <w:widowControl/>
        <w:shd w:val="clear" w:color="auto" w:fill="FFFFFF"/>
        <w:spacing w:beforeAutospacing="0" w:afterAutospacing="0" w:line="195" w:lineRule="atLeast"/>
        <w:ind w:firstLine="600" w:firstLineChars="200"/>
        <w:rPr>
          <w:rFonts w:ascii="仿宋" w:hAnsi="仿宋" w:eastAsia="仿宋" w:cs="仿宋"/>
          <w:color w:val="4A4A4A"/>
          <w:sz w:val="30"/>
          <w:szCs w:val="30"/>
          <w:shd w:val="clear" w:color="auto" w:fill="FFFFFF"/>
        </w:rPr>
      </w:pPr>
      <w:r>
        <w:rPr>
          <w:rFonts w:hint="eastAsia" w:ascii="仿宋" w:hAnsi="仿宋" w:eastAsia="仿宋" w:cs="仿宋"/>
          <w:color w:val="4A4A4A"/>
          <w:sz w:val="30"/>
          <w:szCs w:val="30"/>
          <w:shd w:val="clear" w:color="auto" w:fill="FFFFFF"/>
        </w:rPr>
        <w:t xml:space="preserve">竞价业务联系人及电话：次仁罗布 18810011028 </w:t>
      </w:r>
    </w:p>
    <w:p>
      <w:pPr>
        <w:pStyle w:val="7"/>
        <w:widowControl/>
        <w:shd w:val="clear" w:color="auto" w:fill="FFFFFF"/>
        <w:spacing w:beforeAutospacing="0" w:afterAutospacing="0" w:line="195" w:lineRule="atLeast"/>
        <w:ind w:firstLine="600" w:firstLineChars="200"/>
        <w:rPr>
          <w:rFonts w:ascii="仿宋" w:hAnsi="仿宋" w:eastAsia="仿宋" w:cs="仿宋"/>
          <w:color w:val="4A4A4A"/>
          <w:sz w:val="30"/>
          <w:szCs w:val="30"/>
          <w:shd w:val="clear" w:color="auto" w:fill="FFFFFF"/>
        </w:rPr>
      </w:pPr>
      <w:r>
        <w:rPr>
          <w:rFonts w:hint="eastAsia" w:ascii="仿宋" w:hAnsi="仿宋" w:eastAsia="仿宋" w:cs="仿宋"/>
          <w:color w:val="4A4A4A"/>
          <w:sz w:val="30"/>
          <w:szCs w:val="30"/>
          <w:shd w:val="clear" w:color="auto" w:fill="FFFFFF"/>
        </w:rPr>
        <w:t>公司监督服务电话：18501362656</w:t>
      </w:r>
    </w:p>
    <w:p>
      <w:pPr>
        <w:pStyle w:val="7"/>
        <w:widowControl/>
        <w:shd w:val="clear" w:color="auto" w:fill="FFFFFF"/>
        <w:spacing w:beforeAutospacing="0" w:afterAutospacing="0" w:line="195" w:lineRule="atLeast"/>
        <w:ind w:firstLine="600" w:firstLineChars="200"/>
        <w:rPr>
          <w:rFonts w:ascii="仿宋" w:hAnsi="仿宋" w:eastAsia="仿宋" w:cs="仿宋"/>
          <w:color w:val="4A4A4A"/>
          <w:sz w:val="30"/>
          <w:szCs w:val="30"/>
          <w:shd w:val="clear" w:color="auto" w:fill="FFFFFF"/>
        </w:rPr>
      </w:pPr>
      <w:r>
        <w:rPr>
          <w:rFonts w:hint="eastAsia" w:ascii="仿宋" w:hAnsi="仿宋" w:eastAsia="仿宋" w:cs="仿宋"/>
          <w:color w:val="4A4A4A"/>
          <w:sz w:val="30"/>
          <w:szCs w:val="30"/>
          <w:shd w:val="clear" w:color="auto" w:fill="FFFFFF"/>
        </w:rPr>
        <w:t>公司监督服务邮箱：</w:t>
      </w:r>
      <w:r>
        <w:fldChar w:fldCharType="begin"/>
      </w:r>
      <w:r>
        <w:instrText xml:space="preserve"> HYPERLINK "javascript:void(0)" </w:instrText>
      </w:r>
      <w:r>
        <w:fldChar w:fldCharType="separate"/>
      </w:r>
      <w:r>
        <w:rPr>
          <w:rFonts w:hint="eastAsia" w:ascii="仿宋" w:hAnsi="仿宋" w:eastAsia="仿宋" w:cs="仿宋"/>
          <w:color w:val="4A4A4A"/>
          <w:sz w:val="30"/>
          <w:szCs w:val="30"/>
          <w:shd w:val="clear" w:color="auto" w:fill="FFFFFF"/>
        </w:rPr>
        <w:t>jiandufuwu@ccccltd.cn</w:t>
      </w:r>
      <w:r>
        <w:rPr>
          <w:rFonts w:hint="eastAsia" w:ascii="仿宋" w:hAnsi="仿宋" w:eastAsia="仿宋" w:cs="仿宋"/>
          <w:color w:val="4A4A4A"/>
          <w:sz w:val="30"/>
          <w:szCs w:val="30"/>
          <w:shd w:val="clear" w:color="auto" w:fill="FFFFFF"/>
        </w:rPr>
        <w:fldChar w:fldCharType="end"/>
      </w:r>
    </w:p>
    <w:p>
      <w:pPr>
        <w:pStyle w:val="7"/>
        <w:widowControl/>
        <w:shd w:val="clear" w:color="auto" w:fill="FFFFFF"/>
        <w:spacing w:beforeAutospacing="0" w:afterAutospacing="0" w:line="195" w:lineRule="atLeast"/>
        <w:ind w:firstLine="600" w:firstLineChars="200"/>
        <w:rPr>
          <w:rFonts w:ascii="仿宋" w:hAnsi="仿宋" w:eastAsia="仿宋" w:cs="仿宋"/>
          <w:color w:val="4A4A4A"/>
          <w:sz w:val="30"/>
          <w:szCs w:val="30"/>
          <w:shd w:val="clear" w:color="auto" w:fill="FFFFFF"/>
        </w:rPr>
      </w:pPr>
    </w:p>
    <w:p>
      <w:pPr>
        <w:jc w:val="right"/>
        <w:rPr>
          <w:rFonts w:ascii="仿宋" w:hAnsi="仿宋" w:eastAsia="仿宋" w:cs="仿宋"/>
          <w:sz w:val="30"/>
          <w:szCs w:val="30"/>
        </w:rPr>
      </w:pPr>
      <w:r>
        <w:rPr>
          <w:rFonts w:hint="eastAsia" w:ascii="仿宋" w:hAnsi="仿宋" w:eastAsia="仿宋" w:cs="仿宋"/>
          <w:sz w:val="30"/>
          <w:szCs w:val="30"/>
        </w:rPr>
        <w:t>中国交通物资有限公司西藏分公司</w:t>
      </w:r>
    </w:p>
    <w:p>
      <w:pPr>
        <w:jc w:val="center"/>
        <w:rPr>
          <w:rFonts w:ascii="仿宋" w:hAnsi="仿宋" w:eastAsia="仿宋" w:cs="仿宋"/>
          <w:sz w:val="30"/>
          <w:szCs w:val="30"/>
        </w:rPr>
      </w:pPr>
      <w:r>
        <w:rPr>
          <w:rFonts w:hint="eastAsia" w:ascii="仿宋" w:hAnsi="仿宋" w:eastAsia="仿宋" w:cs="仿宋"/>
          <w:sz w:val="30"/>
          <w:szCs w:val="30"/>
        </w:rPr>
        <w:t xml:space="preserve">                               2024年0</w:t>
      </w:r>
      <w:r>
        <w:rPr>
          <w:rFonts w:hint="eastAsia" w:ascii="仿宋" w:hAnsi="仿宋" w:eastAsia="仿宋" w:cs="仿宋"/>
          <w:sz w:val="30"/>
          <w:szCs w:val="30"/>
          <w:lang w:val="en-US" w:eastAsia="zh-CN"/>
        </w:rPr>
        <w:t>8</w:t>
      </w:r>
      <w:r>
        <w:rPr>
          <w:rFonts w:hint="eastAsia" w:ascii="仿宋" w:hAnsi="仿宋" w:eastAsia="仿宋" w:cs="仿宋"/>
          <w:sz w:val="30"/>
          <w:szCs w:val="30"/>
        </w:rPr>
        <w:t>月</w:t>
      </w:r>
      <w:r>
        <w:rPr>
          <w:rFonts w:hint="eastAsia" w:ascii="仿宋" w:hAnsi="仿宋" w:eastAsia="仿宋" w:cs="仿宋"/>
          <w:sz w:val="30"/>
          <w:szCs w:val="30"/>
          <w:lang w:val="en-US" w:eastAsia="zh-CN"/>
        </w:rPr>
        <w:t>27</w:t>
      </w:r>
      <w:r>
        <w:rPr>
          <w:rFonts w:hint="eastAsia" w:ascii="仿宋" w:hAnsi="仿宋" w:eastAsia="仿宋" w:cs="仿宋"/>
          <w:sz w:val="30"/>
          <w:szCs w:val="30"/>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楷体">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4AA8537"/>
    <w:multiLevelType w:val="singleLevel"/>
    <w:tmpl w:val="E4AA8537"/>
    <w:lvl w:ilvl="0" w:tentative="0">
      <w:start w:val="1"/>
      <w:numFmt w:val="chineseCounting"/>
      <w:suff w:val="nothing"/>
      <w:lvlText w:val="（%1）"/>
      <w:lvlJc w:val="left"/>
      <w:rPr>
        <w:rFonts w:hint="eastAsia"/>
      </w:rPr>
    </w:lvl>
  </w:abstractNum>
  <w:abstractNum w:abstractNumId="1">
    <w:nsid w:val="FA8079DD"/>
    <w:multiLevelType w:val="singleLevel"/>
    <w:tmpl w:val="FA8079DD"/>
    <w:lvl w:ilvl="0" w:tentative="0">
      <w:start w:val="4"/>
      <w:numFmt w:val="chineseCounting"/>
      <w:suff w:val="nothing"/>
      <w:lvlText w:val="%1、"/>
      <w:lvlJc w:val="left"/>
      <w:rPr>
        <w:rFonts w:hint="eastAsia"/>
      </w:rPr>
    </w:lvl>
  </w:abstractNum>
  <w:abstractNum w:abstractNumId="2">
    <w:nsid w:val="FBB1C1B9"/>
    <w:multiLevelType w:val="singleLevel"/>
    <w:tmpl w:val="FBB1C1B9"/>
    <w:lvl w:ilvl="0" w:tentative="0">
      <w:start w:val="1"/>
      <w:numFmt w:val="chineseCounting"/>
      <w:suff w:val="nothing"/>
      <w:lvlText w:val="%1、"/>
      <w:lvlJc w:val="left"/>
      <w:rPr>
        <w:rFonts w:hint="eastAsia"/>
      </w:rPr>
    </w:lvl>
  </w:abstractNum>
  <w:abstractNum w:abstractNumId="3">
    <w:nsid w:val="523FC952"/>
    <w:multiLevelType w:val="singleLevel"/>
    <w:tmpl w:val="523FC952"/>
    <w:lvl w:ilvl="0" w:tentative="0">
      <w:start w:val="1"/>
      <w:numFmt w:val="decimal"/>
      <w:suff w:val="nothing"/>
      <w:lvlText w:val="%1、"/>
      <w:lvlJc w:val="left"/>
      <w:pPr>
        <w:ind w:left="30"/>
      </w:pPr>
    </w:lvl>
  </w:abstractNum>
  <w:abstractNum w:abstractNumId="4">
    <w:nsid w:val="76B67046"/>
    <w:multiLevelType w:val="singleLevel"/>
    <w:tmpl w:val="76B67046"/>
    <w:lvl w:ilvl="0" w:tentative="0">
      <w:start w:val="1"/>
      <w:numFmt w:val="chineseCounting"/>
      <w:suff w:val="nothing"/>
      <w:lvlText w:val="（%1）"/>
      <w:lvlJc w:val="left"/>
      <w:rPr>
        <w:rFonts w:hint="eastAsia"/>
      </w:rPr>
    </w:lvl>
  </w:abstractNum>
  <w:num w:numId="1">
    <w:abstractNumId w:val="2"/>
  </w:num>
  <w:num w:numId="2">
    <w:abstractNumId w:val="1"/>
  </w:num>
  <w:num w:numId="3">
    <w:abstractNumId w:val="4"/>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WU4YTBiYTFkY2RlYzExYjZmMGYzNWYyMDBjNTY0ZDIifQ=="/>
    <w:docVar w:name="KSO_WPS_MARK_KEY" w:val="487875f5-0efa-4d9b-9e49-314b1dc928df"/>
  </w:docVars>
  <w:rsids>
    <w:rsidRoot w:val="001822B0"/>
    <w:rsid w:val="00033119"/>
    <w:rsid w:val="00045C74"/>
    <w:rsid w:val="000A19BA"/>
    <w:rsid w:val="000B0A6F"/>
    <w:rsid w:val="001134D0"/>
    <w:rsid w:val="00133297"/>
    <w:rsid w:val="00137438"/>
    <w:rsid w:val="00174490"/>
    <w:rsid w:val="001822B0"/>
    <w:rsid w:val="001C22B2"/>
    <w:rsid w:val="00205299"/>
    <w:rsid w:val="00237003"/>
    <w:rsid w:val="00237031"/>
    <w:rsid w:val="00263036"/>
    <w:rsid w:val="00264921"/>
    <w:rsid w:val="002B03EE"/>
    <w:rsid w:val="002C6635"/>
    <w:rsid w:val="002E45B1"/>
    <w:rsid w:val="002E5B2B"/>
    <w:rsid w:val="002F265B"/>
    <w:rsid w:val="00325875"/>
    <w:rsid w:val="003766F6"/>
    <w:rsid w:val="00392EB4"/>
    <w:rsid w:val="00397FEA"/>
    <w:rsid w:val="0040539A"/>
    <w:rsid w:val="004647E2"/>
    <w:rsid w:val="0046538B"/>
    <w:rsid w:val="004760C3"/>
    <w:rsid w:val="004A04F3"/>
    <w:rsid w:val="004E2634"/>
    <w:rsid w:val="004E4EA7"/>
    <w:rsid w:val="0052410C"/>
    <w:rsid w:val="005817EC"/>
    <w:rsid w:val="00584052"/>
    <w:rsid w:val="005F1E1F"/>
    <w:rsid w:val="005F5B9C"/>
    <w:rsid w:val="006814BB"/>
    <w:rsid w:val="006C4C2F"/>
    <w:rsid w:val="006D0D57"/>
    <w:rsid w:val="007208E3"/>
    <w:rsid w:val="0076156B"/>
    <w:rsid w:val="007F4802"/>
    <w:rsid w:val="008524A9"/>
    <w:rsid w:val="00863B49"/>
    <w:rsid w:val="008A15BF"/>
    <w:rsid w:val="008B222F"/>
    <w:rsid w:val="008E01B7"/>
    <w:rsid w:val="00905FD8"/>
    <w:rsid w:val="009277FC"/>
    <w:rsid w:val="00960B2E"/>
    <w:rsid w:val="009A0C1C"/>
    <w:rsid w:val="009E1226"/>
    <w:rsid w:val="009F34CE"/>
    <w:rsid w:val="009F5929"/>
    <w:rsid w:val="009F6E7F"/>
    <w:rsid w:val="00A13FE9"/>
    <w:rsid w:val="00B22614"/>
    <w:rsid w:val="00B2626F"/>
    <w:rsid w:val="00B603CD"/>
    <w:rsid w:val="00B650D2"/>
    <w:rsid w:val="00B71D08"/>
    <w:rsid w:val="00BC3AB9"/>
    <w:rsid w:val="00CD661F"/>
    <w:rsid w:val="00CF163B"/>
    <w:rsid w:val="00D31094"/>
    <w:rsid w:val="00D32539"/>
    <w:rsid w:val="00D624E9"/>
    <w:rsid w:val="00DA2135"/>
    <w:rsid w:val="00DF23AD"/>
    <w:rsid w:val="00E05149"/>
    <w:rsid w:val="00E206C9"/>
    <w:rsid w:val="00E36B15"/>
    <w:rsid w:val="00E955F7"/>
    <w:rsid w:val="00EB7886"/>
    <w:rsid w:val="00EF7569"/>
    <w:rsid w:val="00F12046"/>
    <w:rsid w:val="00F1484D"/>
    <w:rsid w:val="00F356B5"/>
    <w:rsid w:val="00F557D3"/>
    <w:rsid w:val="00FD174B"/>
    <w:rsid w:val="01A94CAB"/>
    <w:rsid w:val="02D30285"/>
    <w:rsid w:val="02FE20CD"/>
    <w:rsid w:val="058A7C48"/>
    <w:rsid w:val="073E5B67"/>
    <w:rsid w:val="07691415"/>
    <w:rsid w:val="08E9332E"/>
    <w:rsid w:val="0EF94799"/>
    <w:rsid w:val="0F6B0AEA"/>
    <w:rsid w:val="13034016"/>
    <w:rsid w:val="17E62435"/>
    <w:rsid w:val="1B742AD4"/>
    <w:rsid w:val="1C0D4CD7"/>
    <w:rsid w:val="1DF927BA"/>
    <w:rsid w:val="1F266AA1"/>
    <w:rsid w:val="218660CF"/>
    <w:rsid w:val="23784692"/>
    <w:rsid w:val="27985D9D"/>
    <w:rsid w:val="29381752"/>
    <w:rsid w:val="296A6065"/>
    <w:rsid w:val="2A2164B8"/>
    <w:rsid w:val="2AE93C44"/>
    <w:rsid w:val="2DA66715"/>
    <w:rsid w:val="2FAD11FD"/>
    <w:rsid w:val="300A34EE"/>
    <w:rsid w:val="32117139"/>
    <w:rsid w:val="327C0480"/>
    <w:rsid w:val="32AC4DF2"/>
    <w:rsid w:val="330D14E1"/>
    <w:rsid w:val="3676374D"/>
    <w:rsid w:val="36AA1648"/>
    <w:rsid w:val="36BD75CE"/>
    <w:rsid w:val="36C57A1C"/>
    <w:rsid w:val="37517174"/>
    <w:rsid w:val="376A1BE0"/>
    <w:rsid w:val="39F817D8"/>
    <w:rsid w:val="3A0948D8"/>
    <w:rsid w:val="3A7F7D31"/>
    <w:rsid w:val="3B820DE6"/>
    <w:rsid w:val="3DFF3681"/>
    <w:rsid w:val="3EF367E0"/>
    <w:rsid w:val="4015772F"/>
    <w:rsid w:val="410F498F"/>
    <w:rsid w:val="42A42446"/>
    <w:rsid w:val="43EA2079"/>
    <w:rsid w:val="45D10D6F"/>
    <w:rsid w:val="46827EEC"/>
    <w:rsid w:val="47AC3DF4"/>
    <w:rsid w:val="47D74107"/>
    <w:rsid w:val="4A7A55B6"/>
    <w:rsid w:val="4AE0121E"/>
    <w:rsid w:val="4B29561F"/>
    <w:rsid w:val="4B581A0A"/>
    <w:rsid w:val="4EB727C0"/>
    <w:rsid w:val="50025BF9"/>
    <w:rsid w:val="509525C3"/>
    <w:rsid w:val="51086F2A"/>
    <w:rsid w:val="52B92EE7"/>
    <w:rsid w:val="549943EC"/>
    <w:rsid w:val="54B7183F"/>
    <w:rsid w:val="56FE5E20"/>
    <w:rsid w:val="5E18408B"/>
    <w:rsid w:val="641F5E12"/>
    <w:rsid w:val="649015CE"/>
    <w:rsid w:val="67F16F85"/>
    <w:rsid w:val="6C9B33B6"/>
    <w:rsid w:val="6CF96853"/>
    <w:rsid w:val="6D3345AF"/>
    <w:rsid w:val="6DE07B8D"/>
    <w:rsid w:val="6ECC76A7"/>
    <w:rsid w:val="701E53C5"/>
    <w:rsid w:val="71631A66"/>
    <w:rsid w:val="7A7E67B3"/>
    <w:rsid w:val="7D5030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3"/>
    <w:basedOn w:val="1"/>
    <w:next w:val="1"/>
    <w:semiHidden/>
    <w:unhideWhenUsed/>
    <w:qFormat/>
    <w:uiPriority w:val="0"/>
    <w:pPr>
      <w:spacing w:beforeAutospacing="1" w:afterAutospacing="1"/>
      <w:jc w:val="left"/>
      <w:outlineLvl w:val="2"/>
    </w:pPr>
    <w:rPr>
      <w:rFonts w:hint="eastAsia" w:ascii="宋体" w:hAnsi="宋体" w:eastAsia="宋体" w:cs="Times New Roman"/>
      <w:b/>
      <w:bCs/>
      <w:kern w:val="0"/>
      <w:sz w:val="27"/>
      <w:szCs w:val="27"/>
    </w:rPr>
  </w:style>
  <w:style w:type="character" w:default="1" w:styleId="9">
    <w:name w:val="Default Paragraph Font"/>
    <w:semiHidden/>
    <w:unhideWhenUsed/>
    <w:qFormat/>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2">
    <w:name w:val="Body Text First Indent 2"/>
    <w:basedOn w:val="3"/>
    <w:unhideWhenUsed/>
    <w:qFormat/>
    <w:uiPriority w:val="99"/>
    <w:pPr>
      <w:tabs>
        <w:tab w:val="left" w:pos="360"/>
        <w:tab w:val="left" w:pos="964"/>
      </w:tabs>
      <w:spacing w:line="240" w:lineRule="atLeast"/>
      <w:ind w:left="964" w:hanging="425"/>
    </w:pPr>
    <w:rPr>
      <w:rFonts w:ascii="宋体" w:hAnsi="宋体"/>
      <w:sz w:val="28"/>
    </w:rPr>
  </w:style>
  <w:style w:type="paragraph" w:styleId="3">
    <w:name w:val="Body Text Indent"/>
    <w:basedOn w:val="1"/>
    <w:qFormat/>
    <w:uiPriority w:val="0"/>
    <w:pPr>
      <w:spacing w:after="120"/>
      <w:ind w:left="420" w:leftChars="200"/>
    </w:pPr>
    <w:rPr>
      <w:kern w:val="0"/>
      <w:sz w:val="20"/>
    </w:rPr>
  </w:style>
  <w:style w:type="paragraph" w:styleId="5">
    <w:name w:val="footer"/>
    <w:basedOn w:val="1"/>
    <w:link w:val="15"/>
    <w:qFormat/>
    <w:uiPriority w:val="0"/>
    <w:pPr>
      <w:tabs>
        <w:tab w:val="center" w:pos="4153"/>
        <w:tab w:val="right" w:pos="8306"/>
      </w:tabs>
      <w:snapToGrid w:val="0"/>
      <w:jc w:val="left"/>
    </w:pPr>
    <w:rPr>
      <w:sz w:val="18"/>
      <w:szCs w:val="18"/>
    </w:rPr>
  </w:style>
  <w:style w:type="paragraph" w:styleId="6">
    <w:name w:val="header"/>
    <w:basedOn w:val="1"/>
    <w:link w:val="14"/>
    <w:qFormat/>
    <w:uiPriority w:val="0"/>
    <w:pPr>
      <w:tabs>
        <w:tab w:val="center" w:pos="4153"/>
        <w:tab w:val="right" w:pos="8306"/>
      </w:tabs>
      <w:snapToGrid w:val="0"/>
      <w:jc w:val="center"/>
    </w:pPr>
    <w:rPr>
      <w:sz w:val="18"/>
      <w:szCs w:val="18"/>
    </w:rPr>
  </w:style>
  <w:style w:type="paragraph" w:styleId="7">
    <w:name w:val="Normal (Web)"/>
    <w:basedOn w:val="1"/>
    <w:qFormat/>
    <w:uiPriority w:val="0"/>
    <w:pPr>
      <w:spacing w:beforeAutospacing="1" w:afterAutospacing="1"/>
      <w:jc w:val="left"/>
    </w:pPr>
    <w:rPr>
      <w:rFonts w:cs="Times New Roman"/>
      <w:kern w:val="0"/>
      <w:sz w:val="24"/>
    </w:rPr>
  </w:style>
  <w:style w:type="character" w:styleId="10">
    <w:name w:val="Hyperlink"/>
    <w:basedOn w:val="9"/>
    <w:qFormat/>
    <w:uiPriority w:val="0"/>
    <w:rPr>
      <w:color w:val="0000FF"/>
      <w:u w:val="single"/>
    </w:rPr>
  </w:style>
  <w:style w:type="character" w:customStyle="1" w:styleId="11">
    <w:name w:val="font01"/>
    <w:basedOn w:val="9"/>
    <w:qFormat/>
    <w:uiPriority w:val="0"/>
    <w:rPr>
      <w:rFonts w:hint="eastAsia" w:ascii="仿宋" w:hAnsi="仿宋" w:eastAsia="仿宋" w:cs="仿宋"/>
      <w:color w:val="000000"/>
      <w:sz w:val="20"/>
      <w:szCs w:val="20"/>
      <w:u w:val="none"/>
    </w:rPr>
  </w:style>
  <w:style w:type="character" w:customStyle="1" w:styleId="12">
    <w:name w:val="font11"/>
    <w:basedOn w:val="9"/>
    <w:qFormat/>
    <w:uiPriority w:val="0"/>
    <w:rPr>
      <w:rFonts w:hint="eastAsia" w:ascii="仿宋" w:hAnsi="仿宋" w:eastAsia="仿宋" w:cs="仿宋"/>
      <w:color w:val="000000"/>
      <w:sz w:val="20"/>
      <w:szCs w:val="20"/>
      <w:u w:val="none"/>
    </w:rPr>
  </w:style>
  <w:style w:type="character" w:customStyle="1" w:styleId="13">
    <w:name w:val="font31"/>
    <w:basedOn w:val="9"/>
    <w:qFormat/>
    <w:uiPriority w:val="0"/>
    <w:rPr>
      <w:rFonts w:ascii="微软雅黑" w:hAnsi="微软雅黑" w:eastAsia="微软雅黑" w:cs="微软雅黑"/>
      <w:color w:val="000000"/>
      <w:sz w:val="20"/>
      <w:szCs w:val="20"/>
      <w:u w:val="none"/>
    </w:rPr>
  </w:style>
  <w:style w:type="character" w:customStyle="1" w:styleId="14">
    <w:name w:val="页眉 字符"/>
    <w:basedOn w:val="9"/>
    <w:link w:val="6"/>
    <w:qFormat/>
    <w:uiPriority w:val="0"/>
    <w:rPr>
      <w:rFonts w:asciiTheme="minorHAnsi" w:hAnsiTheme="minorHAnsi" w:eastAsiaTheme="minorEastAsia" w:cstheme="minorBidi"/>
      <w:kern w:val="2"/>
      <w:sz w:val="18"/>
      <w:szCs w:val="18"/>
    </w:rPr>
  </w:style>
  <w:style w:type="character" w:customStyle="1" w:styleId="15">
    <w:name w:val="页脚 字符"/>
    <w:basedOn w:val="9"/>
    <w:link w:val="5"/>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364</Words>
  <Characters>2079</Characters>
  <Lines>17</Lines>
  <Paragraphs>4</Paragraphs>
  <TotalTime>1</TotalTime>
  <ScaleCrop>false</ScaleCrop>
  <LinksUpToDate>false</LinksUpToDate>
  <CharactersWithSpaces>2439</CharactersWithSpaces>
  <Application>WPS Office_11.8.0.16970_F1E327BC-269C-435d-A152-05C5408002CA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2024-06-02T10:12:00Z</dcterms:created>
  <dc:creator>27084</dc:creator>
  <cp:lastModifiedBy>华渝来</cp:lastModifiedBy>
  <dcterms:modified xsi:type="dcterms:W3CDTF">2024-08-28T00:38:57Z</dcterms:modified>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2052-11.8.0.16970</vt:lpwstr>
  </property>
  <property fmtid="{D5CDD505-2E9C-101B-9397-08002B2CF9AE}" pid="3" name="ICV">
    <vt:lpwstr>FFE8CF0077754DC9A2410A8E95E3292C_13</vt:lpwstr>
  </property>
</Properties>
</file>